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 ta’ Marzu 2021. Nru 426.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Ordni dwar it-tikkettar u t-twissijiet tas-saħħa fuq is-sostituti tat-tabakk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>Skont it-taqsima 19a(2), it-taqsima 22c u t-taqsima 45(2) tal-Att dwar il-prodotti tat-tabakk, eċċ., ara l-Ordni Nru 965 tas-26 ta’ Awwissu 2019 kif emendat bl-Att Nru 2071 tal-21 ta’ Diċembru 2020, dan li ġej huwa stabbilit: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Parti 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Definizzjonijiet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Taqsima 1.</w:t>
      </w:r>
      <w:r>
        <w:t xml:space="preserve"> F’dan l-Ordni, sostitut tat-tabakk tfisser: </w:t>
      </w:r>
      <w:r>
        <w:br/>
        <w:t xml:space="preserve">Prodott li fih in-nikotina li mhuwiex prodott tat-tabakk, ara paragrafu 2, jew sigarett elettroniku, ara t-taqsima § 2(1) tal-Att dwar is-sigaretti elettroniċi eċċ. u li mhuwiex approvat bil-permess għat-tqegħid fis-suq skont l-Att dwar il-mediċini jew ir-regolamenti leġiżlattivi tal-UE li jistabbilixxu proċeduri komuni għall-approvazzjoni ta’ prodotti mediċinali għall-użu mill-bniedem u tagħmir maħsub biex jintuża flimkien ma’ dan il-prodott.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Parti 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Immarkar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Taqsima 2.</w:t>
      </w:r>
      <w:r>
        <w:t xml:space="preserve"> Kull pakkett individwali u kull imballaġġ ta’ barra ta’ sostituti tat-tabakk għandu jkun fih lista ta’: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 l-ingredjenti kollha inklużi fil-prodott f’ordni dekrexxenti skont il-piż,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 In-numru tal-lott.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 rakkomandazzjoni biex il-prodott jinżamm ’il bogħod mit-tfal.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Taqsima 3.</w:t>
      </w:r>
      <w:r>
        <w:t xml:space="preserve"> Il-persuna li tikkummerċjalizza sostitut tat-tabakk f’dan il-pajjiż għandha tiżgura li kull pakkett individwali u kwalunkwe imballaġġ ta’ barra ma jkunx fih elementi jew karatteristiċi li</w:t>
      </w:r>
    </w:p>
    <w:p w14:paraId="542AC7D3" w14:textId="597A0206" w:rsidR="0012504C" w:rsidRPr="0000570D" w:rsidRDefault="0012504C" w:rsidP="00CC6C07">
      <w:pPr>
        <w:spacing w:after="0"/>
      </w:pPr>
      <w:r>
        <w:t>1) jinkoraġġixxu l-użu jew jagħtu impressjoni falza tal-karatteristiċi, l-effetti, ir-riskji jew l-emissjonijiet tal-prodotti;</w:t>
      </w:r>
    </w:p>
    <w:p w14:paraId="0840C571" w14:textId="7C62C2E7" w:rsidR="0012504C" w:rsidRPr="0000570D" w:rsidRDefault="0012504C" w:rsidP="00CC6C07">
      <w:pPr>
        <w:spacing w:after="0"/>
      </w:pPr>
      <w:r>
        <w:t>2) jagħtu l-impressjoni li sostitut partikolari tat-tabakk huwa inqas ta’ ħsara minn prodotti oħra;</w:t>
      </w:r>
    </w:p>
    <w:p w14:paraId="37E34715" w14:textId="496886AF" w:rsidR="0012504C" w:rsidRPr="0000570D" w:rsidRDefault="00740AC2" w:rsidP="00CC6C07">
      <w:pPr>
        <w:spacing w:after="0"/>
      </w:pPr>
      <w:r>
        <w:t>3) jagħtu l-impressjoni li sostitut partikolari tat-tabakk għandu proprjetajiet rivitalizzanti, enerġizzanti, ta’ fejqan, li jagħmluk tidher iżgħar, naturali, ekoloġiċi jew skopijiet pożittivi oħra jew effetti oħra pożittivi fuq is-saħħa jew l-istil tal-ħajja;</w:t>
      </w:r>
    </w:p>
    <w:p w14:paraId="252AD1F6" w14:textId="77777777" w:rsidR="0012504C" w:rsidRPr="0000570D" w:rsidRDefault="00740AC2" w:rsidP="00CC6C07">
      <w:pPr>
        <w:spacing w:after="0"/>
      </w:pPr>
      <w:r>
        <w:t>4) jagħmlu l-prodott jidher simili għal ikel jew prodott kożmetiku jew</w:t>
      </w:r>
    </w:p>
    <w:p w14:paraId="76C5A254" w14:textId="77777777" w:rsidR="0012504C" w:rsidRPr="0000570D" w:rsidRDefault="00740AC2" w:rsidP="00CC6C07">
      <w:pPr>
        <w:spacing w:after="0"/>
      </w:pPr>
      <w:r>
        <w:t>5) jagħtu l-impressjoni li sostitut partikolari tat-tabakk għandu bijodegradabilità mtejba jew benefiċċji ambjentali oħra.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>(2)</w:t>
      </w:r>
      <w:r>
        <w:t xml:space="preserve"> L-elementi u l-karatteristiċi pprojbiti taħt il-paragrafi (1–5) tat-taqsima 3, jinkludu, iżda mhumiex limitati għal, test, simboli, ismijiet, trademarks, figuri jew sinjali oħra.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>Taqsima 4.</w:t>
      </w:r>
      <w:r>
        <w:t xml:space="preserve"> Il-persuna li tikkummerċjalizza s-sostituti tat-tabakk f’dan il-pajjiż għandha tiżgura li kull pakkett individwali u kwalunkwe imballaġġ ta’ barra ma jkunx fih jew inkella ma jkunx assoċjat ma’ kupuni li joffru skontijiet, distribuzzjoni b’xejn, offerti tnejn għal wieħed jew miżuri promozzjonali oħra.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CD5A3F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Parti 3</w:t>
      </w:r>
    </w:p>
    <w:p w14:paraId="21372067" w14:textId="38AC81D0" w:rsidR="003C37AA" w:rsidRPr="009A4968" w:rsidRDefault="003C37AA" w:rsidP="00CD5A3F">
      <w:pPr>
        <w:keepNext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Twissijiet tas-saħħa</w:t>
      </w:r>
    </w:p>
    <w:p w14:paraId="5AE2C49E" w14:textId="77777777" w:rsidR="003C37AA" w:rsidRDefault="003C37AA" w:rsidP="00CD5A3F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5.</w:t>
      </w:r>
      <w:r>
        <w:t xml:space="preserve"> Kull pakkett individwali u kwalunkwe imballaġġ ta’ barra ta’ sostituti tat-tabakk għandhom jiġu pprovduti bit-twissija tas-saħħa li ġejja bid-Daniż: “Dan il-prodott fih in-nikotina, li hija sustanza dipendenti ħafna.”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6.</w:t>
      </w:r>
      <w:r>
        <w:t xml:space="preserve"> It-twissija tas-saħħa fuq kull pakkett individwali u kwalunkwe imballaġġ ta’ barra ta’ sostituti tat-tabakk għandha: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titqiegħed fuq l-akbar tliet uċuħ fuq il-pakkett individwali u kwalunkwe imballaġġ ta’ barra, rispettivament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tkopri 30 % tal-wiċċ tal-pakkett individwali u kwalunkwe imballaġġ ta’ barra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tkun stampata b’tipa grassa bit-tipa Helvetica bl-abjad fuq sfond abjad,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tkun iddisinjata b’tipa ta’ daqs li tkopri l-akbar proporzjon possibbli tal-erja riżervata għat-twissija tas-saħħa meta l-pakkett jingħalaq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titqiegħed fiċ-ċentru tal-erja riżervata għat-twissija,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tkun f’linja dritta u fl-istess direzzjoni tal-qari bħat-test ewlieni tal-wiċċ riżervat għat-twissija;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fuq pakketti f’forma ta’ kaxxa u kwalunkwe imballaġġ ta’ barra titqiegħed parallel mat-tarf tal-ġenb tal-pakkett individwali jew l-imballaġġ ta’ barra,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>Id-dimensjonijiet tat-twissija tas-saħħa huma kkalkulati b’relazzjoni mal-wiċċ rispettiv meta l-pakkett jingħalaq.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7.</w:t>
      </w:r>
      <w:r>
        <w:t xml:space="preserve"> Kull twissija tas-saħħa fuq pakkett wieħed u kwalunkwe imballaġġ ta’ barra għandha tkun stampata jew imwaħħla b’tali mod li ma tkunx tista’ titneħħa jew titħassar u tkun viżibbli għalkollox u m’għandhiex tkun kompletament jew parzjalment mgħottija jew miksura bit-tikketti tal-prezz, materjal għall-imballaġġ, kisi, kaxxi jew kaxxi jew oġġetti oħra meta s-sostitut tat-tabakk jiġi kkummerċjalizzat.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8.</w:t>
      </w:r>
      <w:r>
        <w:t xml:space="preserve"> It-twissija tas-saħħa ma jistax ikollha kummenti u m’għandhiex tkun ifformulata mill-ġdid jew mgħottija b’referenzi ta’ kwalunkwe tip fuq il-pakkett individwali jew kwalunkwe imballaġġ ta’ barra.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9.</w:t>
      </w:r>
      <w:r>
        <w:t xml:space="preserve"> Kull twissija tas-saħħa għandha tibqa’ intatta wara li jinfetaħ il-pakkett individwali.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 xml:space="preserve">Għal tal-inqas waħda mit-twissijiet tas-saħħa l-oħra, il-leġibbiltà u l-viżibbiltà tat-test iridu jibqgħu intatti jekk jinkisru billi jinfetaħ il-pakkett individwali.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Taqsima 10.</w:t>
      </w:r>
      <w:r>
        <w:t xml:space="preserve"> L-istampi ta’ pakketti individwali u kwalunkwe imballaġġ ta’ barra indirizzati lill-konsumaturi għandhom jikkonformaw mad-dispożizzjonijiet ta’ din il-parti.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Taqsima 11. </w:t>
      </w:r>
      <w:r>
        <w:t>Sakemm ma tkunx dovuta piena aktar ħarxa skont att ieħor, kull min jikser ir-regoli fit-taqsimiet 2-10 jiġi mmultat.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 </w:t>
      </w:r>
      <w:r>
        <w:t>(persuni legali) jistgħu jsiru responsabbli kriminalment skont id-dispożizzjonijiet fil-parti 5 tal-Kodiċi Penali [Straffeloven].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Parti 4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Dħul fis-seħħ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Taqsima 12. </w:t>
      </w:r>
      <w:r>
        <w:t>L-Ordni tidħol fis-seħħ fl-1 ta’ Lulju 2021.</w:t>
      </w:r>
    </w:p>
    <w:p w14:paraId="476B0B42" w14:textId="2F7CEF8C" w:rsidR="008346B7" w:rsidRDefault="008346B7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Ministeru tas-Saħħa, 18 ta’ Marzu 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414A5E0" w14:textId="77777777" w:rsidR="00477D23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>Magnus Heunicke / Zelle Huma Sheikh</w:t>
      </w:r>
    </w:p>
    <w:p w14:paraId="47DD6D90" w14:textId="1C4166E2" w:rsidR="00331A1D" w:rsidRDefault="00331A1D" w:rsidP="00477D23">
      <w:pPr>
        <w:autoSpaceDE w:val="0"/>
        <w:autoSpaceDN w:val="0"/>
        <w:adjustRightInd w:val="0"/>
        <w:spacing w:after="0" w:line="240" w:lineRule="auto"/>
        <w:jc w:val="center"/>
      </w:pP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CD5A3F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Liana Brili</cp:lastModifiedBy>
  <cp:revision>9</cp:revision>
  <dcterms:created xsi:type="dcterms:W3CDTF">2021-03-24T09:43:00Z</dcterms:created>
  <dcterms:modified xsi:type="dcterms:W3CDTF">2021-11-03T16:35:00Z</dcterms:modified>
</cp:coreProperties>
</file>