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BF3" w:rsidRDefault="00694BF3" w:rsidP="00F54ECB">
      <w:pPr>
        <w:jc w:val="both"/>
      </w:pPr>
    </w:p>
    <w:p w:rsidR="009C128D" w:rsidRDefault="009C128D" w:rsidP="00F54ECB">
      <w:pPr>
        <w:jc w:val="both"/>
      </w:pPr>
    </w:p>
    <w:p w:rsidR="009C128D" w:rsidRDefault="009C128D" w:rsidP="00F54ECB">
      <w:pPr>
        <w:jc w:val="both"/>
        <w:rPr>
          <w:color w:val="000000"/>
          <w:rFonts w:ascii="Arial" w:hAnsi="Arial" w:cs="Arial"/>
        </w:rPr>
      </w:pPr>
      <w:r>
        <w:rPr>
          <w:color w:val="000000"/>
          <w:rFonts w:ascii="Arial" w:hAnsi="Arial"/>
        </w:rPr>
        <w:t xml:space="preserve">Wetsontwerp ter bevestiging van het consolideren van respect voor de beginselen van de Republiek</w:t>
      </w:r>
    </w:p>
    <w:p w:rsidR="009C128D" w:rsidRDefault="009C128D" w:rsidP="00F54ECB">
      <w:pPr>
        <w:jc w:val="both"/>
        <w:rPr>
          <w:rFonts w:ascii="Arial" w:hAnsi="Arial" w:cs="Arial"/>
          <w:color w:val="000000"/>
        </w:rPr>
      </w:pPr>
    </w:p>
    <w:p w:rsidR="009C128D" w:rsidRDefault="009C128D" w:rsidP="00F54ECB">
      <w:pPr>
        <w:jc w:val="both"/>
        <w:rPr>
          <w:rFonts w:ascii="Arial" w:hAnsi="Arial" w:cs="Arial"/>
          <w:color w:val="000000"/>
        </w:rPr>
      </w:pPr>
    </w:p>
    <w:p w:rsidR="009C128D" w:rsidRDefault="009C128D" w:rsidP="00F54ECB">
      <w:pPr>
        <w:autoSpaceDE w:val="0"/>
        <w:autoSpaceDN w:val="0"/>
        <w:adjustRightInd w:val="0"/>
        <w:spacing w:after="0" w:line="240" w:lineRule="auto"/>
        <w:jc w:val="both"/>
        <w:rPr>
          <w:b/>
          <w:bCs/>
          <w:sz w:val="21"/>
          <w:szCs w:val="21"/>
          <w:rFonts w:ascii="Times-Bold" w:hAnsi="Times-Bold" w:cs="Times-Bold"/>
        </w:rPr>
      </w:pPr>
      <w:r>
        <w:rPr>
          <w:b/>
          <w:sz w:val="21"/>
          <w:rFonts w:ascii="Times-Bold" w:hAnsi="Times-Bold"/>
        </w:rPr>
        <w:t xml:space="preserve">Artikel 19</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rFonts w:ascii="Times-Roman" w:hAnsi="Times-Roman"/>
        </w:rPr>
        <w:t xml:space="preserve">Hoofdstuk II van titel I van wet nr. 2004-575 van 21 juni 2004 inzake het Vertrouwen in de digitale economie wordt als volgt gewijzigd:</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sz w:val="21"/>
        </w:rPr>
        <w:t xml:space="preserve">1.</w:t>
      </w:r>
      <w:r>
        <w:rPr>
          <w:sz w:val="21"/>
        </w:rPr>
        <w:t xml:space="preserve"> </w:t>
      </w:r>
      <w:r>
        <w:rPr>
          <w:sz w:val="21"/>
          <w:i/>
        </w:rPr>
        <w:t xml:space="preserve">(nieuw)</w:t>
      </w:r>
      <w:r>
        <w:rPr>
          <w:sz w:val="21"/>
        </w:rPr>
        <w:t xml:space="preserve"> In pkt. 8 van lid I van artikel 6, worden de woorden:</w:t>
      </w:r>
      <w:r>
        <w:rPr>
          <w:sz w:val="21"/>
          <w:rFonts w:ascii="Times-Roman" w:hAnsi="Times-Roman"/>
        </w:rPr>
        <w:t xml:space="preserve"> </w:t>
      </w:r>
      <w:r>
        <w:rPr>
          <w:sz w:val="21"/>
          <w:rFonts w:ascii="Times-Roman" w:hAnsi="Times-Roman"/>
        </w:rPr>
        <w:t xml:space="preserve">‘in pkt. 2 of, bij gebreke daarvan, aan elke persoon bedoeld in pkt. 1’ wordt vervangen door:</w:t>
      </w:r>
      <w:r>
        <w:rPr>
          <w:sz w:val="21"/>
          <w:rFonts w:ascii="Times-Roman" w:hAnsi="Times-Roman"/>
        </w:rPr>
        <w:t xml:space="preserve"> </w:t>
      </w:r>
      <w:r>
        <w:rPr>
          <w:sz w:val="21"/>
          <w:rFonts w:ascii="Times-Roman" w:hAnsi="Times-Roman"/>
        </w:rPr>
        <w:t xml:space="preserve">‘in pkt. 1 of pkt. 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Na artikel 6-2 in de tekst die voortvloeit uit wet nr. 2020-1266 van 19 oktober 2020 tot Regulering van de commerciële exploitatie van foto's van kinderen jonger dan zestien jaar op online platforms, worden de artikelen 6-3 en 6-4 als volgt ingevoegd:</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Pr>
        <w:t xml:space="preserve">‘</w:t>
      </w:r>
      <w:r>
        <w:rPr>
          <w:sz w:val="21"/>
          <w:i/>
          <w:rFonts w:ascii="Times-Italic" w:hAnsi="Times-Italic"/>
        </w:rPr>
        <w:t xml:space="preserve">Artikel 6-4</w:t>
      </w:r>
      <w:r>
        <w:rPr>
          <w:sz w:val="21"/>
          <w:i/>
          <w:rFonts w:ascii="Times-Italic" w:hAnsi="Times-Italic"/>
        </w:rPr>
        <w:t xml:space="preserve"> </w:t>
      </w:r>
      <w:r>
        <w:rPr>
          <w:sz w:val="21"/>
          <w:rFonts w:ascii="Times-Roman" w:hAnsi="Times-Roman"/>
        </w:rPr>
        <w:t xml:space="preserve">— Wanneer een uitvoerbare rechterlijke beslissing een maatregel heeft gelast om de toegang tot een online openbare communicatiedienst te voorkomen, waarvan de inhoud onder het toepassingsgebied van de inbreuken als bedoeld in artikel 6, lid I, pkt. 7 valt, mag de administratieve autoriteit, indien nodig verwezen door een belanghebbende, de personen als bedoeld in pkt.1 of pkt. 2 van dezelfde lid I, verzoeken voor een periode die niet langer is dan de termijn die resteert voor de maatregelen die bij die rechterlijke beslissing zijn gelast, om de toegang van het publiek tot een online communicatiedienst te voorkomen waarvan de inhoud identiek of gedeeltelijk of volledig gelijkwaardig is aan de inhoud van de dienst vermeld in voornoemd besluit.</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Onder dezelfde voorwaarden kan de administratieve autoriteit ook elke exploitant van een zoekmachine, een gids of een andere referentiedienst verzoeken om het verwijzen naar webadressen die toegang geven tot dergelijke onlinecommunicatiediensten aan het publiek te beëindigen.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De administratieve autoriteit houdt een actuele lijst bij van de onlinecommunicatiediensten, bedoeld in het eerste lid van dit artikel, waarvoor een verzoek tot blokkering van de toegang overeenkomstig dezelfde eerste alinea is ingediend, alsmede van webadressen die toegang geven tot dergelijke diensten, stelt die lijst ter beschikking van adverteerders, hun agenten en de diensten bedoeld in artikel 299, lid II, pkt. 2 van het Algemeen belastingwetboek.</w:t>
      </w:r>
      <w:r>
        <w:rPr>
          <w:sz w:val="21"/>
          <w:rFonts w:ascii="Times-Roman" w:hAnsi="Times-Roman"/>
        </w:rPr>
        <w:t xml:space="preserve"> </w:t>
      </w:r>
      <w:r>
        <w:rPr>
          <w:sz w:val="21"/>
          <w:rFonts w:ascii="Times-Roman" w:hAnsi="Times-Roman"/>
        </w:rPr>
        <w:t xml:space="preserve">Deze diensten worden in de lijst opgenomen voor de rest van de duur van de maatregelen die door de gerechtelijke autoriteit zijn opgelegd.</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Indien dergelijke diensten niet worden geblokkeerd of verwijzingen ernaar niet worden verwijderd in overeenstemming met dit artikel, mag de rechterlijke autoriteit bij voorlopige maatregel of op verzoek worden verwezen om maatregelen te gelasten die bedoeld zijn om de toegang tot de inhoud van die diensten te beëindigen.</w:t>
      </w:r>
      <w:r>
        <w:rPr>
          <w:sz w:val="21"/>
          <w:rFonts w:ascii="Times-Roman" w:hAnsi="Times-Roman"/>
        </w:rPr>
        <w:t xml:space="preserve"> </w:t>
      </w:r>
      <w:r>
        <w:rPr>
          <w:sz w:val="21"/>
          <w:rFonts w:ascii="Times-Roman" w:hAnsi="Times-Roman"/>
        </w:rPr>
        <w:t xml:space="preserve">”</w:t>
      </w:r>
    </w:p>
    <w:p w:rsidR="00317039" w:rsidRDefault="00317039" w:rsidP="00F54ECB">
      <w:pPr>
        <w:autoSpaceDE w:val="0"/>
        <w:autoSpaceDN w:val="0"/>
        <w:adjustRightInd w:val="0"/>
        <w:spacing w:after="0" w:line="240" w:lineRule="auto"/>
        <w:jc w:val="both"/>
        <w:rPr>
          <w:rFonts w:ascii="Times-Bold" w:hAnsi="Times-Bold" w:cs="Times-Bold"/>
          <w:b/>
          <w:bCs/>
          <w:sz w:val="21"/>
          <w:szCs w:val="21"/>
        </w:rPr>
      </w:pPr>
    </w:p>
    <w:p w:rsidR="001048BC" w:rsidRDefault="001048BC" w:rsidP="00F54ECB">
      <w:pPr>
        <w:autoSpaceDE w:val="0"/>
        <w:autoSpaceDN w:val="0"/>
        <w:adjustRightInd w:val="0"/>
        <w:spacing w:after="0" w:line="240" w:lineRule="auto"/>
        <w:jc w:val="both"/>
        <w:rPr>
          <w:rFonts w:ascii="Times-Bold" w:hAnsi="Times-Bold" w:cs="Times-Bold"/>
          <w:b/>
          <w:bCs/>
          <w:sz w:val="21"/>
          <w:szCs w:val="21"/>
        </w:rPr>
      </w:pPr>
    </w:p>
    <w:p w:rsidR="00317039" w:rsidRDefault="00317039" w:rsidP="00F54ECB">
      <w:pPr>
        <w:autoSpaceDE w:val="0"/>
        <w:autoSpaceDN w:val="0"/>
        <w:adjustRightInd w:val="0"/>
        <w:spacing w:after="0" w:line="240" w:lineRule="auto"/>
        <w:jc w:val="both"/>
        <w:rPr>
          <w:b/>
          <w:bCs/>
          <w:i/>
          <w:iCs/>
          <w:sz w:val="21"/>
          <w:szCs w:val="21"/>
          <w:rFonts w:ascii="Times-BoldItalic" w:hAnsi="Times-BoldItalic" w:cs="Times-BoldItalic"/>
        </w:rPr>
      </w:pPr>
      <w:r>
        <w:rPr>
          <w:b/>
          <w:sz w:val="21"/>
          <w:rFonts w:ascii="Times-Bold" w:hAnsi="Times-Bold"/>
        </w:rPr>
        <w:t xml:space="preserve">Artikel 19 </w:t>
      </w:r>
      <w:r>
        <w:rPr>
          <w:b/>
          <w:sz w:val="21"/>
          <w:i/>
          <w:rFonts w:ascii="Times-BoldItalic" w:hAnsi="Times-BoldItalic"/>
        </w:rPr>
        <w:t xml:space="preserve">a (nieuw)</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rFonts w:ascii="Times-Roman" w:hAnsi="Times-Roman"/>
        </w:rPr>
        <w:t xml:space="preserve">I. – Hoofdstuk II van Titel I van wet nr. 2004-575 van 21 juni 2004 inzake het Vertrouwen in de digitale economie, wordt als volgt gewijzigd:</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Het vierde alinea van artikel 6, lid 7, wordt als volgt gewijzigd:</w:t>
      </w:r>
    </w:p>
    <w:p w:rsidR="004E021A" w:rsidRDefault="004E021A"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a)</w:t>
      </w:r>
      <w:r>
        <w:rPr>
          <w:sz w:val="21"/>
        </w:rPr>
        <w:t xml:space="preserve"> De eerste zin wordt aangevuld met de woorden:</w:t>
      </w:r>
      <w:r>
        <w:rPr>
          <w:sz w:val="21"/>
          <w:rFonts w:ascii="Times-Roman" w:hAnsi="Times-Roman"/>
        </w:rPr>
        <w:t xml:space="preserve"> </w:t>
      </w:r>
      <w:r>
        <w:rPr>
          <w:sz w:val="21"/>
          <w:rFonts w:ascii="Times-Roman" w:hAnsi="Times-Roman"/>
        </w:rPr>
        <w:t xml:space="preserve">‘en openbaar maken van de middelen die zij besteden aan de strijd tegen de illegale activiteiten bedoeld in het derde lid van deze 7’;</w:t>
      </w:r>
    </w:p>
    <w:p w:rsidR="001048BC" w:rsidRDefault="001048BC"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b)</w:t>
      </w:r>
      <w:r>
        <w:rPr>
          <w:sz w:val="21"/>
        </w:rPr>
        <w:t xml:space="preserve"> na dezelfde eerste zin wordt de volgende zin ingevoegd:</w:t>
      </w:r>
      <w:r>
        <w:rPr>
          <w:sz w:val="21"/>
          <w:rFonts w:ascii="Times-Roman" w:hAnsi="Times-Roman"/>
        </w:rPr>
        <w:t xml:space="preserve"> </w:t>
      </w:r>
      <w:r>
        <w:rPr>
          <w:sz w:val="21"/>
          <w:rFonts w:ascii="Times-Roman" w:hAnsi="Times-Roman"/>
        </w:rPr>
        <w:t xml:space="preserve">‘Deze verplichtingen zijn niet van toepassing op de in het eerste lid van artikel 6-5 vermelde exploitanten ter bestrijding van de verspreiding van de inhoud bedoeld in hetzelfde eerste lid.</w:t>
      </w:r>
      <w:r>
        <w:rPr>
          <w:sz w:val="21"/>
          <w:rFonts w:ascii="Times-Roman" w:hAnsi="Times-Roman"/>
        </w:rPr>
        <w:t xml:space="preserve"> </w:t>
      </w:r>
      <w:r>
        <w:rPr>
          <w:sz w:val="21"/>
          <w:rFonts w:ascii="Times-Roman" w:hAnsi="Times-Roman"/>
        </w:rPr>
        <w:t xml:space="preserv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c)</w:t>
      </w:r>
      <w:r>
        <w:rPr>
          <w:sz w:val="21"/>
        </w:rPr>
        <w:t xml:space="preserve"> De tweede zin wordt als volgt gewijzigd:</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in het begin, het woord:</w:t>
      </w:r>
      <w:r>
        <w:rPr>
          <w:sz w:val="21"/>
          <w:rFonts w:ascii="Times-Roman" w:hAnsi="Times-Roman"/>
        </w:rPr>
        <w:t xml:space="preserve"> </w:t>
      </w:r>
      <w:r>
        <w:rPr>
          <w:sz w:val="21"/>
          <w:rFonts w:ascii="Times-Roman" w:hAnsi="Times-Roman"/>
        </w:rPr>
        <w:t xml:space="preserve">‘Zij’ wordt vervangen door:</w:t>
      </w:r>
      <w:r>
        <w:rPr>
          <w:sz w:val="21"/>
          <w:rFonts w:ascii="Times-Roman" w:hAnsi="Times-Roman"/>
        </w:rPr>
        <w:t xml:space="preserve"> </w:t>
      </w:r>
      <w:r>
        <w:rPr>
          <w:sz w:val="21"/>
          <w:rFonts w:ascii="Times-Roman" w:hAnsi="Times-Roman"/>
        </w:rPr>
        <w:t xml:space="preserve">‘De personen genoemd in pkt. 1 en pkt. 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Pr>
        <w:t xml:space="preserve">– de woorden:</w:t>
      </w:r>
      <w:r>
        <w:rPr>
          <w:sz w:val="21"/>
          <w:rFonts w:ascii="Times-Roman" w:hAnsi="Times-Roman"/>
        </w:rPr>
        <w:t xml:space="preserve"> </w:t>
      </w:r>
      <w:r>
        <w:rPr>
          <w:sz w:val="21"/>
          <w:rFonts w:ascii="Times-Roman" w:hAnsi="Times-Roman"/>
        </w:rPr>
        <w:t xml:space="preserve">‘aan de ene kant’ worden verwijderd;</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de woorden:</w:t>
      </w:r>
      <w:r>
        <w:rPr>
          <w:sz w:val="21"/>
          <w:rFonts w:ascii="Times-Roman" w:hAnsi="Times-Roman"/>
        </w:rPr>
        <w:t xml:space="preserve"> </w:t>
      </w:r>
      <w:r>
        <w:rPr>
          <w:sz w:val="21"/>
          <w:rFonts w:ascii="Times-Roman" w:hAnsi="Times-Roman"/>
        </w:rPr>
        <w:t xml:space="preserve">‘van het vorig lid’ worden vervangen door de woorden:</w:t>
      </w:r>
      <w:r>
        <w:rPr>
          <w:sz w:val="21"/>
          <w:rFonts w:ascii="Times-Roman" w:hAnsi="Times-Roman"/>
        </w:rPr>
        <w:t xml:space="preserve"> </w:t>
      </w:r>
      <w:r>
        <w:rPr>
          <w:sz w:val="21"/>
          <w:rFonts w:ascii="Times-Roman" w:hAnsi="Times-Roman"/>
        </w:rPr>
        <w:t xml:space="preserve">‘in hetzelfde derde lid’;</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na het woord:</w:t>
      </w:r>
      <w:r>
        <w:rPr>
          <w:sz w:val="21"/>
          <w:rFonts w:ascii="Times-Roman" w:hAnsi="Times-Roman"/>
        </w:rPr>
        <w:t xml:space="preserve"> </w:t>
      </w:r>
      <w:r>
        <w:rPr>
          <w:sz w:val="21"/>
          <w:rFonts w:ascii="Times-Roman" w:hAnsi="Times-Roman"/>
        </w:rPr>
        <w:t xml:space="preserve">‘diensten’, wordt het einde verwijderd;</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Na de formulering van artikel 6-2 als gevolg van bovengenoemde wet nr. 2020-1266 van 19 oktober 2020, wordt een artikel 6-5 als volgt ingevoegd:</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‘Artikel 6-5.</w:t>
      </w:r>
      <w:r>
        <w:rPr>
          <w:sz w:val="21"/>
          <w:i/>
          <w:rFonts w:ascii="Times-Italic" w:hAnsi="Times-Italic"/>
        </w:rPr>
        <w:t xml:space="preserve"> </w:t>
      </w:r>
      <w:r>
        <w:rPr>
          <w:sz w:val="21"/>
          <w:rFonts w:ascii="Times-Roman" w:hAnsi="Times-Roman"/>
        </w:rPr>
        <w:t xml:space="preserve">– De exploitanten van online platforms zoals gedefinieerd in artikel L. 111-7 van de Consumentenwet, die een onlinecommunicatiedienst aan het publiek aanbieden op basis van de classificatie, de verwijzing naar of het delen van inhoud die online is geplaatst door derden en waarvan de activiteit op het Franse grondgebied een drempel overschrijdt van het aantal bij decreet bepaalde verbindingen, ongeacht of deze al dan niet op Frans grondgebied zijn gevestigd, dragen bij tot de bestrijding van de openbare verspreiding van inhoud in strijd met de bepalingen van het derde lid van artikel 6, lid I, pkt. 7, evenals artikel 24, onder a), en het derde en vierde lid van artikel 33 van de Wet van 29 juli 1881 inzake de Persvrijheid.</w:t>
      </w:r>
      <w:r>
        <w:rPr>
          <w:sz w:val="21"/>
          <w:rFonts w:ascii="Times-Roman" w:hAnsi="Times-Roman"/>
        </w:rPr>
        <w:t xml:space="preserve"> </w:t>
      </w:r>
      <w:r>
        <w:rPr>
          <w:sz w:val="21"/>
          <w:rFonts w:ascii="Times-Roman" w:hAnsi="Times-Roman"/>
        </w:rPr>
        <w:t xml:space="preserve">In dit verband:</w:t>
      </w:r>
    </w:p>
    <w:p w:rsidR="00F54ECB" w:rsidRDefault="00F54ECB" w:rsidP="00196BE6">
      <w:pPr>
        <w:spacing w:after="0"/>
        <w:jc w:val="both"/>
        <w:rPr>
          <w:rFonts w:ascii="Times-Roman" w:hAnsi="Times-Roman" w:cs="Times-Roman"/>
          <w:sz w:val="21"/>
          <w:szCs w:val="21"/>
        </w:rPr>
      </w:pPr>
    </w:p>
    <w:p w:rsidR="00317039" w:rsidRDefault="00317039" w:rsidP="00196BE6">
      <w:pPr>
        <w:spacing w:after="0"/>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Moeten ze evenredige menselijke en technologische procedures en middelen implementeren die het mogelijk maken:</w:t>
      </w:r>
    </w:p>
    <w:p w:rsidR="001048BC" w:rsidRDefault="001048BC" w:rsidP="00196BE6">
      <w:pPr>
        <w:spacing w:after="0"/>
        <w:jc w:val="both"/>
        <w:rPr>
          <w:rFonts w:ascii="Times-Roman" w:hAnsi="Times-Roman" w:cs="Times-Roman"/>
          <w:sz w:val="21"/>
          <w:szCs w:val="21"/>
        </w:rPr>
      </w:pPr>
    </w:p>
    <w:p w:rsidR="00317039" w:rsidRPr="004E021A" w:rsidRDefault="001048BC" w:rsidP="00196BE6">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De gerechtelijke of administratieve autoriteiten zo spoedig mogelijk op de hoogte stellen van de maatregelen die zij naar aanleiding van de door deze autoriteiten uitgevaardigde bevelen hebben genomen met betrekking tot de in het eerste lid van dit artikel bedoelde inhoud;</w:t>
      </w:r>
    </w:p>
    <w:p w:rsidR="004E021A" w:rsidRPr="004E021A" w:rsidRDefault="004E021A" w:rsidP="00196BE6">
      <w:pPr>
        <w:spacing w:after="0"/>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De veilige ontvangst van verzoeken van gerechtelijke of administratieve autoriteiten om de mededeling van de gegevens waarover zij beschikken, om de identificatie van gebruikers die de in hetzelfde eerste lid vermelde inhoud hebben geüpload mogelijk te maken, direct te bevestigen, en om die autoriteiten zo spoedig mogelijk op de hoogte te stellen van de follow-up van dergelijke verzoeken;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Tijdelijk de inhoud te bewaren, waarvan hun is gemeld dat deze in strijd is met de bepalingen in het eerste lid en die zij hebben ingetrokken of ontoegankelijk hebben gemaakt, teneinde deze ter beschikking van de rechterlijke autoriteit te stellen voor opsporing, vinding en vervolging van strafbare feiten.</w:t>
      </w:r>
      <w:r>
        <w:rPr>
          <w:sz w:val="21"/>
          <w:rFonts w:ascii="Times-Roman" w:hAnsi="Times-Roman"/>
        </w:rPr>
        <w:t xml:space="preserve"> </w:t>
      </w:r>
      <w:r>
        <w:rPr>
          <w:sz w:val="21"/>
          <w:rFonts w:ascii="Times-Roman" w:hAnsi="Times-Roman"/>
        </w:rPr>
        <w:t xml:space="preserve">De duur en de methoden voor het behoud van deze inhoud worden bepaald door het besluit van de Raad van State, na advies van de</w:t>
      </w: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Nationale commissie voor informatietechnologie en vrijheden;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Wijzen zij één contactpunt aan, een natuurlijke persoon, die verantwoordelijk is voor de communicatie met de openbare autoriteiten voor de uitvoering van de bepalingen van dit artikel, aan wie in het bijzonder alle aanvragen die door de Hoge Raad voor audiovisuele aangelegenheden worden ingediend overeenkomstig artikel 62 van Wet nr. 86-1067 van 30 september 1986 inzake de Vrijheid van communicatie langs elektronische weg mogen worden verzonden.</w:t>
      </w:r>
      <w:r>
        <w:rPr>
          <w:sz w:val="21"/>
          <w:rFonts w:ascii="Times-Roman" w:hAnsi="Times-Roman"/>
        </w:rPr>
        <w:t xml:space="preserve"> </w:t>
      </w:r>
      <w:r>
        <w:rPr>
          <w:sz w:val="21"/>
          <w:rFonts w:ascii="Times-Roman" w:hAnsi="Times-Roman"/>
        </w:rPr>
        <w:t xml:space="preserve">Dit enige contactpunt is namelijk verantwoordelijk voor het in ontvangst nemen van aanvragen die door de gerechtelijke autoriteit aan de exploitant worden gericht in overeenstemming met de procedure van artikel 6, lid II van deze wet, om ervoor te zorgen dat ze snel worden behandeld;</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3.</w:t>
      </w:r>
      <w:r>
        <w:rPr>
          <w:sz w:val="21"/>
          <w:rFonts w:ascii="Times-Roman" w:hAnsi="Times-Roman"/>
        </w:rPr>
        <w:t xml:space="preserve"> </w:t>
      </w:r>
      <w:r>
        <w:rPr>
          <w:sz w:val="21"/>
          <w:rFonts w:ascii="Times-Roman" w:hAnsi="Times-Roman"/>
        </w:rPr>
        <w:t xml:space="preserve">Stellen zij de algemene voorwaarden voor het gebruik van de door hen aangeboden dienst op een gemakkelijk toegankelijke manier ter beschikking van het publiek; bevatten zij bepalingen die de online publicatie van de in het eerste lid van dit artikel bedoelde inhoud verbieden; beschrijven zij in duidelijke en nauwkeurige bewoordingen hun matigingsregelingen gericht op het waar nodig detecteren en verwerken van dergelijke inhoud, en beschrijven de procedures en de menselijke of geautomatiseerde middelen die voor dit doel worden gebruikt en de maatregelen die zij nemen die de beschikbaarheid, zichtbaarheid en toegankelijkheid van dergelijke inhoud beïnvloeden; vermelden zij de maatregelen die zij toepassen ten aanzien van gebruikers die deze inhoud online beschikbaar hebben gesteld, evenals de nationale en gerechtelijke rechtsmiddelen die voor dergelijke gebruikers beschikbaar zijn;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4.</w:t>
      </w:r>
      <w:r>
        <w:rPr>
          <w:sz w:val="21"/>
          <w:rFonts w:ascii="Times-Roman" w:hAnsi="Times-Roman"/>
        </w:rPr>
        <w:t xml:space="preserve"> </w:t>
      </w:r>
      <w:r>
        <w:rPr>
          <w:sz w:val="21"/>
          <w:rFonts w:ascii="Times-Roman" w:hAnsi="Times-Roman"/>
        </w:rPr>
        <w:t xml:space="preserve">Stellen zij het publiek op de hoogte van de gebruikte middelen en van de maatregelen ter bestrijding van de verspreiding naar de gebruikers op Frans grondgebied, van de in het eerste lid bedoelde inhoud door middel van de publicatie overeenkomstig de door de Hoge Raad voor audiovisuele zaken vastgestelde procedures, van informatie en van gekwantificeerde indicatoren, gedefinieerd door deze laatste, met betrekking tot de verwerking van rechterlijke bevelen of verzoeken om informatie, de ontvangen kennisgevingen en de selectie van interne rechtsmiddelen, evenals, indien van toepassing, de criteria voor het selecteren van vertrouwde derde partijen wier kennisgevingen voorrang krijgen en de voorwaarden voor samenwerking met deze derde partijen;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5.</w:t>
      </w:r>
      <w:r>
        <w:rPr>
          <w:sz w:val="21"/>
          <w:rFonts w:ascii="Times-Roman" w:hAnsi="Times-Roman"/>
        </w:rPr>
        <w:t xml:space="preserve"> </w:t>
      </w:r>
      <w:r>
        <w:rPr>
          <w:sz w:val="21"/>
          <w:rFonts w:ascii="Times-Roman" w:hAnsi="Times-Roman"/>
        </w:rPr>
        <w:t xml:space="preserve">Implementeren zij een gemakkelijk toegankelijke en gebruiksvriendelijke procedure, waarmee een persoon elektronisch inhoud kan melden die geacht wordt in strijd te zijn met de bepalingen van het eerste lid, om duidelijk de locatie te specificeren en de redenen waarom men van mening is dat deze inhoud als illegaal moet worden beschouwd, en om de informatie te verstrekken die het mogelijk maakt contact op te nemen en de sancties te melden die zijn opgelegd in het geval van een ongepaste kennisgeving;</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6.</w:t>
      </w:r>
      <w:r>
        <w:rPr>
          <w:sz w:val="21"/>
          <w:rFonts w:ascii="Times-Roman" w:hAnsi="Times-Roman"/>
        </w:rPr>
        <w:t xml:space="preserve"> </w:t>
      </w:r>
      <w:r>
        <w:rPr>
          <w:sz w:val="21"/>
          <w:rFonts w:ascii="Times-Roman" w:hAnsi="Times-Roman"/>
        </w:rPr>
        <w:t xml:space="preserve">Moeten zij evenredige menselijke en technologische procedures en middelen implementeren die het mogelijk maken: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De veilige ontvangst van kennisgevingen met betrekking tot de in het eerste lid bedoelde inhoud onmiddellijk te bevestigen, behoudens de informatie die nodig is om contact op te nemen met de uitvoerder;</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Ervoor te zorgen dat deze kennisgevingen tijdig en op de juiste manier worden geanalyseerd;</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De auteur op de hoogte te brengen van de daarin genomen maatregelen en van de beschikbare nationale en gerechtelijke rechtsmiddelen, op voorwaarde dat men over de nodige informatie beschikt om contact met hem op te nemen;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 Indien wordt besloten om de inhoud te verwijderen of ontoegankelijk te maken wegens niet-naleving van de in de eerste alinea bedoelde bepalingen, de gebruiker aan de bron van de publicatie hierover te informeren, op voorwaarde dat men over de nodige informatie beschikt om contact met hem op te nemen, met vermelding van: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de redenen voor het besluit;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het feit of deze beslissing is genomen door middel van een geautomatiseerde tool;</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de nationale en gerechtelijke rechtsmiddelen waarover zij kunnen beschikken;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het feit dat civiele en strafrechtelijke sancties zijn opgelegd voor de publicatie van illegale inhoud;</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7.</w:t>
      </w:r>
      <w:r>
        <w:rPr>
          <w:sz w:val="21"/>
          <w:rFonts w:ascii="Times-Roman" w:hAnsi="Times-Roman"/>
        </w:rPr>
        <w:t xml:space="preserve"> </w:t>
      </w:r>
      <w:r>
        <w:rPr>
          <w:sz w:val="21"/>
          <w:rFonts w:ascii="Times-Roman" w:hAnsi="Times-Roman"/>
        </w:rPr>
        <w:t xml:space="preserve">Implementeren zij interne herstelmaatregelen die het volgende mogelijk maken: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De uitvoerder van een in het eerste lid bedoelde kennisgeving van inhoud om het besluit van de exploitant naar aanleiding van die kennisgeving aan te vechten;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De gebruiker die de maker is van de publicatie van inhoud die het onderwerp is geweest van een beslissing bedoeld in pkt. 6, onder d, om die beslissing aan te vechten;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Pr="004E021A" w:rsidRDefault="00317039" w:rsidP="00F54ECB">
      <w:pPr>
        <w:autoSpaceDE w:val="0"/>
        <w:autoSpaceDN w:val="0"/>
        <w:adjustRightInd w:val="0"/>
        <w:spacing w:after="0" w:line="240" w:lineRule="auto"/>
        <w:jc w:val="both"/>
        <w:rPr>
          <w:i/>
          <w:iCs/>
          <w:sz w:val="21"/>
          <w:szCs w:val="21"/>
          <w:rFonts w:ascii="Times-Italic" w:hAnsi="Times-Italic" w:cs="Times-Italic"/>
        </w:rPr>
      </w:pPr>
      <w:r>
        <w:rPr>
          <w:sz w:val="21"/>
          <w:rFonts w:ascii="Times-Roman" w:hAnsi="Times-Roman"/>
        </w:rPr>
        <w:t xml:space="preserve">c) De gebruiker die het onderwerp is geweest van een beslissing als bedoeld in pkt. 8, onder a of b, om die beslissing aan te vechten.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Zij zorgen ervoor dat deze systemen gemakkelijk toegankelijk en gebruiksvriendelijk zijn en dat zij een passende en snelle behandeling van beroepen mogelijk maken, die niet uitsluitend gebaseerd is op het gebruik van geautomatiseerde middelen, waarbij ze de gebruiker onverwijld op de hoogte stellen van het genomen besluit en onverwijld de maatregelen met betrekking tot de inhoud in kwestie of de gebruiker die door de exploitant ten uitvoer wordt gelegd toen het beroep hem ertoe bracht te oordelen dat de bestreden beslissing niet gerechtvaardigd was;</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8.</w:t>
      </w:r>
      <w:r>
        <w:rPr>
          <w:sz w:val="21"/>
          <w:rFonts w:ascii="Times-Roman" w:hAnsi="Times-Roman"/>
        </w:rPr>
        <w:t xml:space="preserve"> </w:t>
      </w:r>
      <w:r>
        <w:rPr>
          <w:sz w:val="21"/>
          <w:rFonts w:ascii="Times-Roman" w:hAnsi="Times-Roman"/>
        </w:rPr>
        <w:t xml:space="preserve">Wanneer zij besluiten dergelijke procedures toe te passen, stellen zij in hun gebruiksvoorwaarden duidelijk en nauwkeurig de procedures vast, die leiden tot: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De opschorting of, in de ernstigste gevallen, beëindiging van de accounts van gebruikers die herhaaldelijk inhoud die in strijd is met de in het eerste lid van dit artikel bedoelde bepalingen hebben geüpload;</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De opschorting van de toegang tot het kennisgevingsmechanisme voor gebruikers die herhaaldelijk kennelijk ongegronde mededelingen met betrekking tot de inhoud bedoeld in hetzelfde eerste lid hebben ingediend.</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Wanneer dergelijke procedures worden geïmplementeerd, wordt een analyse per geval uitgevoerd die erop gericht is het bestaan van de onder a of b van bovenstaande pkt. 8 bedoelde gedragingen objectief te karakteriseren, waarbij met name rekening wordt gehouden met: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de hoeveelheid illegale inhoud als bedoeld in het eerste lid van dit artikel of kennelijk ongegronde kennisgevingen van de gebruiker in het afgelopen jaar, zowel in absolute termen als in verhouding tot het totale aantal inhoud of kennisgevingen waarvoor hij of zij verantwoordelijk was;</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en de ernst en gevolgen van deze misbruiken.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Wanneer deze procedures zijn geïmplementeerd, bepalen zij dat de maatregelen bedoeld in pkt. 8, onder a en b, naar hun aard, de ernst van de gedraging in kwestie en, in geval van schorsing, evenredig zijn en dat zij voor een redelijke termijn worden uitgesproken.</w:t>
      </w:r>
      <w:r>
        <w:rPr>
          <w:sz w:val="21"/>
          <w:rFonts w:ascii="Times-Roman" w:hAnsi="Times-Roman"/>
        </w:rPr>
        <w:t xml:space="preserve"> </w:t>
      </w:r>
      <w:r>
        <w:rPr>
          <w:sz w:val="21"/>
          <w:rFonts w:ascii="Times-Roman" w:hAnsi="Times-Roman"/>
        </w:rPr>
        <w:t xml:space="preserve">De gebruiker krijgt een waarschuwing en informatie over de beschikbare nationale en gerechtelijke rechtsmiddelen;</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9.</w:t>
      </w:r>
      <w:r>
        <w:rPr>
          <w:sz w:val="21"/>
          <w:rFonts w:ascii="Times-Roman" w:hAnsi="Times-Roman"/>
        </w:rPr>
        <w:t xml:space="preserve"> </w:t>
      </w:r>
      <w:r>
        <w:rPr>
          <w:sz w:val="21"/>
          <w:rFonts w:ascii="Times-Roman" w:hAnsi="Times-Roman"/>
        </w:rPr>
        <w:t xml:space="preserve">De operatoren vermeld in het eerste lid van dit artikel, met activiteiten op het Franse grondgebied die de limiet van het aantal verbindingen bepaalt bij decreet overschrijden en hoger zijn dan die vermeld in hetzelfde eerste lid, zullen: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Jaarlijks een evaluatie uitvoeren van de systeemrisico’s verbonden aan de werking en het gebruik van hun diensten met betrekking tot de verspreiding van de in het eerste lid bedoelde inhoud en met betrekking tot inbreuken op de grondrechten met inbegrip van de vrijheid van meningsuiting.</w:t>
      </w:r>
      <w:r>
        <w:rPr>
          <w:sz w:val="21"/>
          <w:rFonts w:ascii="Times-Roman" w:hAnsi="Times-Roman"/>
        </w:rPr>
        <w:t xml:space="preserve"> </w:t>
      </w:r>
      <w:r>
        <w:rPr>
          <w:sz w:val="21"/>
          <w:rFonts w:ascii="Times-Roman" w:hAnsi="Times-Roman"/>
        </w:rPr>
        <w:t xml:space="preserve">Bij deze beoordeling wordt rekening gehouden met de kenmerken van deze diensten, in het bijzonder met hun effecten op de virale of massale verspreiding van de bovengenoemde inhoud;</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Redelijke, effectieve en evenredige maatregelen implementeren met betrekking tot de kenmerken van hun diensten en omvang en ernst van de risico's die aan het einde van de in pkt. 9, onder a, bedoelde beoordeling zijn vastgesteld, gericht op het verkleinen van de risico's van de verspreiding van dergelijke inhoud, die met name betrekking kan hebben op de procedures en de menselijke en technologische middelen die worden gebruikt om dergelijke inhoud op te sporen, te identificeren en te behandelen, en tegelijkertijd de risico’s van ongerechtvaardigde verwijdering onder de toepasselijke wetgeving te voorkomen en hun gebruiksvoorwaarden;</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Aan het publiek rapporteren, in overeenstemming met de procedures en intervallen die zijn vastgesteld door de Hoge Raad voor audiovisuele aangelegenheden over de beoordeling van deze systeemrisico’s en de geïmplementeerde risicobeperkende maatregelen;</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10) De in het eerste lid bedoelde exploitanten brengen aan de Hoge Raad voor audiovisuele aangelegenheden verslag uit over de procedures en middelen die worden gebruikt voor de toepassing van dit artikel, onder de voorwaarden die zijn vastgelegd in het bovengenoemde artikel 62 van wet nr. 86-1067 van 30 september 1986.</w:t>
      </w:r>
      <w:r>
        <w:rPr>
          <w:sz w:val="21"/>
          <w:rFonts w:ascii="Times-Roman" w:hAnsi="Times-Roman"/>
        </w:rPr>
        <w:t xml:space="preserve"> </w:t>
      </w:r>
      <w:r>
        <w:rPr>
          <w:sz w:val="21"/>
          <w:rFonts w:ascii="Times-Roman" w:hAnsi="Times-Roman"/>
        </w:rPr>
        <w:t xml:space="preserve">”</w:t>
      </w:r>
    </w:p>
    <w:p w:rsidR="00317039" w:rsidRDefault="00317039"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w:t>
      </w:r>
      <w:r>
        <w:rPr>
          <w:sz w:val="21"/>
          <w:rFonts w:ascii="Times-Roman" w:hAnsi="Times-Roman"/>
        </w:rPr>
        <w:t xml:space="preserve"> </w:t>
      </w:r>
      <w:r>
        <w:rPr>
          <w:sz w:val="21"/>
          <w:rFonts w:ascii="Times-Roman" w:hAnsi="Times-Roman"/>
        </w:rPr>
        <w:t xml:space="preserve">— Wet nr. 86-1067 van 30 september 1986 inzake de Vrijheid van communicatie wordt als volgt gewijzigd:</w:t>
      </w:r>
    </w:p>
    <w:p w:rsidR="00317039" w:rsidRDefault="00317039"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In het derde alinea van artikel 19, lid I, pkt. 1, worden de woorden:</w:t>
      </w:r>
      <w:r>
        <w:rPr>
          <w:sz w:val="21"/>
          <w:rFonts w:ascii="Times-Roman" w:hAnsi="Times-Roman"/>
        </w:rPr>
        <w:t xml:space="preserve"> </w:t>
      </w:r>
      <w:r>
        <w:rPr>
          <w:sz w:val="21"/>
          <w:rFonts w:ascii="Times-Roman" w:hAnsi="Times-Roman"/>
        </w:rPr>
        <w:t xml:space="preserve">‘evenals videoplatformdienst’ vervangen door:</w:t>
      </w:r>
      <w:r>
        <w:rPr>
          <w:sz w:val="21"/>
          <w:rFonts w:ascii="Times-Roman" w:hAnsi="Times-Roman"/>
        </w:rPr>
        <w:t xml:space="preserve"> </w:t>
      </w:r>
      <w:r>
        <w:rPr>
          <w:sz w:val="21"/>
          <w:rFonts w:ascii="Times-Roman" w:hAnsi="Times-Roman"/>
        </w:rPr>
        <w:t xml:space="preserve">‘, videoplatformdienst en de exploitanten van onlineplatforms als bedoeld in artikel 62’;</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In het eerste alinea van artikel 42-7, wordt de verwijzing:</w:t>
      </w:r>
      <w:r>
        <w:rPr>
          <w:sz w:val="21"/>
          <w:rFonts w:ascii="Times-Roman" w:hAnsi="Times-Roman"/>
        </w:rPr>
        <w:t xml:space="preserve"> </w:t>
      </w:r>
      <w:r>
        <w:rPr>
          <w:sz w:val="21"/>
          <w:rFonts w:ascii="Times-Roman" w:hAnsi="Times-Roman"/>
        </w:rPr>
        <w:t xml:space="preserve">‘en 48-3’ vervangen door de verwijzing:</w:t>
      </w:r>
      <w:r>
        <w:rPr>
          <w:sz w:val="21"/>
          <w:rFonts w:ascii="Times-Roman" w:hAnsi="Times-Roman"/>
        </w:rPr>
        <w:t xml:space="preserve"> </w:t>
      </w:r>
      <w:r>
        <w:rPr>
          <w:sz w:val="21"/>
          <w:rFonts w:ascii="Times-Roman" w:hAnsi="Times-Roman"/>
        </w:rPr>
        <w:t xml:space="preserve">‘, 48-3 en 62’;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3.</w:t>
      </w:r>
      <w:r>
        <w:rPr>
          <w:sz w:val="21"/>
          <w:rFonts w:ascii="Times-Roman" w:hAnsi="Times-Roman"/>
        </w:rPr>
        <w:t xml:space="preserve"> </w:t>
      </w:r>
      <w:r>
        <w:rPr>
          <w:sz w:val="21"/>
          <w:rFonts w:ascii="Times-Roman" w:hAnsi="Times-Roman"/>
        </w:rPr>
        <w:t xml:space="preserve">Titel IV wordt aangevuld met een hoofdstuk III, dat luidt als volgt:</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i/>
          <w:iCs/>
          <w:sz w:val="21"/>
          <w:szCs w:val="21"/>
          <w:rFonts w:ascii="Times-Italic" w:hAnsi="Times-Italic" w:cs="Times-Italic"/>
        </w:rPr>
      </w:pPr>
      <w:r>
        <w:rPr>
          <w:i/>
          <w:rFonts w:ascii="Times-Italic" w:hAnsi="Times-Italic"/>
        </w:rPr>
        <w:t xml:space="preserve">‘HOOFDSTUK III</w:t>
      </w:r>
    </w:p>
    <w:p w:rsidR="00F54ECB" w:rsidRDefault="00F54ECB"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b/>
          <w:bCs/>
          <w:i/>
          <w:iCs/>
          <w:sz w:val="21"/>
          <w:szCs w:val="21"/>
          <w:rFonts w:ascii="Times-BoldItalic" w:hAnsi="Times-BoldItalic" w:cs="Times-BoldItalic"/>
        </w:rPr>
      </w:pPr>
      <w:r>
        <w:rPr>
          <w:b/>
          <w:i/>
          <w:sz w:val="21"/>
          <w:rFonts w:ascii="Times-BoldItalic" w:hAnsi="Times-BoldItalic"/>
        </w:rPr>
        <w:t xml:space="preserve">Bepalingen die van toepassing zijn op online platforms ter bestrijding van haatinhoud</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Pr>
        <w:t xml:space="preserve">Artikel 62.</w:t>
      </w:r>
      <w:r>
        <w:rPr>
          <w:sz w:val="21"/>
          <w:i/>
          <w:rFonts w:ascii="Times-Italic" w:hAnsi="Times-Italic"/>
        </w:rPr>
        <w:t xml:space="preserve"> </w:t>
      </w:r>
      <w:r>
        <w:rPr>
          <w:sz w:val="21"/>
          <w:rFonts w:ascii="Times-Roman" w:hAnsi="Times-Roman"/>
        </w:rPr>
        <w:t xml:space="preserve">– I. – De Hoge Raad voor audiovisuele aangelegenheden zorgt ervoor dat de exploitanten van online platforms bedoeld in het eerste lid van artikel 6-5 van wet nr. 2004-575 van 21 juni 2004 inzake Het vertrouwen in de digitale economie voldoen aan de bepalingen van hetzelfde artikel 6-5, rekening houdend, met betrekking tot elk van de aangeboden diensten, met de kenmerken van de dienst en de geschiktheid van de middelen die door de operator worden gebruikt, namelijk de omvang en ernst van de risico's van verspreiding daarop van de inhoud vermeld in het eerste lid van het genoemde artikel 6-5 en de risico's van ongerechtvaardigde eliminatie onder de toepasselijke wetgeving en de gebruiksvoorwaarden.</w:t>
      </w:r>
      <w:r>
        <w:rPr>
          <w:sz w:val="21"/>
          <w:rFonts w:ascii="Times-Roman" w:hAnsi="Times-Roman"/>
        </w:rPr>
        <w:t xml:space="preserve"> </w:t>
      </w:r>
      <w:r>
        <w:rPr>
          <w:sz w:val="21"/>
          <w:rFonts w:ascii="Times-Roman" w:hAnsi="Times-Roman"/>
        </w:rPr>
        <w:t xml:space="preserve">Zij verstrekt deze platformbeheerders richtlijnen voor de toepassing van hetzelfde artikel 6-5.</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02A14">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Zij verzamelen, onder de voorwaarden bepaald in artikel 19 van deze wet, de informatie van dergelijke operatoren die nodig zijn om aan hun verplichtingen te voldoen.</w:t>
      </w:r>
      <w:r>
        <w:rPr>
          <w:sz w:val="21"/>
          <w:rFonts w:ascii="Times-Roman" w:hAnsi="Times-Roman"/>
        </w:rPr>
        <w:t xml:space="preserve"> </w:t>
      </w:r>
      <w:r>
        <w:rPr>
          <w:sz w:val="21"/>
          <w:rFonts w:ascii="Times-Roman" w:hAnsi="Times-Roman"/>
        </w:rPr>
        <w:t xml:space="preserve">Als zodanig bieden de operators vermeld in artikel 6-5, lid 9 van wet nr. 2004-575 van 21 juni 2004 hierboven toegang tot de werkingsprincipes van de geautomatiseerde instrumenten die worden gebruikt om aan deze verplichtingen te voldoen, tot de parameters die door deze instrumenten worden gebruikt, tot de methoden en gegevens die worden gebruikt voor de evaluatie en verbetering van hun prestaties, en tot alle andere informatie of gegevens waarmee zij hun doeltreffendheid kunnen beoordelen overeenkomstig de bepalingen betreffende de bescherming van persoonsgegevens.</w:t>
      </w:r>
      <w:r>
        <w:rPr>
          <w:sz w:val="21"/>
          <w:rFonts w:ascii="Times-Roman" w:hAnsi="Times-Roman"/>
        </w:rPr>
        <w:t xml:space="preserve"> </w:t>
      </w:r>
      <w:r>
        <w:rPr>
          <w:sz w:val="21"/>
          <w:rFonts w:ascii="Times-Roman" w:hAnsi="Times-Roman"/>
        </w:rPr>
        <w:t xml:space="preserve">In overeenstemming met deze bepalingen mag de Hoge Raad voor audiovisuele aangelegenheden evenredige verzoeken om toegang via speciale programmeerinterfaces sturen tot alle gegevens die relevant zijn om de doeltreffendheid ervan te beoordelen.</w:t>
      </w:r>
      <w:r>
        <w:rPr>
          <w:sz w:val="21"/>
          <w:rFonts w:ascii="Times-Roman" w:hAnsi="Times-Roman"/>
        </w:rPr>
        <w:t xml:space="preserve"> </w:t>
      </w:r>
      <w:r>
        <w:rPr>
          <w:sz w:val="21"/>
          <w:rFonts w:ascii="Times-Roman" w:hAnsi="Times-Roman"/>
        </w:rPr>
        <w:t xml:space="preserve">In overeenstemming met deze bepalingen en voor dezelfde doeleinden mag de Hoge Raad voor audiovisuele aangelegenheden evenredige methoden toepassen voor de geautomatiseerde verzameling van openbaar toegankelijke gegevens teneinde toegang te krijgen tot de nodige gegevens.</w:t>
      </w:r>
    </w:p>
    <w:p w:rsidR="00317039" w:rsidRPr="00196BE6" w:rsidRDefault="00317039" w:rsidP="00196BE6">
      <w:pPr>
        <w:autoSpaceDE w:val="0"/>
        <w:autoSpaceDN w:val="0"/>
        <w:adjustRightInd w:val="0"/>
        <w:spacing w:after="0" w:line="240" w:lineRule="auto"/>
        <w:jc w:val="both"/>
        <w:rPr>
          <w:rFonts w:ascii="Times-Roman" w:hAnsi="Times-Roman" w:cs="Times-Roman"/>
          <w:sz w:val="21"/>
          <w:szCs w:val="21"/>
        </w:rPr>
      </w:pPr>
    </w:p>
    <w:p w:rsidR="006522CF" w:rsidRDefault="001048BC"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De Raad stelt de informatie en gekwantificeerde indicatoren vast die deze exploitanten overeenkomstig lid 4 artikel 6-5 moeten publiceren, evenals de modaliteiten en de intervallen van deze publicatie.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Zij publiceert jaarlijks een overzicht van de toepassing van de bepalingen van artikel 6-5.</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w:t>
      </w:r>
      <w:r>
        <w:rPr>
          <w:sz w:val="21"/>
          <w:rFonts w:ascii="Times-Roman" w:hAnsi="Times-Roman"/>
        </w:rPr>
        <w:t xml:space="preserve"> </w:t>
      </w:r>
      <w:r>
        <w:rPr>
          <w:sz w:val="21"/>
          <w:rFonts w:ascii="Times-Roman" w:hAnsi="Times-Roman"/>
        </w:rPr>
        <w:t xml:space="preserve">— De Hoge Raad voor audiovisuele aangelegenheden mag de exploitanten ertoe aansporen om, via de indiening van een aanmaning en binnen het door hem vastgestelde tijdsbestek aan de bepalingen van bovengenoemd artikel 6-5 van wet nr. 2004-575 van 21 juni 2004 te voldoen.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Indien de exploitant de ontvangen kennisgeving niet naleeft, mag de Hoge Raad voor audiovisuele aangelegenheden onder de voorwaarden van artikel 42-7 van deze wet een boete opleggen, waarvan het bedrag rekening houdend met de ernst van de niet-naleving en, in voorkomend geval, de repetitieve aard ervan, niet meer dan 20 miljoen EUR of 6 % van de totale jaaromzet van het voorgaande jaar bedraagt, welke hoger is.</w:t>
      </w:r>
      <w:r>
        <w:rPr>
          <w:sz w:val="21"/>
          <w:rFonts w:ascii="Times-Roman" w:hAnsi="Times-Roman"/>
        </w:rPr>
        <w:t xml:space="preserve"> </w:t>
      </w:r>
      <w:r>
        <w:rPr>
          <w:sz w:val="21"/>
          <w:rFonts w:ascii="Times-Roman" w:hAnsi="Times-Roman"/>
        </w:rPr>
        <w:t xml:space="preserve">Indien voor dezelfde overtreding in een andere staat een financiële sanctie is opgelegd die op dezelfde grondslag is berekend, wordt het bedrag van die boete in aanmerking genomen bij de bepaling van de sanctie op grond van dit lid.</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In afwijking van de tweede alinea van deze lid II mag, in geval van weigering om de informatie die door de regelgever wordt gevraagd op grond van de tweede alinea van lid I, of in geval van mededeling van onjuiste of misleidende informatie, het bedrag van de opgelegde boete niet meer dan 1% bedragen van de totale wereldwijde jaaromzet van het voorgaande boekjaar.</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De Hoge Raad voor Audiovisuele aangelegenheden mag de opgelegde mededelingen en sancties openbaar maken.</w:t>
      </w:r>
      <w:r>
        <w:rPr>
          <w:sz w:val="21"/>
          <w:rFonts w:ascii="Times-Roman" w:hAnsi="Times-Roman"/>
        </w:rPr>
        <w:t xml:space="preserve"> </w:t>
      </w:r>
      <w:r>
        <w:rPr>
          <w:sz w:val="21"/>
          <w:rFonts w:ascii="Times-Roman" w:hAnsi="Times-Roman"/>
        </w:rPr>
        <w:t xml:space="preserve">Zij stelt in het besluit de details van een dergelijke publicatie, die in verhouding staan tot de ernst van de inbreuk, vast.</w:t>
      </w:r>
      <w:r>
        <w:rPr>
          <w:sz w:val="21"/>
          <w:rFonts w:ascii="Times-Roman" w:hAnsi="Times-Roman"/>
        </w:rPr>
        <w:t xml:space="preserve"> </w:t>
      </w:r>
      <w:r>
        <w:rPr>
          <w:sz w:val="21"/>
          <w:rFonts w:ascii="Times-Roman" w:hAnsi="Times-Roman"/>
        </w:rPr>
        <w:t xml:space="preserve">Zij kan ook gelasten dat zijn besluit in de daartoe aangewezen publicaties, kranten en media wordt opgenomen op kosten van de operatoren die onderworpen zijn aan de ingebrekestelling of sanctie.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Boetes worden geïnd als niet-belastingschulden en als niet-eigendomsschulden aan de staat.</w:t>
      </w:r>
      <w:r>
        <w:rPr>
          <w:sz w:val="21"/>
          <w:rFonts w:ascii="Times-Roman" w:hAnsi="Times-Roman"/>
        </w:rPr>
        <w:t xml:space="preserve"> </w:t>
      </w:r>
      <w:r>
        <w:rPr>
          <w:sz w:val="21"/>
          <w:rFonts w:ascii="Times-Roman" w:hAnsi="Times-Roman"/>
        </w:rPr>
        <w:t xml:space="preserv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4° Na het woord:</w:t>
      </w:r>
      <w:r>
        <w:rPr>
          <w:sz w:val="21"/>
          <w:rFonts w:ascii="Times-Roman" w:hAnsi="Times-Roman"/>
        </w:rPr>
        <w:t xml:space="preserve"> </w:t>
      </w:r>
      <w:r>
        <w:rPr>
          <w:sz w:val="21"/>
          <w:rFonts w:ascii="Times-Roman" w:hAnsi="Times-Roman"/>
        </w:rPr>
        <w:t xml:space="preserve">‘resulterend’, het einde van het eerste lid van artikel 108, luidt als volgt:</w:t>
      </w:r>
      <w:r>
        <w:rPr>
          <w:sz w:val="21"/>
          <w:rFonts w:ascii="Times-Roman" w:hAnsi="Times-Roman"/>
        </w:rPr>
        <w:t xml:space="preserve"> </w:t>
      </w:r>
      <w:r>
        <w:rPr>
          <w:sz w:val="21"/>
          <w:rFonts w:ascii="Times-Roman" w:hAnsi="Times-Roman"/>
        </w:rPr>
        <w:t xml:space="preserve">‘van wet nr.       van      inzake het respect voor de principes van de Republiek consolideren.</w:t>
      </w:r>
      <w:r>
        <w:rPr>
          <w:sz w:val="21"/>
          <w:rFonts w:ascii="Times-Roman" w:hAnsi="Times-Roman"/>
        </w:rPr>
        <w:t xml:space="preserve"> </w:t>
      </w:r>
      <w:r>
        <w:rPr>
          <w:sz w:val="21"/>
          <w:rFonts w:ascii="Times-Roman" w:hAnsi="Times-Roman"/>
        </w:rPr>
        <w:t xml:space="preserve">”</w:t>
      </w:r>
    </w:p>
    <w:p w:rsidR="00317039" w:rsidRPr="00196BE6" w:rsidRDefault="00317039" w:rsidP="00196BE6">
      <w:pPr>
        <w:autoSpaceDE w:val="0"/>
        <w:autoSpaceDN w:val="0"/>
        <w:adjustRightInd w:val="0"/>
        <w:spacing w:after="0" w:line="240" w:lineRule="auto"/>
        <w:jc w:val="both"/>
        <w:rPr>
          <w:rFonts w:ascii="Times-Roman" w:hAnsi="Times-Roman" w:cs="Times-Roman"/>
          <w:sz w:val="21"/>
          <w:szCs w:val="21"/>
        </w:rPr>
      </w:pPr>
    </w:p>
    <w:p w:rsidR="006522CF" w:rsidRPr="00F54ECB"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III.</w:t>
      </w:r>
      <w:r>
        <w:rPr>
          <w:sz w:val="21"/>
          <w:rFonts w:ascii="Times-Roman" w:hAnsi="Times-Roman"/>
        </w:rPr>
        <w:t xml:space="preserve"> </w:t>
      </w:r>
      <w:r>
        <w:rPr>
          <w:sz w:val="21"/>
          <w:rFonts w:ascii="Times-Roman" w:hAnsi="Times-Roman"/>
        </w:rPr>
        <w:t xml:space="preserve">— De bepalingen van dit artikel zijn van toepassing tot en met 31 december 2023.</w:t>
      </w:r>
    </w:p>
    <w:sectPr w:rsidR="006522CF" w:rsidRPr="00F54E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Italic">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FF1FF0"/>
    <w:multiLevelType w:val="hybridMultilevel"/>
    <w:tmpl w:val="70DE856A"/>
    <w:lvl w:ilvl="0" w:tplc="73F84A00">
      <w:start w:val="1"/>
      <w:numFmt w:val="lowerLetter"/>
      <w:lvlText w:val="%1)"/>
      <w:lvlJc w:val="left"/>
      <w:pPr>
        <w:ind w:left="720" w:hanging="360"/>
      </w:pPr>
      <w:rPr>
        <w:rFonts w:ascii="Times-Italic" w:hAnsi="Times-Italic" w:cs="Times-Italic"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dirty" w:grammar="dirty"/>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28D"/>
    <w:rsid w:val="001048BC"/>
    <w:rsid w:val="00134B73"/>
    <w:rsid w:val="00196BE6"/>
    <w:rsid w:val="00317039"/>
    <w:rsid w:val="00485A93"/>
    <w:rsid w:val="004E021A"/>
    <w:rsid w:val="006522CF"/>
    <w:rsid w:val="00694BF3"/>
    <w:rsid w:val="00994AE4"/>
    <w:rsid w:val="009C128D"/>
    <w:rsid w:val="00F02A14"/>
    <w:rsid w:val="00F54ECB"/>
    <w:rsid w:val="00FD5A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122478-4E01-4C1D-9BE7-99AC4826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E021A"/>
    <w:pPr>
      <w:ind w:left="720"/>
      <w:contextualSpacing/>
    </w:pPr>
  </w:style>
  <w:style w:type="paragraph" w:styleId="Textedebulles">
    <w:name w:val="Balloon Text"/>
    <w:basedOn w:val="Normal"/>
    <w:link w:val="TextedebullesCar"/>
    <w:uiPriority w:val="99"/>
    <w:semiHidden/>
    <w:unhideWhenUsed/>
    <w:rsid w:val="00F02A1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2A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2964</Words>
  <Characters>16308</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19234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RUBIN Chantal</dc:creator>
  <cp:keywords/>
  <dc:description/>
  <cp:lastModifiedBy>SOURY-LAVERGNE Blaise</cp:lastModifiedBy>
  <cp:revision>6</cp:revision>
  <dcterms:created xsi:type="dcterms:W3CDTF">2021-03-12T11:39:00Z</dcterms:created>
  <dcterms:modified xsi:type="dcterms:W3CDTF">2021-03-12T12:08:00Z</dcterms:modified>
</cp:coreProperties>
</file>