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 CS-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FRANCOUZSKÁ REPUBLIKA</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Ministerstvo vnitra</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Dekret č.         ze dne</w:t>
      </w:r>
      <w:r>
        <w:rPr>
          <w:b/>
          <w:bCs/>
        </w:rPr>
        <w:br/>
      </w:r>
    </w:p>
    <w:p w:rsidR="002E1BE9" w:rsidRPr="00D80E56" w:rsidRDefault="00C3678D" w:rsidP="00D80E56">
      <w:pPr>
        <w:suppressAutoHyphens w:val="0"/>
        <w:jc w:val="center"/>
        <w:rPr>
          <w:b/>
          <w:bCs/>
        </w:rPr>
      </w:pPr>
      <w:r>
        <w:rPr>
          <w:b/>
          <w:bCs/>
        </w:rPr>
        <w:t>upravující zařízení pro osobní mobilitu</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bCs/>
          <w:i/>
          <w:iCs/>
        </w:rPr>
        <w:t>Dotčené skupiny obyvatelstva</w:t>
      </w:r>
      <w:r>
        <w:rPr>
          <w:rStyle w:val="Policepardfaut"/>
          <w:i/>
          <w:iCs/>
        </w:rPr>
        <w:t>: účastníci silničního provozu, územní samosprávy, pořádkové síly.</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bCs/>
          <w:i/>
          <w:iCs/>
        </w:rPr>
        <w:t>Předmět</w:t>
      </w:r>
      <w:r>
        <w:rPr>
          <w:rStyle w:val="Policepardfaut"/>
          <w:i/>
          <w:iCs/>
        </w:rPr>
        <w:t> : stanovení technických vlastností a podmínek provozování zařízení pro osobní mobilitu.</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Nabytí účinnosti</w:t>
      </w:r>
      <w:r>
        <w:rPr>
          <w:rStyle w:val="Policepardfaut"/>
          <w:i/>
          <w:iCs/>
        </w:rPr>
        <w:t>: text nabývá účinnosti prvním dnem po jeho vyhlášení s výjimkou článků 4, 5, 7, 8 a 11 návrhu dekretu, které nabývají účinnosti dne 1. července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Poznámka</w:t>
      </w:r>
      <w:r>
        <w:rPr>
          <w:rStyle w:val="Policepardfaut"/>
          <w:i/>
          <w:iCs/>
        </w:rPr>
        <w:t>: Cílem tohoto návrhu dekretu je vymezit v silničním zákoníku motorizovaná zařízení pro osobní mobilitu coby novou kategorii vozidel, stanovit jejich technické vlastnosti a upravit jejich provoz na veřejných komunikacích. Stanoví se v něm především vybavení, které musí jejich řidiči používat, a místa v rámci silničního provozu, na kterých se tito řidiči musí a mohou zdržovat v rámci zastavěných území a mimo ně. Dekret vymezuje rozsah možností, které může určit starosta, pro odchýlení se od tohoto obecného rámce, s tím, že starosta může povolit jejich provoz po chodnících. A konečně tento dekret stanoví pokuty v případě nedodržení ustanovení platných pro řidiče zařízení pro osobní dopravu.</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bCs/>
          <w:i/>
          <w:iCs/>
        </w:rPr>
        <w:t>Odkazy</w:t>
      </w:r>
      <w:r>
        <w:rPr>
          <w:rStyle w:val="Policepardfaut"/>
          <w:i/>
          <w:iCs/>
        </w:rPr>
        <w:t>: tímto dekretem se upravuje regulativní část silničního zákoníku, která je ve znění těchto změn dostupná na internetové prezentaci Légifrance (</w:t>
      </w:r>
      <w:hyperlink r:id="rId7" w:history="1">
        <w:r>
          <w:rPr>
            <w:rStyle w:val="Hyperlink"/>
            <w:i/>
            <w:iCs/>
          </w:rPr>
          <w:t>http://www.legifrance.gouv.fr</w:t>
        </w:r>
      </w:hyperlink>
      <w:r>
        <w:rPr>
          <w:rStyle w:val="Policepardfaut"/>
          <w:i/>
          <w:iCs/>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Ministerský předseda,</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Na základě zprávy ministra vnitra,</w:t>
      </w:r>
    </w:p>
    <w:p w:rsidR="00D80E56" w:rsidRPr="00D80E56" w:rsidRDefault="00D80E56" w:rsidP="00D80E56">
      <w:pPr>
        <w:suppressAutoHyphens w:val="0"/>
        <w:jc w:val="both"/>
      </w:pPr>
    </w:p>
    <w:p w:rsidR="002E1BE9" w:rsidRPr="00D80E56" w:rsidRDefault="00C3678D" w:rsidP="00D80E56">
      <w:pPr>
        <w:suppressAutoHyphens w:val="0"/>
        <w:jc w:val="both"/>
      </w:pPr>
      <w:r>
        <w:t>s ohledem na nařízení Evropského parlamentu a Rady (EU) č. 168/2013 ze dne 15. ledna 2013 o schvalování a dozoru nad trhem dvoukolových nebo tříkolových vozidel a čtyřkolek, zejména jeho článek 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 ohledem na trestní zákoník, zejména jeho článek R. 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 ohledem na trestní řád, zejména jeho článek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 ohledem na silniční zákoník;</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lastRenderedPageBreak/>
        <w:t>s ohledem na stanovisko stálé meziresortní skupiny pro bezpečnost silničního provozu ze dne ...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 ohledem na stanovisko Národní komise pro hodnocení norem ze dne………….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 ohledem na oznámení č. ....2019 zaslané Evropské komisi,</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po projednání se Státní radou (oddělení veřejných prací),</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nařizuje</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Článek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Silniční zákoník se upravuje v souladu s ustanoveními článků 2 až 29.</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Článek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Článek R. 110-2 se mění takto:</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Ve třetím odstavci se slova: „článku R. 431-9“ nahradí slovy: „článků R. 412-43-1 a R. 431-9“;</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2. V pátém a jedenáctém odstavci se za slova „dvoukolová a tříkolová cyklovozidla“ vkládají slova: „a pro motorizovaná zařízení pro osobní mobilitu“,</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Ve čtrnáctém odstavci se za slova: „nemotorizovaná vozidla“ vkládají slova: „s výjimkou motorizovaných zařízení pro osobní mobilitu“;</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V patnáctém a šestnáctém odstavci se za slova: „obousměrně v případě cyklistů“ se vkládají slova: „a řidičů motorizovaných zařízení pro osobní mobilitu,“</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Článek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Za bod 6.13 článku R. 311-1 se vkládají odstavce v tomto znění:</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„6.14. Zařízení pro osobní mobilitu: motorizované nebo nemotorizované zařízení pro osobní mobilitu.</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„6.15. Zařízení pro osobní mobilitu: vozidlo bez místa k sezení určené pro mobilitu jedné osoby a bez jakéhokoli zvláštního zařízení pro přepravu nákladu, vybavené netepelným motorem nebo netepelným pomocným pohonem, jehož maximální konstrukční rychlost nesmí být nižší než 6 km/h a vyšší než 25 km/h. Může však mít sedlo, pokud je vybaveno gyroskopickým stabilizačním systémem. Zařízení určená výhradně pro osoby se sníženou pohyblivostí jsou z této kategorie vyloučena.</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„6.16. Nemotorizované zařízení pro osobní mobilitu: vozidlo o malých rozměrech, bez motoru.“</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lastRenderedPageBreak/>
        <w:t>Článek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Za bod 6. oddílu I článku R. 312-10 se vkládá bod 7 v následujícím znění:</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„7. 0,90 m v případě motorizovaných zařízení pro osobní mobilitu“;</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Článek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Za bod 11. oddílu I článku R. 312-11 se doplní bod 12 v následujícím znění:</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„11. Motorizovaná zařízení pro osobní mobilitu: 1,30 m.“</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Článek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Článek R. 313-1 se mění takto:</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V druhém odstavci se za slova: „řidič cyklovozidla“ vkládají slova: „nebo motorizovaného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2. Vkládá se druhý odstavec v následujícím znění: „Ustanovení článků R. 313-2, R. 313-3, R. 313-3-1 až R. 313-3-4, R. 313-4-1, R. 313-6 až R. 313-17 a R. 313-17-1 neplatí pro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Článek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oddílu X článku R. 313-4, v oddílu V článků R. 313-5 a R. 313-18, v oddílu III článku R. 313-19, v oddílu IV článku R. 313-20, ve třetím odstavci článku R. 313-33 se za slova: „veškerá cyklovozidla“ vkládají slova: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Článek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oddílu XIII článku R. 313-4, v oddílu XI článků R. 313-5 a R. 313-18, v oddílu V článku R. 313-19, v oddílu VIII článku R. 313-20 a v posledním odstavci článku R. 313-33 se za slova: „všichni řidiči cyklovozidel“ vkládají slova: „nebo řidič motorizovaného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Článek R. 314-1 se mění takto:</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1. V prvním odstavci se za slova: „zemědělské stroje“ vkládají slova: „a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2. V pátém odstavci se za slova: „zemědělské stroje“ vkládají slova: „a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oddílu I článku R. 315-1 se za slova: „veřejné práce“ vkládají slova: „a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Za článek R. 315-6 se vkládá článek R. 315-7 v tomto znění:</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315-7.- </w:t>
      </w:r>
      <w:r>
        <w:rPr>
          <w:rStyle w:val="Policepardfaut"/>
        </w:rPr>
        <w:t>I - Všechna motorizovaná zařízení pro osobní mobilitu musí být osazena funkčním brzdným systémem.</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„II - Nedodržení ustanovení tohoto článku se trestá pokutou stanovenou pro přestupky první třídy. “</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Článek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prvním odstavci článku R. 316-4 se za slova: „lehké motorové čtyřkolky“, v článku R. 316-5 za slova: „dvoukolová a tříkolová vozidla“, v prvním odstavci čl. R. 316-6 za slova „zemědělských strojů“, v oddílu I článku R. 317-1 a R. 317-5 za slova „čtyřkolky“ vkládají následující slova: „a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Za článek R. 317-14 se vkládá článek R. 317-14-1 v tomto znění:</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317-14-1. </w:t>
      </w:r>
      <w:r>
        <w:rPr>
          <w:rStyle w:val="Policepardfaut"/>
        </w:rPr>
        <w:t>Ustanovení článků R. 317-8 a R. 317-9 neplatí pro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článku R. 317-16 se za slova: „tento oddíl“ vkládají slova: „neplatí pro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prvním odstavci článku R. 317-23-1 se za slova: „moped“ vkládají slova: „nebo motorizované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Za článek R. 321-4-1 se vkládá článek R. 321-4-2 v tomto znění:</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321-4-2. </w:t>
      </w:r>
      <w:r>
        <w:rPr>
          <w:rStyle w:val="Policepardfaut"/>
        </w:rPr>
        <w:t>Za provozování motorizovaného zařízení pro osobní mobilitu, jehož maximální konstrukční rychlost je vyšší než 25 km/h, na veřejných komunikacích bude uložena pokuta stanovená pro přestupek páté třídy.</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„Za podmínek stanovených v článcích L. 325-1 až L. 325-9 lze nařídit zabavení, imobilizaci nebo zadržení. “</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Článek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posledním odstavci článku R. 321-15 se za slova: „sběrná vozidla“ vkládají slova: „pro motorizovaná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V oddílu V článku R. 322-1 se za slova: „neplatí“ vkládají slova: „pro motorizovaná zařízení pro osobní mobilitu a“.</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Článek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Ve čtvrtém a pátém odstavci článku R. 412-9 se za slova: „řidič cyklovozidla“ vkládají slova: „nebo motorizovaného zařízení pro osobní mobilitu“.</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Článek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V desátém odstavci článku R. 412-19 se za slova: „překročení cyklovozidla“ vkládají slova: „nebo motorizovaného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článku R. 412-28-1 se za slova: „řidiči cyklovozidel“ vkládají slova: „a motorizovaných zařízení pro osobní mobilitu“.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Článek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V bodě 2. oddílu II článku L. 412-34 se za slova: „ručně cyklovozidlo“ vkládají slova: „motorizované zařízení pro osobní mobilitu“.</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Článek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Za oddíl 6 kapitoly II hlavy I knihy IV se vkládá oddíl 6 bis v tomto znění:</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„Oddíl 6 bis Provoz zařízení pro osobní dopravu</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412-43-1.- </w:t>
      </w:r>
      <w:r>
        <w:rPr>
          <w:rStyle w:val="Policepardfaut"/>
        </w:rPr>
        <w:t>I.- V zastavěných oblastech se řidiči motorizovaných zařízení pro osobní dopravu musí pohybovat po cyklostezkách nebo pruzích pro cyklisty. Pokud vede po obou krajích vozovky cyklostezka, musí si vybrat tu po pravé straně komunikace ve směru provozu.</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„V případě, že tyto cyklostezky a pruhy pro cyklisty nejsou k dispozici, mohou se rovněž pohybovat:</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po komunikacích, na nichž nejvyšší povolená rychlost nepřesahuje 50 km/h. Řidiči motorizovaných zařízení pro osobní mobilitu se nikdy nesmí na komunikaci pohybovat v protisměru;</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Na komunikacích pro pěší za podmínek stanovených ve čtvrtém odstavci článku R. 431-9 ;</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„3. Po zpevněných krajnicích se silničním povrchem.</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„II. - Mimo zastavěné území je provoz motorizovaných zařízení pro osobní mobilitu zakázán s výjimkou zeleného pruhu a cyklostezek.</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lastRenderedPageBreak/>
        <w:t>„III. - Odchylně od ustanovení tohoto článku je policejní orgán oprávněn:</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zakázat pohyb po plochách uvedených v bodech I a II,</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povolit pohyb po chodníku za předpokladu, že tento pohyb bude probíhat krokem a nebude nijak omezovat chodce.</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„IV - Porušení ustanovení bodů I a II nebo dopravních omezení vymezených na základě odstavce 1 bodu III se trestá pokutou za přestupek druhé třídy.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„V případě uplatnění ustanovení odstavce 2 bodu III bude řidiči motorizovaného zařízení pro osobní mobilitu, který na chodníku nedodrží povinnost pohybovat se krokem nebo bude omezovat chodce, uložena pokuta za přestupek druhé třídy.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i/>
          <w:iCs/>
        </w:rPr>
        <w:t>Čl R. 412-43-2.</w:t>
      </w:r>
      <w:r>
        <w:rPr>
          <w:rStyle w:val="Policepardfaut"/>
        </w:rPr>
        <w:t>- Je zakázáno, aby řidiči motorizovaných zařízení pro osobní mobilitu tlačili nebo táhli náklad nebo jiné vozidlo..</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„Je zakázáno, aby se řidiči motorizovaných zařízení pro osobní mobilitu nechali táhnout jiným vozidlem.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„Nedodržení ustanovení tohoto článku se trestá pokutou stanovenou pro přestupky druhé třídy. “</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iCs/>
        </w:rPr>
        <w:t xml:space="preserve">Čl. 412-43-3.- </w:t>
      </w:r>
      <w:r>
        <w:rPr>
          <w:rStyle w:val="Policepardfaut"/>
        </w:rPr>
        <w:t>I - Řidiči motorizovaných zařízení pro osobní mobilitu musí mít alespoň 8 let.</w:t>
      </w:r>
    </w:p>
    <w:p w:rsidR="002E1BE9" w:rsidRPr="00D80E56" w:rsidRDefault="002E1BE9" w:rsidP="00D80E56">
      <w:pPr>
        <w:pStyle w:val="Textbody"/>
        <w:widowControl w:val="0"/>
        <w:rPr>
          <w:color w:val="auto"/>
          <w:u w:val="single"/>
          <w:lang w:eastAsia="fr-FR"/>
        </w:rPr>
      </w:pPr>
    </w:p>
    <w:p w:rsidR="002E1BE9" w:rsidRPr="00D80E56" w:rsidRDefault="000F7AB7" w:rsidP="00D80E56">
      <w:pPr>
        <w:pStyle w:val="Textbody"/>
        <w:widowControl w:val="0"/>
        <w:jc w:val="both"/>
        <w:rPr>
          <w:color w:val="auto"/>
        </w:rPr>
      </w:pPr>
      <w:r>
        <w:rPr>
          <w:color w:val="auto"/>
        </w:rPr>
        <w:t>„</w:t>
      </w:r>
      <w:bookmarkStart w:id="0" w:name="_GoBack"/>
      <w:bookmarkEnd w:id="0"/>
      <w:r w:rsidR="00C3678D">
        <w:rPr>
          <w:color w:val="auto"/>
        </w:rPr>
        <w:t>II.- Při provozu v noci nebo přes den, kdy je viditelnost nedostatečná, musí každý řidič motorizovaného zařízení pro osobní mobilitu používat buď reflexní vestu v souladu s právními předpisy nebo odrazová zařízení, jejichž vlastnosti jsou stanoveny ve vyhlášce ministra odpovědného za bezpečnost silničního provozu. Řidič může používat doplňkové osvětlovací zařízení, které neoslňuje a nebliká</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„III. - Během provozu musí každý řidič motorizovaného zařízení pro osobní mobilitu, mladší dvanácti let, používat přilbu v souladu s právními předpisy týkajícími se osobních ochranných prostředků. Tato přilba musí být připnuta.</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„IV. - Osoby ve věku od osmnácti let, které doprovází alespoň jednoho řidiče motorizovaného zařízení pro osobní mobilitu mladšího dvanácti let, pokud mají zákonnou nebo faktickou odpovědnost za tohoto řidiče nebo tyto řidiče, musí zajistit, aby každý z nich měl na hlavě přilbu v souladu s podmínkami stanovenými v předchozím odstavci.</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„V. - Na motorizovaných zařízeních určených pro osobní přepravu je zakázáno přepravovat cestující.</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 - Nedodržení ustanovení bodů II a V se trestá pokutou stanovenou pro přestupky druhé třídy.</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„Každé zletilé osobě, která doprovází řidiče motorizovaného zařízení pro osobní mobilitu mladšího osmi let, bude v případě porušení ustanovení bodu IV uložena pokuta stanovená pro přestupky čtvrté třídy. “</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lastRenderedPageBreak/>
        <w:t>Článek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Ve druhém a pátém odstavci článku R. 415-2 se za slova: „jiné než kolo“ vkládají slova: „nebo motorizované zařízení pro osobní mobilitu“.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Článek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V oddílu III článku R. 415-3 se za slova: „průjezd pro cyklisty“ vkládají slova: „motorizovaná zařízení pro osobní mobilitu“.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Článek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Článek R. 415-4 se mění takto:</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V bodě III se za slova: „pro cyklovozidla,“ vkládají slova: „motorizovaná zařízení pro osobní mobilitu“;</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V bodě IV se za slova: „všichni řidiči cyklovozidla“ vkládají slova: „nebo motorizovaného zařízení pro osobní mobilitu,“.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Článek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V bodě 2. článku R. 415-15 se za slova: „jeden pro cyklovozidla“ a za slova: „zastavovací pruh pro cyklovozidla“ vkládají slova: „a motorizovaná zařízení pro osobní mobilitu“.</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Článek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Oddíl III článku R. 417-10 se mění takto:</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V bodě 2 se za slova: „dvoukolová cyklovozidla“ vkládají slova: „motorizovaná zařízení pro osobní mobilitu,“;</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V bodě 6 se za slova: „s výjimkou kol“ vkládají slova: „a motorizovaných zařízení pro osobní mobilitu“.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Článek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V bodu 8 článku R. 417-11 se za slova: „cyklovozidla s podporou šlapání“ vkládají slova: „a motorizované zařízení pro osobní mobilitu“.</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Článek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Ustanovení článků 4, 5, 7, 8 a 11 nabývají účinnosti dne 1. ledna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Článek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Prováděním tohoto dekretu, který bude zveřejněn v Úředním věstníku Francouzské republiky, jsou pověřeni, každý ve své oblasti působnosti, státní tajemník, ministr pro ekologický a solidární přechod, strážkyně pečeti, ministryně spravedlnosti a ministryně při státním </w:t>
      </w:r>
      <w:r>
        <w:rPr>
          <w:rStyle w:val="Policepardfaut"/>
        </w:rPr>
        <w:lastRenderedPageBreak/>
        <w:t>ministrovi, ministrovi pro ekologický a solidární přechod, do jejíchž kompetencí spadá doprava, a ministr vnitra..</w:t>
      </w:r>
    </w:p>
    <w:p w:rsidR="00D80E56" w:rsidRPr="00D80E56" w:rsidRDefault="00D80E56" w:rsidP="00D80E56">
      <w:pPr>
        <w:suppressAutoHyphens w:val="0"/>
        <w:ind w:left="17"/>
        <w:jc w:val="both"/>
      </w:pPr>
    </w:p>
    <w:p w:rsidR="002E1BE9" w:rsidRPr="00D80E56" w:rsidRDefault="00C3678D" w:rsidP="00D80E56">
      <w:pPr>
        <w:suppressAutoHyphens w:val="0"/>
      </w:pPr>
      <w:r>
        <w:t>Dne</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Za ministerského předsedu:</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St</w:t>
      </w:r>
      <w:r>
        <w:t>átní tajemník, ministr pro ekologický a solidární přechod,</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Ministryně spravedlnosti,</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Ministr vnitra,</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Ministryně při státním tajemníkovi, ministrovi pro ekologický a solidární přechod, do jejíchž kompetencí spadá doprava</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1C6" w:rsidRDefault="003571C6" w:rsidP="00C3678D">
      <w:r>
        <w:separator/>
      </w:r>
    </w:p>
  </w:endnote>
  <w:endnote w:type="continuationSeparator" w:id="0">
    <w:p w:rsidR="003571C6" w:rsidRDefault="003571C6"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1C6" w:rsidRDefault="003571C6" w:rsidP="00C3678D">
      <w:r>
        <w:separator/>
      </w:r>
    </w:p>
  </w:footnote>
  <w:footnote w:type="continuationSeparator" w:id="0">
    <w:p w:rsidR="003571C6" w:rsidRDefault="003571C6"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0F7AB7"/>
    <w:rsid w:val="002E1BE9"/>
    <w:rsid w:val="00337727"/>
    <w:rsid w:val="003571C6"/>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宋体" w:hAnsi="Liberation Serif" w:cs="Arial"/>
        <w:kern w:val="2"/>
        <w:sz w:val="24"/>
        <w:szCs w:val="24"/>
        <w:lang w:val="cs-CZ"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cs-CZ"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微软雅黑"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微软雅黑" w:hAnsi="Liberation Sans" w:cs="Mangal"/>
      <w:sz w:val="28"/>
      <w:szCs w:val="28"/>
    </w:rPr>
  </w:style>
  <w:style w:type="paragraph" w:customStyle="1" w:styleId="Titre3">
    <w:name w:val="Titre3"/>
    <w:basedOn w:val="Normal"/>
    <w:next w:val="BodyText"/>
    <w:qFormat/>
    <w:pPr>
      <w:keepNext/>
      <w:spacing w:before="240" w:after="120"/>
    </w:pPr>
    <w:rPr>
      <w:rFonts w:ascii="Liberation Sans" w:eastAsia="微软雅黑" w:hAnsi="Liberation Sans" w:cs="Mangal"/>
      <w:sz w:val="28"/>
      <w:szCs w:val="28"/>
    </w:rPr>
  </w:style>
  <w:style w:type="paragraph" w:customStyle="1" w:styleId="Titre2">
    <w:name w:val="Titre2"/>
    <w:basedOn w:val="Normal"/>
    <w:next w:val="BodyText"/>
    <w:qFormat/>
    <w:pPr>
      <w:keepNext/>
      <w:spacing w:before="240" w:after="120"/>
    </w:pPr>
    <w:rPr>
      <w:rFonts w:ascii="Liberation Sans" w:eastAsia="微软雅黑" w:hAnsi="Liberation Sans" w:cs="Mangal"/>
      <w:sz w:val="28"/>
      <w:szCs w:val="28"/>
    </w:rPr>
  </w:style>
  <w:style w:type="paragraph" w:customStyle="1" w:styleId="Titre1">
    <w:name w:val="Titre1"/>
    <w:basedOn w:val="Normal"/>
    <w:next w:val="BodyText"/>
    <w:qFormat/>
    <w:pPr>
      <w:keepNext/>
      <w:spacing w:before="240" w:after="120"/>
    </w:pPr>
    <w:rPr>
      <w:rFonts w:ascii="Liberation Sans" w:eastAsia="微软雅黑"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1946</Words>
  <Characters>11098</Characters>
  <Application>Microsoft Office Word</Application>
  <DocSecurity>0</DocSecurity>
  <Lines>92</Lines>
  <Paragraphs>26</Paragraphs>
  <ScaleCrop>false</ScaleCrop>
  <Company>Microsoft</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Ke, Tingting</cp:lastModifiedBy>
  <cp:revision>10</cp:revision>
  <dcterms:created xsi:type="dcterms:W3CDTF">2019-04-12T14:32:00Z</dcterms:created>
  <dcterms:modified xsi:type="dcterms:W3CDTF">2019-05-16T12:26:00Z</dcterms:modified>
  <dc:language>fr-FR</dc:language>
</cp:coreProperties>
</file>