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6C" w:rsidRPr="00817DDD" w:rsidRDefault="00E0006C" w:rsidP="00E0006C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0471 F-- ES- ------ 20200729 --- --- PROJET</w:t>
      </w:r>
    </w:p>
    <w:p w:rsidR="00D90893" w:rsidRDefault="0082035F" w:rsidP="00E0006C">
      <w:pPr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>XXXX de 2020</w:t>
      </w:r>
    </w:p>
    <w:p w:rsidR="00D90893" w:rsidRDefault="00D90893" w:rsidP="00E0006C">
      <w:pPr>
        <w:spacing w:after="0" w:line="240" w:lineRule="auto"/>
        <w:jc w:val="center"/>
      </w:pPr>
    </w:p>
    <w:p w:rsidR="00D90893" w:rsidRDefault="00D90893" w:rsidP="00E0006C">
      <w:pPr>
        <w:spacing w:after="0" w:line="240" w:lineRule="auto"/>
        <w:jc w:val="center"/>
      </w:pPr>
    </w:p>
    <w:p w:rsidR="00D90893" w:rsidRDefault="0082035F" w:rsidP="00E0006C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Orden de XXXX relativa a los criterios, los subcriterios y el sistema de puntuación para calcular y mostrar el índice de reparabilidad de los portátiles</w:t>
      </w:r>
    </w:p>
    <w:p w:rsidR="00D90893" w:rsidRDefault="00D90893" w:rsidP="00E0006C">
      <w:pPr>
        <w:spacing w:after="0" w:line="240" w:lineRule="auto"/>
        <w:jc w:val="center"/>
      </w:pPr>
    </w:p>
    <w:p w:rsidR="00D90893" w:rsidRDefault="0082035F" w:rsidP="00E0006C">
      <w:pPr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NOR: XXXXX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La Ministra de la Transición Ecológica y el Ministro de Economía y Hacienda,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Visto el Reglamento (UE) n.º 617/2013 de la Comisión, de 26 de junio de 2013, por el que se desarrolla la Directiva 2009/125/CE del Parlamento Europeo y del Consejo en lo relativo a los requisitos de diseño ecológico aplicables a los ordenadores y servidores informáticos;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Visto el Código de Medio Ambiente, en particular, el artículo L. 541-9-2;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Visto el Decreto n.º XXX de XXXX relativo a los métodos de aplicación del índice de reparabilidad para productos eléctricos y electrónicos, sus criterios y su método de cálculo,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Pr="00700C01" w:rsidRDefault="0082035F" w:rsidP="00E0006C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Artículo 1</w:t>
      </w:r>
    </w:p>
    <w:p w:rsidR="00D90893" w:rsidRDefault="00D90893" w:rsidP="00E0006C">
      <w:pPr>
        <w:keepNext/>
        <w:keepLines/>
        <w:spacing w:after="0" w:line="240" w:lineRule="auto"/>
        <w:rPr>
          <w:color w:val="000000"/>
        </w:rPr>
      </w:pPr>
    </w:p>
    <w:p w:rsidR="00D90893" w:rsidRDefault="0082035F" w:rsidP="00E0006C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La presente Orden se aplicará a los ordenadores que entren dentro del ámbito de aplicación del Reglamento, mencionado, de 26 de junio de 2013, y a los portátiles. </w:t>
      </w:r>
    </w:p>
    <w:p w:rsidR="00D90893" w:rsidRDefault="00D90893" w:rsidP="00E0006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82035F" w:rsidP="00E0006C">
      <w:pPr>
        <w:keepNext/>
        <w:keepLines/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Artículo 2</w:t>
      </w:r>
    </w:p>
    <w:p w:rsidR="00D90893" w:rsidRDefault="00D90893" w:rsidP="00E0006C">
      <w:pPr>
        <w:keepNext/>
        <w:keepLines/>
        <w:spacing w:after="0" w:line="240" w:lineRule="auto"/>
        <w:rPr>
          <w:color w:val="000000"/>
        </w:rPr>
      </w:pPr>
    </w:p>
    <w:p w:rsidR="00D90893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Los criterios, subcriterios y el sistema de puntuación aplicables a los productos definidos en el artículo 1 para calcular el índice de reparabilidad se especifican a continuación:</w:t>
      </w:r>
    </w:p>
    <w:p w:rsidR="009810E0" w:rsidRDefault="009810E0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2E5B" w:rsidRDefault="00BF2E5B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9810E0" w:rsidRDefault="0082035F" w:rsidP="00E0006C">
      <w:pPr>
        <w:keepNext/>
        <w:keepLines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CRITERIO N.º 1. DOCUMENTACIÓN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>Subcriterio 1.1. Compromiso sobre el período de puesta a disposición de forma gratuita de la documentación técnica y relativa a los consejos de utilización y mantenimiento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55"/>
        <w:gridCol w:w="571"/>
        <w:gridCol w:w="574"/>
        <w:gridCol w:w="572"/>
        <w:gridCol w:w="574"/>
        <w:gridCol w:w="572"/>
        <w:gridCol w:w="574"/>
        <w:gridCol w:w="574"/>
        <w:gridCol w:w="584"/>
        <w:gridCol w:w="570"/>
        <w:gridCol w:w="570"/>
        <w:gridCol w:w="570"/>
        <w:gridCol w:w="566"/>
      </w:tblGrid>
      <w:tr w:rsidR="00D90893" w:rsidRPr="00AB37FA" w:rsidTr="00C37518"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Productor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Talleres de reparación 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Consumidores</w:t>
            </w:r>
          </w:p>
        </w:tc>
      </w:tr>
      <w:tr w:rsidR="00D90893" w:rsidRPr="00AB37FA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</w:tr>
      <w:tr w:rsidR="00C37518" w:rsidRPr="00AB37FA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C37518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</w:tr>
      <w:tr w:rsidR="00D90893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Tipo de documentación</w:t>
            </w: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Identificación inequívoca del producto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Diagrama de desmontaje o vista detallada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Diagramas de cableado y conexión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Diagramas de tarjetas electrónicas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Lista de equipos de reparación y prueba necesarios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Manual técnico de instrucciones de reparación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Códigos de error y diagnóstico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Información sobre los componentes y el diagnóstico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Instrucciones de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software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(incluido para el reinicio)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Acceso a incidentes notificados y registrados en el equipo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Boletines técnicos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Supervisión específica de la reparación automática (operaciones recomendadas, instrucciones de seguridad y reparación, posibles repercusiones en la garantía)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Información sobre acceso a talleres de reparación profesionales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Detección de averías y acciones requeridas (enfoque público general)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Consejos de uso y mantenimiento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D90893" w:rsidRDefault="0082035F" w:rsidP="00E0006C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El número máximo de puntos es 259. Puntuación para este subcriterio = (número de puntos obtenidos/259) x 10</w:t>
      </w:r>
    </w:p>
    <w:p w:rsidR="00D90893" w:rsidRDefault="0082035F" w:rsidP="00E0006C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 N.º 2 – DESMONTAJE Y ACCESO, HERRAMIENTAS, FIJACIONES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Subcriterio 2.1. Facilidad de desmontaje de las piezas (lista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2"/>
        <w:gridCol w:w="1249"/>
        <w:gridCol w:w="1249"/>
        <w:gridCol w:w="1249"/>
        <w:gridCol w:w="1247"/>
      </w:tblGrid>
      <w:tr w:rsidR="00D90893" w:rsidRPr="00AB37FA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pasos para el acceso individual a las piezas</w:t>
            </w:r>
          </w:p>
        </w:tc>
      </w:tr>
      <w:tr w:rsidR="00D90893" w:rsidRPr="00AB37FA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ND/NA (1) u 11 o más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a 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a 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6</w:t>
            </w:r>
          </w:p>
        </w:tc>
      </w:tr>
      <w:tr w:rsidR="00D90893" w:rsidRPr="00AB37FA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Piezas de la lista 2 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Componente de almacenamiento masivo (HDD - SSD)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Aparato de visualización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Conectores de alimentación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Cargador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ND/NA = no extraíble o no accesible individualmente</w:t>
      </w:r>
    </w:p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El número máximo de puntos es 15. Puntuación para este subcriterio = (número de puntos obtenidos/15) x 10 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Subcriterio 2.2. Herramientas necesarias para desmontar las piezas (lista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06"/>
        <w:gridCol w:w="1729"/>
        <w:gridCol w:w="1729"/>
        <w:gridCol w:w="1729"/>
        <w:gridCol w:w="1733"/>
      </w:tblGrid>
      <w:tr w:rsidR="00D90893" w:rsidRPr="00AB37FA" w:rsidTr="00E0006C">
        <w:tc>
          <w:tcPr>
            <w:tcW w:w="1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Tipo de herramientas</w:t>
            </w:r>
          </w:p>
        </w:tc>
      </w:tr>
      <w:tr w:rsidR="00D90893" w:rsidRPr="00AB37FA" w:rsidTr="00C37518">
        <w:tc>
          <w:tcPr>
            <w:tcW w:w="1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ND/NA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Herramientas propietarias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Herramientas específicas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Sin herramienta, herramientas comunes (2)</w:t>
            </w:r>
          </w:p>
        </w:tc>
      </w:tr>
      <w:tr w:rsidR="00D90893" w:rsidRPr="00AB37FA" w:rsidTr="00E0006C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Piezas de la lista 2</w:t>
            </w: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 (3)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Componente de almacenamiento masivo (HDD - SDD)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Aparato de visualización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Conectores de alimentación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Cargador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o la herramienta suministrada con la pieza de repuesto</w:t>
      </w:r>
    </w:p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escoger la puntuación más desfavorable en caso de varias herramientas</w:t>
      </w:r>
    </w:p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El número máximo de puntos es 20. Puntuación para este subcriterio = (número de puntos obtenidos/20) x 10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Subcriterio 2.3. Características de las fijaciones (para el ensamblaje de piezas de las listas 1 y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3"/>
        <w:gridCol w:w="1663"/>
        <w:gridCol w:w="1665"/>
        <w:gridCol w:w="1665"/>
      </w:tblGrid>
      <w:tr w:rsidR="00D90893" w:rsidRPr="00AB37FA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Tipo de fijación</w:t>
            </w:r>
          </w:p>
        </w:tc>
      </w:tr>
      <w:tr w:rsidR="00D90893" w:rsidRPr="00AB37FA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Ni extraíble ni reutilizable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Extraíble, no reutilizable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Extraíble y reutilizable (4)</w:t>
            </w:r>
          </w:p>
        </w:tc>
      </w:tr>
      <w:tr w:rsidR="00D90893" w:rsidRPr="00AB37FA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Piezas de la lista 1 o de lista 2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 (5)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Placa base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Memoria RAM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Ventiladores, radiadores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Teclado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Puertos, conectores (6)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Componente de almacenamiento masivo (HDD - SDD)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Aparato de visualización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Conectores de alimentación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Cargador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 fijación suministrada con la pieza de recambio </w:t>
      </w:r>
    </w:p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escoger la puntuación más desfavorable en caso de varias fijaciones</w:t>
      </w:r>
    </w:p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para conectar dispositivos externos (USB, HDMI, VGA)</w:t>
      </w:r>
    </w:p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El número máximo de puntos es 20. Puntuación para este subcriterio = (número de puntos obtenidos/20) x 10</w:t>
      </w:r>
    </w:p>
    <w:p w:rsidR="00D90893" w:rsidRDefault="0082035F" w:rsidP="00E0006C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 N.º 3 – DISPONIBILIDAD DE LAS PIEZAS DE REPUESTO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Subcriterio 3.1. Compromiso del fabricante sobre el período de disponibilidad de las piezas de la lista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6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90893" w:rsidRPr="00AB37FA" w:rsidTr="00C37518">
        <w:tc>
          <w:tcPr>
            <w:tcW w:w="8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Productor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Distribuidores de piezas de repuesto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Talleres de reparación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Consumidores</w:t>
            </w:r>
          </w:p>
        </w:tc>
      </w:tr>
      <w:tr w:rsidR="00D90893" w:rsidRPr="00AB37FA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</w:tr>
      <w:tr w:rsidR="00C37518" w:rsidRPr="00AB37FA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</w:tr>
      <w:tr w:rsidR="00D90893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Piezas de la lista 2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Número de puntos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Componente de almacenamiento masivo (HDD - SDD)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Aparato de visualización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Conectores de alimentación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Cargador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E0006C" w:rsidRDefault="0082035F" w:rsidP="00E0006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El número máximo de puntos es 140. Puntuación para este subcriterio = (número de puntos obtenidos/140) x 10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Subcriterio 3.2. Compromiso del fabricante sobre el período de disponibilidad de las piezas de la lista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2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4"/>
      </w:tblGrid>
      <w:tr w:rsidR="00D90893" w:rsidRPr="00AB37FA" w:rsidTr="00C37518"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Productor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Distribuidores de piezas de repuesto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Talleres de reparación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Consumidores</w:t>
            </w:r>
          </w:p>
        </w:tc>
      </w:tr>
      <w:tr w:rsidR="00D90893" w:rsidRPr="00AB37FA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Años de disponibilidad</w:t>
            </w:r>
          </w:p>
        </w:tc>
      </w:tr>
      <w:tr w:rsidR="00C37518" w:rsidRPr="00AB37FA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a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o más</w:t>
            </w:r>
          </w:p>
        </w:tc>
      </w:tr>
      <w:tr w:rsidR="00D90893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Piezas de la lista 1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Número de puntos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0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Placa base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Memoria RAM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Ventiladores, radiadores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Teclado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Puertos, conectores (1)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D90893" w:rsidRPr="00BB4C57" w:rsidRDefault="0082035F" w:rsidP="00C37518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para conectar dispositivos externos (USB, HDMI, VGA)</w:t>
      </w:r>
    </w:p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El número máximo de puntos es 140. Puntuación para este subcriterio = (número de puntos obtenidos/140) x 10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lastRenderedPageBreak/>
        <w:t>Subcriterio 3.3. Tiempo de entrega de las piezas de la lista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AB37FA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Productor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Distribuidores de piezas de repuesto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Talleres de reparación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Consumidores</w:t>
            </w:r>
          </w:p>
        </w:tc>
      </w:tr>
      <w:tr w:rsidR="00D90893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Días de entrega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Días de entrega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Días de entrega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Días de entrega (1)</w:t>
            </w:r>
          </w:p>
        </w:tc>
      </w:tr>
      <w:tr w:rsidR="00E0006C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y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a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a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a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y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a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a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a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y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a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a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a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y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a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a 5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a 3</w:t>
            </w:r>
          </w:p>
        </w:tc>
      </w:tr>
      <w:tr w:rsidR="00D90893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Pieza de la lista 2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Número de puntos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Componente de almacenamiento masivo (HDD - SDD)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Aparato de visualización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Conectores de alimentación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Cargador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hábiles desde el día del pedido</w:t>
      </w:r>
    </w:p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El número máximo de puntos es 60. Puntuación para este subcriterio = (número de puntos obtenidos/60) x 10 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Subcriterio 3.4. Tiempo de entrega de las piezas de la lista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AB37FA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Productor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Distribuidores de piezas de repuesto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Talleres de reparación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Consumidores</w:t>
            </w:r>
          </w:p>
        </w:tc>
      </w:tr>
      <w:tr w:rsidR="00D90893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Días de entrega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Días de entrega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Días de entrega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Días de entrega (1)</w:t>
            </w:r>
          </w:p>
        </w:tc>
      </w:tr>
      <w:tr w:rsidR="00E0006C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y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a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a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a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y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a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a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a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y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a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a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a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y más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a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a 5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a 3</w:t>
            </w:r>
          </w:p>
        </w:tc>
      </w:tr>
      <w:tr w:rsidR="00D90893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Pieza de la lista 1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Número de puntos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Placa base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Memoria RAM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Ventiladores, radiadores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Teclado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Puertos, conectores (2)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días hábiles desde el día del pedido</w:t>
      </w:r>
    </w:p>
    <w:p w:rsidR="00D90893" w:rsidRPr="00C3751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para conectar dispositivos externos (USB, HDMI, VGA)</w:t>
      </w:r>
    </w:p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El número máximo de puntos es 60. Puntuación para este subcriterio = (número de puntos obtenidos/60) x 10 </w:t>
      </w:r>
    </w:p>
    <w:p w:rsidR="00D90893" w:rsidRDefault="0082035F" w:rsidP="00E0006C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 N.º 4 – PRECIO DE LAS PIEZAS DE REPUESTO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>Subcriterio 4.1. Relación de precios de las piezas de la lista 2 sobre el precio del producto nuevo</w:t>
      </w:r>
    </w:p>
    <w:p w:rsidR="00D90893" w:rsidRDefault="0082035F" w:rsidP="00E0006C">
      <w:pPr>
        <w:contextualSpacing/>
        <w:jc w:val="both"/>
      </w:pPr>
      <w:r>
        <w:rPr>
          <w:rFonts w:ascii="Times New Roman" w:hAnsi="Times New Roman"/>
          <w:color w:val="000000"/>
        </w:rPr>
        <w:t>A partir de la relación a que se refiere la Orden, de XXXX, relativa a los métodos de presentación, señalización y parámetros generales de cálculo del índice de reparabilidad, el número de puntos obtenidos para este criterio se determina de la siguiente manera:</w:t>
      </w:r>
    </w:p>
    <w:p w:rsidR="00E0006C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- si el resultado de la relación es superior a 0,3, entonces el número de puntos es 0,</w:t>
      </w:r>
    </w:p>
    <w:p w:rsidR="00E0006C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- si el resultado de la relación es inferior a 0,1, entonces el número de puntos es 100,</w:t>
      </w:r>
    </w:p>
    <w:p w:rsidR="00D90893" w:rsidRDefault="0082035F" w:rsidP="00E0006C">
      <w:pPr>
        <w:suppressAutoHyphens w:val="0"/>
        <w:contextualSpacing/>
      </w:pPr>
      <w:r>
        <w:rPr>
          <w:rFonts w:ascii="Times New Roman" w:hAnsi="Times New Roman"/>
          <w:color w:val="000000"/>
        </w:rPr>
        <w:t>- si el resultado de la relación está entre 0,1 y 0,3, entonces el número de puntos se determinará de acuerdo con la siguiente tabla de correspondencia: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7"/>
        <w:gridCol w:w="408"/>
        <w:gridCol w:w="448"/>
        <w:gridCol w:w="448"/>
        <w:gridCol w:w="448"/>
        <w:gridCol w:w="446"/>
        <w:gridCol w:w="446"/>
        <w:gridCol w:w="445"/>
        <w:gridCol w:w="445"/>
        <w:gridCol w:w="445"/>
        <w:gridCol w:w="445"/>
        <w:gridCol w:w="35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352"/>
      </w:tblGrid>
      <w:tr w:rsidR="00D90893" w:rsidTr="00E37485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Proporción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0,3</w:t>
            </w:r>
          </w:p>
        </w:tc>
      </w:tr>
      <w:tr w:rsidR="00D90893" w:rsidTr="00E37485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Puntos </w:t>
            </w: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</w:t>
            </w:r>
          </w:p>
        </w:tc>
      </w:tr>
    </w:tbl>
    <w:p w:rsidR="00D90893" w:rsidRDefault="00D90893" w:rsidP="00E0006C">
      <w:pPr>
        <w:jc w:val="both"/>
      </w:pPr>
    </w:p>
    <w:p w:rsidR="00D90893" w:rsidRDefault="0082035F" w:rsidP="007F62FD">
      <w:pPr>
        <w:keepNext/>
        <w:keepLines/>
        <w:contextualSpacing/>
        <w:jc w:val="both"/>
      </w:pPr>
      <w:r>
        <w:rPr>
          <w:rFonts w:ascii="Times New Roman" w:hAnsi="Times New Roman"/>
          <w:color w:val="000000"/>
        </w:rPr>
        <w:t xml:space="preserve">La norma para el redondeo será la siguiente: </w:t>
      </w:r>
    </w:p>
    <w:p w:rsidR="00E0006C" w:rsidRDefault="0082035F" w:rsidP="00E0006C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- Si la cifra del tercer decimal es inferior a 5, se redondeará al segundo decimal inferior.</w:t>
      </w:r>
    </w:p>
    <w:p w:rsidR="00D90893" w:rsidRDefault="0082035F" w:rsidP="00E0006C">
      <w:pPr>
        <w:contextualSpacing/>
        <w:jc w:val="both"/>
      </w:pPr>
      <w:r>
        <w:rPr>
          <w:rFonts w:ascii="Times New Roman" w:hAnsi="Times New Roman"/>
          <w:color w:val="000000"/>
        </w:rPr>
        <w:t>- Si la cifra del tercer decimal es mayor o igual a 5, se redondeará al segundo decimal superior.</w:t>
      </w:r>
    </w:p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1"/>
          <w:szCs w:val="21"/>
        </w:rPr>
        <w:t>El número máximo de puntos es 100. Puntuación para este subcriterio = (número de puntos obtenidos/100) x 10</w:t>
      </w:r>
    </w:p>
    <w:p w:rsidR="00D90893" w:rsidRDefault="0082035F" w:rsidP="00E0006C">
      <w:pPr>
        <w:keepNext/>
        <w:keepLines/>
        <w:jc w:val="center"/>
      </w:pPr>
      <w:r>
        <w:rPr>
          <w:rFonts w:ascii="Times New Roman" w:hAnsi="Times New Roman"/>
          <w:color w:val="000000"/>
        </w:rPr>
        <w:t xml:space="preserve">CRITERIO N.º 5 – CRITERIO ESPECÍFICO 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 xml:space="preserve">Para los productos afectados por la presente Orden, los coeficientes de los subcriterios del criterio 5 se definen como sigue: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9"/>
        <w:gridCol w:w="3731"/>
        <w:gridCol w:w="1099"/>
        <w:gridCol w:w="1045"/>
        <w:gridCol w:w="1198"/>
        <w:gridCol w:w="1224"/>
      </w:tblGrid>
      <w:tr w:rsidR="00D90893" w:rsidRPr="00AB37FA" w:rsidTr="00C37518"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Subcriterio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Puntuación del subcriterio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Coeficiente del subcriterio</w:t>
            </w:r>
          </w:p>
        </w:tc>
        <w:tc>
          <w:tcPr>
            <w:tcW w:w="6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Puntuación del criterio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Coeficiente del criterio</w:t>
            </w:r>
          </w:p>
        </w:tc>
      </w:tr>
      <w:tr w:rsidR="00D90893" w:rsidRPr="00AB37FA" w:rsidTr="00C37518">
        <w:tc>
          <w:tcPr>
            <w:tcW w:w="7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Criterio específico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5.1. Información sobre la naturaleza de las actualizaciones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▀▀/20</w:t>
            </w:r>
          </w:p>
        </w:tc>
        <w:tc>
          <w:tcPr>
            <w:tcW w:w="629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90893" w:rsidRPr="00AB37FA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5.2. Asistencia remota gratuita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90893" w:rsidRPr="00AB37FA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5.3. Posibilidad de reinicio del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0006C" w:rsidRDefault="00E0006C" w:rsidP="00E0006C">
      <w:pPr>
        <w:rPr>
          <w:rFonts w:ascii="Times New Roman" w:hAnsi="Times New Roman" w:cs="Times New Roman"/>
          <w:color w:val="000000"/>
        </w:rPr>
      </w:pP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>Subcriterio 5.1. Información sobre la naturaleza de las actualizaciones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22"/>
        <w:gridCol w:w="2502"/>
        <w:gridCol w:w="2502"/>
      </w:tblGrid>
      <w:tr w:rsidR="00D90893" w:rsidRPr="00C37518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C</w:t>
            </w:r>
          </w:p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Consumidores</w:t>
            </w:r>
          </w:p>
        </w:tc>
      </w:tr>
      <w:tr w:rsidR="00D90893" w:rsidRPr="00C37518" w:rsidTr="00E0006C">
        <w:tc>
          <w:tcPr>
            <w:tcW w:w="2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Información sobre la naturaleza diferenciada de las actualizaciones: correctivas (errores o fallos de seguridad), evolutivas o mixtas (1)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Situación</w:t>
            </w:r>
          </w:p>
        </w:tc>
      </w:tr>
      <w:tr w:rsidR="00D90893" w:rsidRPr="00C37518" w:rsidTr="00C37518">
        <w:tc>
          <w:tcPr>
            <w:tcW w:w="2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Ausencia de información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Presencia de información </w:t>
            </w:r>
          </w:p>
        </w:tc>
      </w:tr>
      <w:tr w:rsidR="00D90893" w:rsidRPr="00C37518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</w:tr>
      <w:tr w:rsidR="00D90893" w:rsidRPr="00C37518" w:rsidTr="00C37518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</w:rPr>
        <w:t>La información que acompaña a la actualización deberá ser «actualización correctiva», «actualización evolutiva» o «actualización mixta».</w:t>
      </w:r>
    </w:p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El número máximo de puntos es 1. Puntuación para este subcriterio = (número de puntos obtenidos/1) x 10 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>Subcriterio 5.2. Asistencia remota gratuita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98"/>
        <w:gridCol w:w="1405"/>
        <w:gridCol w:w="1394"/>
        <w:gridCol w:w="1407"/>
        <w:gridCol w:w="1408"/>
        <w:gridCol w:w="1406"/>
        <w:gridCol w:w="1408"/>
      </w:tblGrid>
      <w:tr w:rsidR="00D90893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Talleres de reparación </w:t>
            </w:r>
          </w:p>
        </w:tc>
        <w:tc>
          <w:tcPr>
            <w:tcW w:w="28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Consumidores</w:t>
            </w:r>
          </w:p>
        </w:tc>
      </w:tr>
      <w:tr w:rsidR="00C37518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Tipo de asistencia remota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Ninguna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Información actualizada en el sitio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Ninguna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Información remota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Asistencia de diagnóstico remota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Asistencia de reparación remota</w:t>
            </w:r>
          </w:p>
        </w:tc>
      </w:tr>
      <w:tr w:rsidR="00C37518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El número máximo de puntos es 5. Puntuación para este subcriterio = (número de puntos obtenidos/5) x 10 </w:t>
      </w:r>
    </w:p>
    <w:p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 xml:space="preserve">Subcriterio 5.3. Posibilidad de reinicio del </w:t>
      </w:r>
      <w:r>
        <w:rPr>
          <w:rFonts w:ascii="Times New Roman" w:hAnsi="Times New Roman"/>
          <w:i/>
          <w:iCs/>
          <w:color w:val="000000"/>
        </w:rPr>
        <w:t>software</w:t>
      </w:r>
      <w:r>
        <w:rPr>
          <w:rFonts w:ascii="Times New Roman" w:hAnsi="Times New Roman"/>
          <w:color w:val="000000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37"/>
        <w:gridCol w:w="1547"/>
        <w:gridCol w:w="1546"/>
        <w:gridCol w:w="1546"/>
        <w:gridCol w:w="1550"/>
      </w:tblGrid>
      <w:tr w:rsidR="00D90893" w:rsidRPr="00AB37FA" w:rsidTr="00E0006C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Columna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Consumidores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Posibilidad de reinicio del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software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gratuito y sin restricción de acceso a estos servicios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Ninguna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Con un módulo interno dentro del equipo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 un CD-ROM u otro medio de reinicio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 un servidor remoto</w:t>
            </w:r>
          </w:p>
        </w:tc>
      </w:tr>
      <w:tr w:rsidR="00D90893" w:rsidRPr="00AB37FA" w:rsidTr="00E0006C">
        <w:tc>
          <w:tcPr>
            <w:tcW w:w="18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Número de puntos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Reinicio de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software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incluyendo sistema operativo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Reinicio del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firmware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El número máximo de puntos es 8. Puntuación para este subcriterio = (número de puntos obtenidos/8) x 10 </w:t>
      </w:r>
    </w:p>
    <w:p w:rsidR="00D90893" w:rsidRPr="00E0006C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 la Ministra de la Transición Ecológica y por delegación:</w:t>
      </w:r>
    </w:p>
    <w:p w:rsidR="00D90893" w:rsidRPr="00E0006C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 Comisionado General para el Desarrollo Sostenible,</w:t>
      </w:r>
    </w:p>
    <w:p w:rsidR="00D90893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T. Lesueur</w:t>
      </w: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 el Ministro de Economía y Hacienda y por delegación:</w:t>
      </w:r>
    </w:p>
    <w:p w:rsidR="00D90893" w:rsidRPr="00E0006C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La Directora General de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Competencia, Consumo y Represión del Fraude,</w:t>
      </w:r>
    </w:p>
    <w:p w:rsidR="00D90893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V. Beaumeunier</w:t>
      </w:r>
    </w:p>
    <w:sectPr w:rsidR="00D90893" w:rsidRPr="00E0006C">
      <w:pgSz w:w="11906" w:h="16838"/>
      <w:pgMar w:top="1416" w:right="1133" w:bottom="1133" w:left="1133" w:header="1133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9A" w:rsidRDefault="009E109A">
      <w:pPr>
        <w:spacing w:after="0" w:line="240" w:lineRule="auto"/>
      </w:pPr>
      <w:r>
        <w:separator/>
      </w:r>
    </w:p>
  </w:endnote>
  <w:endnote w:type="continuationSeparator" w:id="0">
    <w:p w:rsidR="009E109A" w:rsidRDefault="009E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9A" w:rsidRDefault="009E109A">
      <w:pPr>
        <w:spacing w:after="0" w:line="240" w:lineRule="auto"/>
      </w:pPr>
      <w:r>
        <w:separator/>
      </w:r>
    </w:p>
  </w:footnote>
  <w:footnote w:type="continuationSeparator" w:id="0">
    <w:p w:rsidR="009E109A" w:rsidRDefault="009E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37E06B6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820" w:hanging="360"/>
      </w:pPr>
      <w:rPr>
        <w:rFonts w:ascii="Times New Roman" w:hAnsi="Times New Roman" w:cs="Times New Roman"/>
        <w:sz w:val="20"/>
        <w:szCs w:val="20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D1A563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1F8D228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591F4CD1"/>
    <w:multiLevelType w:val="multilevel"/>
    <w:tmpl w:val="C15C91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712C07F5"/>
    <w:multiLevelType w:val="multilevel"/>
    <w:tmpl w:val="B49E9F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35F"/>
    <w:rsid w:val="001D38D0"/>
    <w:rsid w:val="001D6A94"/>
    <w:rsid w:val="003253B8"/>
    <w:rsid w:val="006A7C43"/>
    <w:rsid w:val="00700C01"/>
    <w:rsid w:val="007C2698"/>
    <w:rsid w:val="007F62FD"/>
    <w:rsid w:val="0082035F"/>
    <w:rsid w:val="00870E36"/>
    <w:rsid w:val="009810E0"/>
    <w:rsid w:val="009E109A"/>
    <w:rsid w:val="00A07015"/>
    <w:rsid w:val="00AB37FA"/>
    <w:rsid w:val="00B91CA8"/>
    <w:rsid w:val="00BB4C57"/>
    <w:rsid w:val="00BF2E5B"/>
    <w:rsid w:val="00C37518"/>
    <w:rsid w:val="00D340B6"/>
    <w:rsid w:val="00D90893"/>
    <w:rsid w:val="00DE4F30"/>
    <w:rsid w:val="00E0006C"/>
    <w:rsid w:val="00E37485"/>
    <w:rsid w:val="00E569C2"/>
    <w:rsid w:val="00ED736E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chartTrackingRefBased/>
  <w15:docId w15:val="{DE0C2B30-3856-4733-A6AF-5E0BE81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eastAsia="zh-C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bidi="ar-SA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 w:bidi="ar-SA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(UE) no 617/2013 de la Commission du 26 juin 2013 portant application de la directive 2009/125/CE du Parlement européen et du Conseil en ce qui concerne les exigences d’écoconception applicables aux ordinateurs et aux serveurs informatiquesTexte</vt:lpstr>
    </vt:vector>
  </TitlesOfParts>
  <Company>Microsoft</Company>
  <LinksUpToDate>false</LinksUpToDate>
  <CharactersWithSpaces>12086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(UE) no 617/2013 de la Commission du 26 juin 2013 portant application de la directive 2009/125/CE du Parlement européen et du Conseil en ce qui concerne les exigences d’écoconception applicables aux ordinateurs et aux serveurs informatiquesTexte présentant de l'intérêt pour l'EEE</dc:title>
  <dc:subject> </dc:subject>
  <dc:creator>Ke, Tingting</dc:creator>
  <cp:keywords/>
  <cp:lastModifiedBy>UGARTE, Esther</cp:lastModifiedBy>
  <cp:revision>4</cp:revision>
  <cp:lastPrinted>1900-01-01T00:00:00Z</cp:lastPrinted>
  <dcterms:created xsi:type="dcterms:W3CDTF">2020-07-22T01:03:00Z</dcterms:created>
  <dcterms:modified xsi:type="dcterms:W3CDTF">2020-07-29T14:11:00Z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