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564BD755" w:rsidR="00704E6A" w:rsidRPr="00704E6A" w:rsidRDefault="00704E6A" w:rsidP="00D543FF">
      <w:pPr>
        <w:spacing w:after="0" w:line="240" w:lineRule="auto"/>
        <w:rPr>
          <w:rFonts w:ascii="Courier New" w:hAnsi="Courier New" w:cs="Courier New"/>
          <w:szCs w:val="20"/>
        </w:rPr>
      </w:pPr>
      <w:r>
        <w:rPr>
          <w:rFonts w:ascii="Courier New" w:hAnsi="Courier New"/>
        </w:rPr>
        <w:t>1. ------IND- 2020 0609 DK- FR-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PROJET</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Règlement sur l’interdiction de la publicité, du placement visible et de la présentation et autre de cigarettes électroniques et de flacons de recharge avec ou sans nicotine</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rPr>
        <w:t>En application de l’article 18 bis, paragraphe 4, de la loi sur les cigarettes électroniques et autres, cf. loi n° 426 du 18 mai 2016 sur les cigarettes électroniques et autres, telle que modifiée par l’article 2 de la loi n° 1558 du 18 décembre 2018 et l’article 3 de la loi n° xx du xx 2020, il est établi ce qui suit:</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rPr>
        <w:t>Définitions</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Article premier. </w:t>
      </w:r>
      <w:r>
        <w:rPr>
          <w:sz w:val="24"/>
        </w:rPr>
        <w:t>Aux fins du présent règlement, l’on entend par:</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rPr>
        <w:t>1) cigarette électronique: un produit, ou tout composant de ce produit, y compris une cartouche, un réservoir rechargeable et un dispositif dépourvu de cartouche ou de réservoir rechargeable, qui peut être utilisé pour la consommation de vapeur contenant ou non de la nicotine. Les cigarettes électroniques peuvent être jetables ou rechargeables au moyen d’un flacon de recharge et d’un réservoir rechargeable ou au moyen de cartouches à usage unique;</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2) flacon de recharge avec nicotine: un récipient renfermant un liquide contenant de la nicotine, qui peut être utilisé pour recharger une cigarette électronique avec nicotine;</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3) flacon de recharge sans nicotine: un récipient renfermant un liquide ne contenant pas de nicotine, qui peut être utilisé pour recharger une cigarette électronique sans nicotine.</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2</w:t>
      </w:r>
    </w:p>
    <w:p w14:paraId="7A51CD03"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 xml:space="preserve">Publicité </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Article 2. </w:t>
      </w:r>
      <w:r>
        <w:rPr>
          <w:sz w:val="24"/>
        </w:rPr>
        <w:t>Toute forme de publicité pour les cigarettes électroniques et les flacons de recharge avec ou sans nicotine est interdite, cf. article 16, paragraphe 1, de la loi sur les cigarettes électroniques et autres.</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rPr>
        <w:t>Paragraphe 2</w:t>
      </w:r>
      <w:r>
        <w:rPr>
          <w:sz w:val="24"/>
        </w:rPr>
        <w:t>. L’interdiction des publicités du paragraphe 1 comprend l’interdiction:</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d’utiliser dans des publicités pour d’autres produits et services un nom, une marque, un symbole ou tout autre élément distinctif essentiellement utilisé pour des cigarettes électroniques et des flacons de recharge;</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de commercialiser des cigarettes électroniques et des flacons de recharge en se servant d’un nom, d’une marque, d’un symbole ou de tout autre élément distinctif qui est connu ou utilisé comme une marque pour d’autres produits et services;</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lastRenderedPageBreak/>
        <w:t>3) de commercialiser des cigarettes électroniques et des flacons de recharge à l’aide de noms, de marques, de symboles, de figures ou autres qui s’adressent essentiellement aux enfants et aux jeunes de moins de 18 ans;</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4) d’utiliser une présentation, une forme ou des combinaisons de couleurs particulières qui sont associées à des cigarettes électroniques et des flacons de recharge précis avec ou sans nicotine;</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5) d’utiliser des cigarettes électroniques et des flacons de recharge reconnaissables dans des publicités pour d’autres produits et services.</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 xml:space="preserve">Paragraphe 3. </w:t>
      </w:r>
      <w:r>
        <w:rPr>
          <w:sz w:val="24"/>
        </w:rPr>
        <w:t>L’interdiction visée au paragraphe premier ne s’applique cependant pas:</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aux communications destinées exclusivement aux professionnels du secteur;</w:t>
      </w:r>
    </w:p>
    <w:p w14:paraId="12DF0DF8" w14:textId="0AADA94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à l</w:t>
      </w:r>
      <w:r w:rsidR="002B6437">
        <w:rPr>
          <w:sz w:val="24"/>
        </w:rPr>
        <w:t>’</w:t>
      </w:r>
      <w:r>
        <w:rPr>
          <w:sz w:val="24"/>
        </w:rPr>
        <w:t>utilisation d’un nom qui, avant le 7 juin 2016, a été utilisé à la fois pour des cigarettes électroniques et des flacons de recharge et pour d’autres produits ou services, en vue de faire de la publicité pour ces autres produits, dans la mesure où le nom est présenté sous une forme qui diffère nettement de celle du nom sur la cigarette électronique et le flacon de recharge;</w:t>
      </w:r>
    </w:p>
    <w:p w14:paraId="12279633" w14:textId="7422DEE0"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à l</w:t>
      </w:r>
      <w:r w:rsidR="002B6437">
        <w:rPr>
          <w:sz w:val="24"/>
        </w:rPr>
        <w:t>’</w:t>
      </w:r>
      <w:r>
        <w:rPr>
          <w:sz w:val="24"/>
        </w:rPr>
        <w:t>usage d</w:t>
      </w:r>
      <w:r w:rsidR="002B6437">
        <w:rPr>
          <w:sz w:val="24"/>
        </w:rPr>
        <w:t>’</w:t>
      </w:r>
      <w:r>
        <w:rPr>
          <w:sz w:val="24"/>
        </w:rPr>
        <w:t>un nom connu pour des cigarettes électroniques dans la publicité pour d</w:t>
      </w:r>
      <w:r w:rsidR="002B6437">
        <w:rPr>
          <w:sz w:val="24"/>
        </w:rPr>
        <w:t>’</w:t>
      </w:r>
      <w:r>
        <w:rPr>
          <w:sz w:val="24"/>
        </w:rPr>
        <w:t>autres produits et services, à condition que cet autre produit ou service soit uniquement commercialisé dans une zone géographique limitée.</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Interdiction de placement visible et de présentation</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77777777"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Article 3. </w:t>
      </w:r>
      <w:r>
        <w:rPr>
          <w:sz w:val="24"/>
        </w:rPr>
        <w:t xml:space="preserve">Le placement visible et la présentation de cigarettes électroniques et de flacons de recharge avec ou sans nicotine dans les points de vente, notamment sur Internet, sont interdits. </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77777777" w:rsidR="00BB6654" w:rsidRPr="00704E6A" w:rsidRDefault="00BB6654" w:rsidP="00BB6654">
      <w:pPr>
        <w:rPr>
          <w:rFonts w:eastAsia="TimesNewRomanPSMT" w:cstheme="minorHAnsi"/>
          <w:sz w:val="24"/>
          <w:szCs w:val="24"/>
        </w:rPr>
      </w:pPr>
      <w:r>
        <w:rPr>
          <w:i/>
          <w:sz w:val="24"/>
        </w:rPr>
        <w:t xml:space="preserve">Paragraphe 2. </w:t>
      </w:r>
      <w:r>
        <w:rPr>
          <w:sz w:val="24"/>
        </w:rPr>
        <w:t xml:space="preserve">Les marchandises prévues pour être utilisées avec les produits relevant du paragraphe 1 sont également concernées par l’interdiction visée au paragraphe 1. </w:t>
      </w:r>
    </w:p>
    <w:p w14:paraId="6C243789" w14:textId="77777777" w:rsidR="00BB6654" w:rsidRPr="00704E6A" w:rsidRDefault="00BB6654" w:rsidP="00BB6654">
      <w:pPr>
        <w:rPr>
          <w:rFonts w:cstheme="minorHAnsi"/>
          <w:sz w:val="24"/>
          <w:szCs w:val="24"/>
        </w:rPr>
      </w:pPr>
      <w:r>
        <w:rPr>
          <w:i/>
          <w:iCs/>
          <w:sz w:val="24"/>
        </w:rPr>
        <w:t>Paragraphe 3</w:t>
      </w:r>
      <w:r>
        <w:rPr>
          <w:sz w:val="24"/>
        </w:rPr>
        <w:t>. L’interdiction du paragraphe 2 comprend, mais sans s’y limiter, les chargeurs, les flacons de recharge vides, les emballages, les batteries ou les arômes. L’interdiction du paragraphe 2 ne concerne pas les produits à usage plus général, à moins qu’ils soient spécifiquement conçus ou commercialisés en référence aux cigarettes électroniques ou aux flacons de recharge avec et sans nicotine.</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rPr>
        <w:t xml:space="preserve">Paragraphe 4. </w:t>
      </w:r>
      <w:r>
        <w:rPr>
          <w:sz w:val="24"/>
        </w:rPr>
        <w:t>Pour respecter l’interdiction des paragraphes 1 et 2, il ne faut pas:</w:t>
      </w:r>
    </w:p>
    <w:p w14:paraId="1B46E0BB" w14:textId="77777777" w:rsidR="00BB6654" w:rsidRPr="00704E6A" w:rsidRDefault="00BB6654" w:rsidP="00BB6654">
      <w:pPr>
        <w:pStyle w:val="Paragraphedeliste"/>
        <w:numPr>
          <w:ilvl w:val="0"/>
          <w:numId w:val="4"/>
        </w:numPr>
        <w:rPr>
          <w:rStyle w:val="tlid-translation"/>
          <w:rFonts w:cstheme="minorHAnsi"/>
          <w:sz w:val="24"/>
          <w:szCs w:val="24"/>
        </w:rPr>
      </w:pPr>
      <w:r>
        <w:rPr>
          <w:rStyle w:val="tlid-translation"/>
          <w:sz w:val="24"/>
        </w:rPr>
        <w:t xml:space="preserve">faire la promotion ou informer directement ou indirectement concernant la vente de cigarettes électroniques et de flacons de recharge avec et sans nicotine sur le point de vente; </w:t>
      </w:r>
    </w:p>
    <w:p w14:paraId="09282853" w14:textId="77777777" w:rsidR="00BB6654" w:rsidRPr="00704E6A" w:rsidRDefault="00BB6654" w:rsidP="00BB6654">
      <w:pPr>
        <w:pStyle w:val="Paragraphedeliste"/>
        <w:numPr>
          <w:ilvl w:val="0"/>
          <w:numId w:val="4"/>
        </w:numPr>
        <w:rPr>
          <w:rStyle w:val="tlid-translation"/>
          <w:rFonts w:cstheme="minorHAnsi"/>
          <w:sz w:val="24"/>
          <w:szCs w:val="24"/>
        </w:rPr>
      </w:pPr>
      <w:r>
        <w:rPr>
          <w:rStyle w:val="tlid-translation"/>
          <w:sz w:val="24"/>
        </w:rPr>
        <w:t xml:space="preserve">utiliser des illustrations, des photos, des couleurs, des logos, des symboles ou autre pouvant donner au consommateur l’impression qu’il est fait référence à des produits ou des catégories de produits relevant des paragraphes 1 et 2, ou donner l’impression que ces produits ont un effet bénéfique sur la santé, sont moins nocifs que d’autres produits, fonctionnent comme produit de désaccoutumance ou ont d’autres effets bénéfiques ou avantages; ou </w:t>
      </w:r>
    </w:p>
    <w:p w14:paraId="649FA914" w14:textId="693EE4C4" w:rsidR="00BB6654" w:rsidRPr="00704E6A" w:rsidRDefault="00BB6654" w:rsidP="00BB6654">
      <w:pPr>
        <w:pStyle w:val="Paragraphedeliste"/>
        <w:numPr>
          <w:ilvl w:val="0"/>
          <w:numId w:val="4"/>
        </w:numPr>
        <w:rPr>
          <w:rStyle w:val="tlid-translation"/>
          <w:rFonts w:cstheme="minorHAnsi"/>
          <w:sz w:val="24"/>
          <w:szCs w:val="24"/>
        </w:rPr>
      </w:pPr>
      <w:r>
        <w:rPr>
          <w:rStyle w:val="tlid-translation"/>
          <w:sz w:val="24"/>
        </w:rPr>
        <w:t>mettre en valeur des couleurs, un éclairage ou autre par rapport au reste du point de vente.</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Informations neutres sur les produits et les prix</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sz w:val="24"/>
        </w:rPr>
        <w:t xml:space="preserve">Article 4. </w:t>
      </w:r>
      <w:r>
        <w:rPr>
          <w:sz w:val="24"/>
        </w:rPr>
        <w:t>Les points de vente peuvent donner des informations neutres à un acheteur sur les cigarettes électroniques et flacons de recharge avec ou sans nicotine qui sont vendus dans le point de vente, et sur le prix des produits.</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Paragraphe 2.</w:t>
      </w:r>
      <w:r>
        <w:rPr>
          <w:sz w:val="24"/>
        </w:rPr>
        <w:t xml:space="preserve"> Les informations autorisées au titre du paragraphe 1 comprennent:</w:t>
      </w:r>
    </w:p>
    <w:p w14:paraId="026B0705" w14:textId="30B4BDFF" w:rsidR="00BB6654" w:rsidRPr="00704E6A" w:rsidRDefault="0099201C" w:rsidP="00BB6654">
      <w:pPr>
        <w:pStyle w:val="Paragraphedeliste"/>
        <w:numPr>
          <w:ilvl w:val="0"/>
          <w:numId w:val="1"/>
        </w:numPr>
        <w:autoSpaceDE w:val="0"/>
        <w:autoSpaceDN w:val="0"/>
        <w:adjustRightInd w:val="0"/>
        <w:spacing w:after="0" w:line="240" w:lineRule="auto"/>
        <w:rPr>
          <w:rFonts w:cstheme="minorHAnsi"/>
          <w:sz w:val="24"/>
          <w:szCs w:val="24"/>
        </w:rPr>
      </w:pPr>
      <w:r>
        <w:rPr>
          <w:sz w:val="24"/>
        </w:rPr>
        <w:t xml:space="preserve">la marque et le nom du produit; </w:t>
      </w:r>
    </w:p>
    <w:p w14:paraId="5EF8EFC1" w14:textId="5E4D6825" w:rsidR="00BB6654" w:rsidRPr="00704E6A" w:rsidRDefault="00BB6654" w:rsidP="00BB6654">
      <w:pPr>
        <w:pStyle w:val="Paragraphedeliste"/>
        <w:numPr>
          <w:ilvl w:val="0"/>
          <w:numId w:val="1"/>
        </w:numPr>
        <w:autoSpaceDE w:val="0"/>
        <w:autoSpaceDN w:val="0"/>
        <w:adjustRightInd w:val="0"/>
        <w:spacing w:after="0" w:line="240" w:lineRule="auto"/>
        <w:rPr>
          <w:rFonts w:cstheme="minorHAnsi"/>
          <w:sz w:val="24"/>
          <w:szCs w:val="24"/>
        </w:rPr>
      </w:pPr>
      <w:r>
        <w:rPr>
          <w:sz w:val="24"/>
        </w:rPr>
        <w:t>le nombre, le poids et le volume</w:t>
      </w:r>
      <w:r w:rsidR="008C193E">
        <w:rPr>
          <w:sz w:val="24"/>
        </w:rPr>
        <w:t>;</w:t>
      </w:r>
      <w:r>
        <w:rPr>
          <w:sz w:val="24"/>
        </w:rPr>
        <w:t xml:space="preserve"> et </w:t>
      </w:r>
    </w:p>
    <w:p w14:paraId="0F12AE03" w14:textId="77777777" w:rsidR="00BB6654" w:rsidRPr="00704E6A" w:rsidRDefault="00BB6654" w:rsidP="00BB6654">
      <w:pPr>
        <w:pStyle w:val="Paragraphedeliste"/>
        <w:numPr>
          <w:ilvl w:val="0"/>
          <w:numId w:val="1"/>
        </w:numPr>
        <w:autoSpaceDE w:val="0"/>
        <w:autoSpaceDN w:val="0"/>
        <w:adjustRightInd w:val="0"/>
        <w:spacing w:after="0" w:line="240" w:lineRule="auto"/>
        <w:rPr>
          <w:rFonts w:cstheme="minorHAnsi"/>
          <w:sz w:val="24"/>
          <w:szCs w:val="24"/>
        </w:rPr>
      </w:pPr>
      <w:r>
        <w:rPr>
          <w:sz w:val="24"/>
        </w:rPr>
        <w:t>le prix.</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rPr>
        <w:t xml:space="preserve">Paragraphe 3. </w:t>
      </w:r>
      <w:r>
        <w:rPr>
          <w:sz w:val="24"/>
        </w:rPr>
        <w:t>Les informations visées au paragraphe 2 doivent être données sur une liste neutre. Les informations sur la liste doivent apparaître en caractères noirs sur une feuille A4 blanche sans aucune illustration, photo, sans caractères gras, couleurs, logos, symboles ou autre texte, sous réserve du paragraphe 4. Aucune information sur la liste ne doit être mise en valeur et les informations doivent:</w:t>
      </w:r>
    </w:p>
    <w:p w14:paraId="493ED696" w14:textId="16CC6D2D" w:rsidR="0099201C" w:rsidRPr="00704E6A" w:rsidRDefault="0099201C" w:rsidP="0099201C">
      <w:pPr>
        <w:pStyle w:val="Paragraphedeliste"/>
        <w:numPr>
          <w:ilvl w:val="0"/>
          <w:numId w:val="5"/>
        </w:numPr>
        <w:autoSpaceDE w:val="0"/>
        <w:autoSpaceDN w:val="0"/>
        <w:adjustRightInd w:val="0"/>
        <w:spacing w:after="0" w:line="240" w:lineRule="auto"/>
        <w:rPr>
          <w:rFonts w:cstheme="minorHAnsi"/>
          <w:sz w:val="24"/>
          <w:szCs w:val="24"/>
        </w:rPr>
      </w:pPr>
      <w:r>
        <w:rPr>
          <w:sz w:val="24"/>
        </w:rPr>
        <w:t>être données dans l’ordre alphabétique en fonction de la marque du produit;</w:t>
      </w:r>
    </w:p>
    <w:p w14:paraId="0ABB1E2C" w14:textId="48624B42" w:rsidR="0099201C" w:rsidRPr="00704E6A" w:rsidRDefault="0099201C" w:rsidP="0099201C">
      <w:pPr>
        <w:pStyle w:val="Paragraphedeliste"/>
        <w:numPr>
          <w:ilvl w:val="0"/>
          <w:numId w:val="5"/>
        </w:numPr>
        <w:autoSpaceDE w:val="0"/>
        <w:autoSpaceDN w:val="0"/>
        <w:adjustRightInd w:val="0"/>
        <w:spacing w:after="0" w:line="240" w:lineRule="auto"/>
        <w:rPr>
          <w:rFonts w:cstheme="minorHAnsi"/>
          <w:sz w:val="24"/>
          <w:szCs w:val="24"/>
        </w:rPr>
      </w:pPr>
      <w:r>
        <w:rPr>
          <w:sz w:val="24"/>
        </w:rPr>
        <w:t>être indiquées dans cet ordre: marque du produit, nom du produit, nombre, poids et volume et prix;</w:t>
      </w:r>
    </w:p>
    <w:p w14:paraId="4781441E" w14:textId="71F69CC0" w:rsidR="0099201C" w:rsidRPr="00704E6A" w:rsidRDefault="0099201C" w:rsidP="0099201C">
      <w:pPr>
        <w:pStyle w:val="Paragraphedeliste"/>
        <w:numPr>
          <w:ilvl w:val="0"/>
          <w:numId w:val="5"/>
        </w:numPr>
        <w:autoSpaceDE w:val="0"/>
        <w:autoSpaceDN w:val="0"/>
        <w:adjustRightInd w:val="0"/>
        <w:spacing w:after="0" w:line="240" w:lineRule="auto"/>
        <w:rPr>
          <w:rFonts w:cstheme="minorHAnsi"/>
          <w:sz w:val="24"/>
          <w:szCs w:val="24"/>
        </w:rPr>
      </w:pPr>
      <w:r>
        <w:rPr>
          <w:sz w:val="24"/>
        </w:rPr>
        <w:t xml:space="preserve">être indiquées dans la police </w:t>
      </w:r>
      <w:proofErr w:type="spellStart"/>
      <w:r>
        <w:rPr>
          <w:sz w:val="24"/>
        </w:rPr>
        <w:t>Helvetica</w:t>
      </w:r>
      <w:proofErr w:type="spellEnd"/>
      <w:r>
        <w:rPr>
          <w:sz w:val="24"/>
        </w:rPr>
        <w:t>, avec une taille de caractère de 14</w:t>
      </w:r>
      <w:r w:rsidR="002B6437">
        <w:rPr>
          <w:sz w:val="24"/>
        </w:rPr>
        <w:t> </w:t>
      </w:r>
      <w:r>
        <w:rPr>
          <w:sz w:val="24"/>
        </w:rPr>
        <w:t>points au maximum</w:t>
      </w:r>
      <w:r w:rsidR="008C193E">
        <w:rPr>
          <w:sz w:val="24"/>
        </w:rPr>
        <w:t>;</w:t>
      </w:r>
      <w:r>
        <w:rPr>
          <w:sz w:val="24"/>
        </w:rPr>
        <w:t xml:space="preserve"> et </w:t>
      </w:r>
    </w:p>
    <w:p w14:paraId="451F0D56" w14:textId="77777777" w:rsidR="0099201C" w:rsidRPr="00704E6A" w:rsidRDefault="0099201C" w:rsidP="0099201C">
      <w:pPr>
        <w:pStyle w:val="Paragraphedeliste"/>
        <w:numPr>
          <w:ilvl w:val="0"/>
          <w:numId w:val="5"/>
        </w:numPr>
        <w:autoSpaceDE w:val="0"/>
        <w:autoSpaceDN w:val="0"/>
        <w:adjustRightInd w:val="0"/>
        <w:spacing w:after="0" w:line="240" w:lineRule="auto"/>
        <w:rPr>
          <w:rFonts w:cstheme="minorHAnsi"/>
          <w:i/>
          <w:sz w:val="24"/>
          <w:szCs w:val="24"/>
        </w:rPr>
      </w:pPr>
      <w:r>
        <w:rPr>
          <w:sz w:val="24"/>
        </w:rPr>
        <w:t>être alignées à gauche.</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Paragraphe 4. </w:t>
      </w:r>
      <w:r>
        <w:rPr>
          <w:sz w:val="24"/>
        </w:rPr>
        <w:t xml:space="preserve">La liste neutre visée au paragraphe 3 doit contenir des informations sur la limite d’âge pour la vente de cigarettes électroniques et flacons de recharge avec ou sans nicotine, cf. article 15, paragraphe 1, de la loi sur les cigarettes électroniques et autres, établie par la Direction danoise de la santé. </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rPr>
        <w:t xml:space="preserve">Paragraphe 5. </w:t>
      </w:r>
      <w:r>
        <w:rPr>
          <w:sz w:val="24"/>
        </w:rPr>
        <w:t>Il peut être attribué un numéro à chaque produit de la liste neutre visée au paragraphe 3.</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44539B09" w:rsidR="00BB6654" w:rsidRPr="00704E6A" w:rsidRDefault="0054510B" w:rsidP="00BB6654">
      <w:pPr>
        <w:autoSpaceDE w:val="0"/>
        <w:autoSpaceDN w:val="0"/>
        <w:adjustRightInd w:val="0"/>
        <w:spacing w:after="0" w:line="240" w:lineRule="auto"/>
        <w:rPr>
          <w:rFonts w:cstheme="minorHAnsi"/>
          <w:sz w:val="24"/>
          <w:szCs w:val="24"/>
        </w:rPr>
      </w:pPr>
      <w:r>
        <w:rPr>
          <w:i/>
          <w:sz w:val="24"/>
        </w:rPr>
        <w:t>Paragraphe 6.</w:t>
      </w:r>
      <w:r>
        <w:rPr>
          <w:sz w:val="24"/>
        </w:rPr>
        <w:t xml:space="preserve"> La liste neutre visée au paragraphe 3 peut être divisée en une ou plusieurs des catégories suivantes : «Cigarette électronique», «Flacon de recharge avec e-liquide», «Emballage groupé» et «Autre». Un produit doit être inscrit dans la catégorie à laquelle il appartient. </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rPr>
        <w:t>Paragraphe 7.</w:t>
      </w:r>
      <w:r>
        <w:rPr>
          <w:sz w:val="24"/>
        </w:rPr>
        <w:t xml:space="preserve"> Dans les points de vente physiques, la liste neutre visée au paragraphe 3 peut être présentée à la demande de l’acheteur ou exposée près de la caisse d’un vendeur.</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5</w:t>
      </w:r>
    </w:p>
    <w:p w14:paraId="4308304F" w14:textId="6FA9CAD3" w:rsidR="00BB6654" w:rsidRPr="00704E6A" w:rsidRDefault="00BB6654" w:rsidP="00704E6A">
      <w:pPr>
        <w:keepNext/>
        <w:keepLines/>
        <w:jc w:val="center"/>
        <w:rPr>
          <w:rFonts w:cstheme="minorHAnsi"/>
          <w:i/>
          <w:iCs/>
          <w:sz w:val="24"/>
          <w:szCs w:val="24"/>
        </w:rPr>
      </w:pPr>
      <w:r>
        <w:rPr>
          <w:i/>
          <w:sz w:val="24"/>
        </w:rPr>
        <w:t>Vente par l</w:t>
      </w:r>
      <w:r w:rsidR="002B6437">
        <w:rPr>
          <w:i/>
          <w:sz w:val="24"/>
        </w:rPr>
        <w:t>’</w:t>
      </w:r>
      <w:r>
        <w:rPr>
          <w:i/>
          <w:sz w:val="24"/>
        </w:rPr>
        <w:t>intermédiaire de solutions numériques et en ligne</w:t>
      </w:r>
    </w:p>
    <w:p w14:paraId="2C3211DB" w14:textId="77777777" w:rsidR="00BB6654" w:rsidRPr="00704E6A" w:rsidRDefault="00BB6654" w:rsidP="00BB6654">
      <w:pPr>
        <w:autoSpaceDE w:val="0"/>
        <w:autoSpaceDN w:val="0"/>
        <w:adjustRightInd w:val="0"/>
        <w:spacing w:after="0" w:line="240" w:lineRule="auto"/>
        <w:rPr>
          <w:rFonts w:cstheme="minorHAnsi"/>
          <w:sz w:val="24"/>
          <w:szCs w:val="24"/>
        </w:rPr>
      </w:pPr>
      <w:r>
        <w:rPr>
          <w:b/>
          <w:sz w:val="24"/>
        </w:rPr>
        <w:t>Article 5.</w:t>
      </w:r>
      <w:r>
        <w:rPr>
          <w:sz w:val="24"/>
        </w:rPr>
        <w:t xml:space="preserve"> L’interdiction de placement visible et de présentation de cigarettes électroniques et de flacons de recharge avec ou sans nicotine en vertu de l’article 3, paragraphes 1 et 2, s’applique également lors de la vente par l’intermédiaire de solutions numériques, comme des sites Internet </w:t>
      </w:r>
      <w:r>
        <w:rPr>
          <w:sz w:val="24"/>
        </w:rPr>
        <w:lastRenderedPageBreak/>
        <w:t xml:space="preserve">de vente au détail, des boutiques en ligne, des sites internet d’entreprise, des pages d’entreprise sur des médias sociaux et des applications. </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Paragraphe 2. </w:t>
      </w:r>
      <w:r>
        <w:rPr>
          <w:sz w:val="24"/>
        </w:rPr>
        <w:t>Les points de vente visés au paragraphe 1 peuvent donner à un acheteur des informations neutres sur les cigarettes électroniques et flacons de recharge avec ou sans nicotine qui sont vendus dans le point de vente et sur le prix des produits.</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Paragraphe 3.</w:t>
      </w:r>
      <w:r>
        <w:rPr>
          <w:sz w:val="24"/>
        </w:rPr>
        <w:t xml:space="preserve"> Les informations autorisées au titre du paragraphe 2 comprennent:</w:t>
      </w:r>
    </w:p>
    <w:p w14:paraId="512A3319" w14:textId="77777777" w:rsidR="00BB6654" w:rsidRPr="00704E6A" w:rsidRDefault="00BB6654" w:rsidP="00BB6654">
      <w:pPr>
        <w:pStyle w:val="Paragraphedeliste"/>
        <w:numPr>
          <w:ilvl w:val="0"/>
          <w:numId w:val="6"/>
        </w:numPr>
        <w:autoSpaceDE w:val="0"/>
        <w:autoSpaceDN w:val="0"/>
        <w:adjustRightInd w:val="0"/>
        <w:spacing w:after="0" w:line="240" w:lineRule="auto"/>
        <w:rPr>
          <w:rFonts w:cstheme="minorHAnsi"/>
          <w:sz w:val="24"/>
          <w:szCs w:val="24"/>
        </w:rPr>
      </w:pPr>
      <w:r>
        <w:rPr>
          <w:sz w:val="24"/>
        </w:rPr>
        <w:t xml:space="preserve">la marque et le nom du produit; </w:t>
      </w:r>
    </w:p>
    <w:p w14:paraId="5AF73772" w14:textId="3076DE4F" w:rsidR="00BB6654" w:rsidRPr="00704E6A" w:rsidRDefault="00BB6654" w:rsidP="00BB6654">
      <w:pPr>
        <w:pStyle w:val="Paragraphedeliste"/>
        <w:numPr>
          <w:ilvl w:val="0"/>
          <w:numId w:val="6"/>
        </w:numPr>
        <w:autoSpaceDE w:val="0"/>
        <w:autoSpaceDN w:val="0"/>
        <w:adjustRightInd w:val="0"/>
        <w:spacing w:after="0" w:line="240" w:lineRule="auto"/>
        <w:rPr>
          <w:rFonts w:cstheme="minorHAnsi"/>
          <w:sz w:val="24"/>
          <w:szCs w:val="24"/>
        </w:rPr>
      </w:pPr>
      <w:r>
        <w:rPr>
          <w:sz w:val="24"/>
        </w:rPr>
        <w:t>le nombre, le poids et le volume</w:t>
      </w:r>
      <w:r w:rsidR="008C193E">
        <w:rPr>
          <w:sz w:val="24"/>
        </w:rPr>
        <w:t>;</w:t>
      </w:r>
      <w:r>
        <w:rPr>
          <w:sz w:val="24"/>
        </w:rPr>
        <w:t xml:space="preserve"> et </w:t>
      </w:r>
    </w:p>
    <w:p w14:paraId="591709CC" w14:textId="77777777" w:rsidR="00BB6654" w:rsidRPr="00704E6A" w:rsidRDefault="00BB6654" w:rsidP="00BB6654">
      <w:pPr>
        <w:pStyle w:val="Paragraphedeliste"/>
        <w:numPr>
          <w:ilvl w:val="0"/>
          <w:numId w:val="6"/>
        </w:numPr>
        <w:autoSpaceDE w:val="0"/>
        <w:autoSpaceDN w:val="0"/>
        <w:adjustRightInd w:val="0"/>
        <w:spacing w:after="0" w:line="240" w:lineRule="auto"/>
        <w:rPr>
          <w:rFonts w:cstheme="minorHAnsi"/>
          <w:sz w:val="24"/>
          <w:szCs w:val="24"/>
        </w:rPr>
      </w:pPr>
      <w:r>
        <w:rPr>
          <w:sz w:val="24"/>
        </w:rPr>
        <w:t>le prix.</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4B18F41D" w:rsidR="00D543FF" w:rsidRDefault="00BB6654" w:rsidP="007A2FDC">
      <w:pPr>
        <w:autoSpaceDE w:val="0"/>
        <w:autoSpaceDN w:val="0"/>
        <w:adjustRightInd w:val="0"/>
        <w:spacing w:after="0" w:line="240" w:lineRule="auto"/>
        <w:rPr>
          <w:rFonts w:cstheme="minorHAnsi"/>
          <w:sz w:val="24"/>
          <w:szCs w:val="24"/>
        </w:rPr>
      </w:pPr>
      <w:r>
        <w:rPr>
          <w:i/>
          <w:sz w:val="24"/>
        </w:rPr>
        <w:t xml:space="preserve">Paragraphe 4. </w:t>
      </w:r>
      <w:r>
        <w:rPr>
          <w:sz w:val="24"/>
        </w:rPr>
        <w:t xml:space="preserve">Les informations visées au paragraphe 3 ne doivent pas être données avec des illustrations, photos, couleurs, logos, symboles ou autre texte, ni accompagnées de ceux-ci. Ceci ne s’applique cependant </w:t>
      </w:r>
      <w:r w:rsidR="008C193E">
        <w:rPr>
          <w:sz w:val="24"/>
        </w:rPr>
        <w:t xml:space="preserve">pas </w:t>
      </w:r>
      <w:r>
        <w:rPr>
          <w:sz w:val="24"/>
        </w:rPr>
        <w:t>au symbole «ajouter au panier». Aucune information ne doit être mise en valeur et les informations doivent être indiquées en noir dans la même police et la même taille de caractère que celle qui est généralement utilisée lors de la présentation de produits sur le site Internet.</w:t>
      </w:r>
    </w:p>
    <w:p w14:paraId="44E7930B" w14:textId="52F5C996" w:rsidR="007A2FDC" w:rsidRPr="00704E6A" w:rsidRDefault="007A2FDC" w:rsidP="007A2FDC">
      <w:pPr>
        <w:autoSpaceDE w:val="0"/>
        <w:autoSpaceDN w:val="0"/>
        <w:adjustRightInd w:val="0"/>
        <w:spacing w:after="0" w:line="240" w:lineRule="auto"/>
        <w:rPr>
          <w:rFonts w:cstheme="minorHAnsi"/>
          <w:sz w:val="24"/>
          <w:szCs w:val="24"/>
        </w:rPr>
      </w:pPr>
      <w:r>
        <w:rPr>
          <w:i/>
          <w:iCs/>
          <w:sz w:val="24"/>
        </w:rPr>
        <w:t>Paragraphe 5</w:t>
      </w:r>
      <w:r>
        <w:rPr>
          <w:sz w:val="24"/>
        </w:rPr>
        <w:t>. Les informations visées au paragraphe 4 ne doivent pas donner l</w:t>
      </w:r>
      <w:r w:rsidR="002B6437">
        <w:rPr>
          <w:sz w:val="24"/>
        </w:rPr>
        <w:t>’</w:t>
      </w:r>
      <w:r>
        <w:rPr>
          <w:sz w:val="24"/>
        </w:rPr>
        <w:t xml:space="preserve">impression que les cigarettes électroniques et flacons de recharge avec ou sans nicotine ont un effet bénéfique sur la santé, sont moins nocives que d’autres produits ou ont d’autres effets bénéfiques ou avantages. </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07255785" w:rsidR="00BB6654" w:rsidRPr="00704E6A" w:rsidRDefault="00BB6654" w:rsidP="00BB6654">
      <w:pPr>
        <w:autoSpaceDE w:val="0"/>
        <w:autoSpaceDN w:val="0"/>
        <w:adjustRightInd w:val="0"/>
        <w:spacing w:after="0" w:line="240" w:lineRule="auto"/>
        <w:rPr>
          <w:rFonts w:cstheme="minorHAnsi"/>
          <w:sz w:val="24"/>
          <w:szCs w:val="24"/>
        </w:rPr>
      </w:pPr>
      <w:r>
        <w:rPr>
          <w:i/>
          <w:sz w:val="24"/>
        </w:rPr>
        <w:t>Paragraphe 6.</w:t>
      </w:r>
      <w:r>
        <w:rPr>
          <w:sz w:val="24"/>
        </w:rPr>
        <w:t xml:space="preserve"> Les points de vente visés au paragraphe 1, qui vendent des cigarettes électroniques et flacons de recharge avec ou sans nicotine ou qui invitent à acheter ces produits ne doivent pas permettre aux clients ou aux visiteurs du site de signaler, noter ou autre des produits visés au paragraphe 1 si le signalement ou autre devient d’une quelconque façon visible ou accessible à la personne qui a signalé elle-même ou à d’autres personnes qui ne sont pas employées dans le point de vente des produits. </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6</w:t>
      </w:r>
    </w:p>
    <w:p w14:paraId="39F0F3E5" w14:textId="77777777" w:rsidR="00BB6654" w:rsidRPr="00704E6A" w:rsidRDefault="00BB6654" w:rsidP="00704E6A">
      <w:pPr>
        <w:keepNext/>
        <w:keepLines/>
        <w:spacing w:line="240" w:lineRule="auto"/>
        <w:jc w:val="center"/>
        <w:rPr>
          <w:rFonts w:cstheme="minorHAnsi"/>
          <w:i/>
          <w:iCs/>
          <w:sz w:val="24"/>
          <w:szCs w:val="24"/>
        </w:rPr>
      </w:pPr>
      <w:r>
        <w:rPr>
          <w:i/>
          <w:sz w:val="24"/>
        </w:rPr>
        <w:t>Points de vente physique spécialisés dans la vente de cigarettes électroniques et flacons de recharge avec ou sans nicotine</w:t>
      </w:r>
    </w:p>
    <w:p w14:paraId="6BC97759" w14:textId="77777777" w:rsidR="00BB6654" w:rsidRPr="00D543FF" w:rsidRDefault="00BB6654" w:rsidP="00BB6654">
      <w:pPr>
        <w:autoSpaceDE w:val="0"/>
        <w:autoSpaceDN w:val="0"/>
        <w:adjustRightInd w:val="0"/>
        <w:spacing w:after="0" w:line="240" w:lineRule="auto"/>
        <w:rPr>
          <w:rFonts w:cstheme="minorHAnsi"/>
          <w:sz w:val="24"/>
          <w:szCs w:val="24"/>
        </w:rPr>
      </w:pPr>
      <w:r>
        <w:rPr>
          <w:b/>
          <w:sz w:val="24"/>
        </w:rPr>
        <w:t xml:space="preserve">Article 6. </w:t>
      </w:r>
      <w:r>
        <w:rPr>
          <w:sz w:val="24"/>
        </w:rPr>
        <w:t xml:space="preserve">L’interdiction d’exposition et de placement visibles visée à l’article 3, paragraphes 1 et 2, ne s’applique pas à la vente de cigarettes électroniques et flacons de recharge avec ou sans nicotine dans un point de vente physique spécialisé dans la vente de ces produits. </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Paragraphe 2.</w:t>
      </w:r>
      <w:r>
        <w:rPr>
          <w:sz w:val="24"/>
        </w:rPr>
        <w:t xml:space="preserve"> Un point de vente visé au paragraphe 1 est considéré comme spécialisé dans la vente de cigarettes électroniques et flacons de recharge avec ou sans nicotine lorsqu’il vend exclusivement ou principalement des cigarettes électroniques et des flacons de recharge avec ou sans nicotine.</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Paragraphe 3.</w:t>
      </w:r>
      <w:r>
        <w:rPr>
          <w:sz w:val="24"/>
        </w:rPr>
        <w:t xml:space="preserve"> Une exemption de l’interdiction de placement visible et de présentation visée au paragraphe 1 s’applique uniquement aux cigarettes électroniques et flacons de recharge avec ou </w:t>
      </w:r>
      <w:r>
        <w:rPr>
          <w:sz w:val="24"/>
        </w:rPr>
        <w:lastRenderedPageBreak/>
        <w:t>sans nicotine. Si le point de vente vend d’autres produits ou des produits du tabac, des succédanés de tabac ou des produits à fumer à base de plantes, ceux-ci sont concernés par l’interdiction visée à l’article 3, paragraphes 1 et 2, ou à l’article 2, paragraphes 1 et 2, du règlement sur l’interdiction de placement visible et de présentation et autre de produits du tabac, de succédanés de tabac et de produits à fumer à base de plantes.</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449605C0"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Paragraphe 4. </w:t>
      </w:r>
      <w:r>
        <w:rPr>
          <w:sz w:val="24"/>
        </w:rPr>
        <w:t>Si un point de vente visé au paragraphe 1 vend des cigarettes électroniques et flacons de recharge avec ou sans nicotine par l</w:t>
      </w:r>
      <w:r w:rsidR="002B6437">
        <w:rPr>
          <w:sz w:val="24"/>
        </w:rPr>
        <w:t>’</w:t>
      </w:r>
      <w:r>
        <w:rPr>
          <w:sz w:val="24"/>
        </w:rPr>
        <w:t xml:space="preserve">intermédiaire de solutions numériques, comme des sites Internet de vente au détail, des boutiques en ligne, des sites Internet d’entreprise, des pages d’entreprise sur des médias sociaux et des applications, cette vente relève de l’article 5. </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rPr>
        <w:t>Paragraphe 5.</w:t>
      </w:r>
      <w:r>
        <w:rPr>
          <w:color w:val="000000" w:themeColor="text1"/>
          <w:sz w:val="24"/>
        </w:rPr>
        <w:t xml:space="preserve"> Dans un point de vente physique visé au paragraphe 1, il n’est pas autorisé de faire de la publicité pour les cigarettes électroniques et flacons de recharge avec ou sans nicotine dans le point de vente, dans la vitrine de la boutique ou sur sa façade, sous réserve du paragraphe 6. Cela concerne notamment:</w:t>
      </w:r>
    </w:p>
    <w:p w14:paraId="52BBBBD1" w14:textId="7C460ECF" w:rsidR="00BB6654" w:rsidRPr="00704E6A" w:rsidRDefault="00BB6654" w:rsidP="00BB6654">
      <w:pPr>
        <w:pStyle w:val="Paragraphedeliste"/>
        <w:numPr>
          <w:ilvl w:val="0"/>
          <w:numId w:val="2"/>
        </w:numPr>
        <w:autoSpaceDE w:val="0"/>
        <w:autoSpaceDN w:val="0"/>
        <w:adjustRightInd w:val="0"/>
        <w:spacing w:after="0" w:line="240" w:lineRule="auto"/>
        <w:ind w:left="709"/>
        <w:rPr>
          <w:rFonts w:cstheme="minorHAnsi"/>
          <w:color w:val="000000" w:themeColor="text1"/>
          <w:sz w:val="24"/>
          <w:szCs w:val="24"/>
        </w:rPr>
      </w:pPr>
      <w:r>
        <w:rPr>
          <w:sz w:val="24"/>
        </w:rPr>
        <w:t>la mise en valeur directe ou indirecte d’un produit précis, d’une raison sociale, d’un prix ou autre concernant des cigarettes électroniques et flacons de recharge avec ou sans nicotine, à l’aide d’un éclairage particulier, de couleurs, de la valorisation d’un produit ou d</w:t>
      </w:r>
      <w:r w:rsidR="002B6437">
        <w:rPr>
          <w:sz w:val="24"/>
        </w:rPr>
        <w:t>’</w:t>
      </w:r>
      <w:r>
        <w:rPr>
          <w:sz w:val="24"/>
        </w:rPr>
        <w:t xml:space="preserve">un nom sur une étagère, d’étagères valorisées ou de photos; ou </w:t>
      </w:r>
    </w:p>
    <w:p w14:paraId="072130F3" w14:textId="120A1478" w:rsidR="00BB6654" w:rsidRPr="00D543FF" w:rsidRDefault="00BB6654" w:rsidP="00BB6654">
      <w:pPr>
        <w:pStyle w:val="Paragraphedeliste"/>
        <w:numPr>
          <w:ilvl w:val="0"/>
          <w:numId w:val="2"/>
        </w:numPr>
        <w:spacing w:line="240" w:lineRule="auto"/>
        <w:ind w:left="709"/>
        <w:rPr>
          <w:rStyle w:val="tlid-translation"/>
          <w:rFonts w:cstheme="minorHAnsi"/>
          <w:sz w:val="24"/>
          <w:szCs w:val="24"/>
        </w:rPr>
      </w:pPr>
      <w:r>
        <w:rPr>
          <w:rStyle w:val="tlid-translation"/>
          <w:sz w:val="24"/>
        </w:rPr>
        <w:t>le fait de donner à l’acheteur, avec du texte, des illustrations, des photos, des couleurs, des logos, des symboles ou autre, l</w:t>
      </w:r>
      <w:r w:rsidR="002B6437">
        <w:rPr>
          <w:rStyle w:val="tlid-translation"/>
          <w:sz w:val="24"/>
        </w:rPr>
        <w:t>’</w:t>
      </w:r>
      <w:r>
        <w:rPr>
          <w:rStyle w:val="tlid-translation"/>
          <w:sz w:val="24"/>
        </w:rPr>
        <w:t>impression qu</w:t>
      </w:r>
      <w:r w:rsidR="002B6437">
        <w:rPr>
          <w:rStyle w:val="tlid-translation"/>
          <w:sz w:val="24"/>
        </w:rPr>
        <w:t>’</w:t>
      </w:r>
      <w:r>
        <w:rPr>
          <w:rStyle w:val="tlid-translation"/>
          <w:sz w:val="24"/>
        </w:rPr>
        <w:t xml:space="preserve">un ou plusieurs produits ont un effet bénéfique sur la santé, sont moins nocifs que d’autres produits, fonctionnent comme produit de désaccoutumance ou ont d’une autre manière un effet bénéfique ou un avantage. </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iCs/>
          <w:sz w:val="24"/>
        </w:rPr>
        <w:t>Paragraphe 6</w:t>
      </w:r>
      <w:r>
        <w:rPr>
          <w:sz w:val="24"/>
        </w:rPr>
        <w:t>. Le nom d’un point de vente physique visé au paragraphe 1 doit être indiqué sur la façade du magasin sous une forme neutre. Le nom lui-même ne doit pas avoir un effet publicitaire.</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rPr>
        <w:t>Paragraphe 7.</w:t>
      </w:r>
      <w:r>
        <w:rPr>
          <w:sz w:val="24"/>
        </w:rPr>
        <w:t xml:space="preserve"> L’exemption de l’interdiction de placement visible et de présentation visée au paragraphe 1 ne permet pas au point de vente de placer visiblement et de présenter des cigarettes électroniques et flacons de recharge avec ou sans nicotine ailleurs que dans le point de vente ni de distribuer des feuilles d’annonces et des produits gratuits ou autres.</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Distributeurs automatiques</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rFonts w:cstheme="minorHAnsi"/>
          <w:bCs/>
          <w:sz w:val="24"/>
          <w:szCs w:val="24"/>
        </w:rPr>
      </w:pPr>
      <w:r>
        <w:rPr>
          <w:b/>
          <w:sz w:val="24"/>
        </w:rPr>
        <w:t>Article 7.</w:t>
      </w:r>
      <w:r>
        <w:rPr>
          <w:sz w:val="24"/>
        </w:rPr>
        <w:t xml:space="preserve"> Les distributeurs automatiques qui, en self-service, sont utilisés pour livrer, après leur vente à la caisse d’un vendeur, des produits du tabac, des succédanés de tabac ou des produits à base de plantes doivent avoir une présentation neutre. Les informations sur le distributeur concernant le nom de la marque, le nom de la variante et les prix doivent être données en caractères noirs dans la police </w:t>
      </w:r>
      <w:proofErr w:type="spellStart"/>
      <w:r>
        <w:rPr>
          <w:sz w:val="24"/>
        </w:rPr>
        <w:t>Helvetica</w:t>
      </w:r>
      <w:proofErr w:type="spellEnd"/>
      <w:r>
        <w:rPr>
          <w:sz w:val="24"/>
        </w:rPr>
        <w:t>, d’une taille maximale de 14 points.</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i/>
          <w:iCs/>
          <w:sz w:val="24"/>
        </w:rPr>
        <w:t>Paragraphe 2</w:t>
      </w:r>
      <w:r>
        <w:rPr>
          <w:sz w:val="24"/>
        </w:rPr>
        <w:t>. Un distributeur automatique visé au paragraphe 1 ne doit pas:</w:t>
      </w:r>
    </w:p>
    <w:p w14:paraId="05ACDAF7" w14:textId="0D1B85D7" w:rsidR="00BB6654" w:rsidRPr="00704E6A" w:rsidRDefault="00BB6654" w:rsidP="00BB6654">
      <w:pPr>
        <w:pStyle w:val="Paragraphedeliste"/>
        <w:numPr>
          <w:ilvl w:val="0"/>
          <w:numId w:val="3"/>
        </w:numPr>
        <w:autoSpaceDE w:val="0"/>
        <w:autoSpaceDN w:val="0"/>
        <w:adjustRightInd w:val="0"/>
        <w:spacing w:after="0" w:line="240" w:lineRule="auto"/>
        <w:rPr>
          <w:rFonts w:cstheme="minorHAnsi"/>
          <w:bCs/>
          <w:sz w:val="24"/>
          <w:szCs w:val="24"/>
        </w:rPr>
      </w:pPr>
      <w:r>
        <w:rPr>
          <w:sz w:val="24"/>
        </w:rPr>
        <w:t>avoir ou porter des marques de produit et/ou de société ou d’autres éléments distinctifs de ces produits, notamment une photo d</w:t>
      </w:r>
      <w:r w:rsidR="002B6437">
        <w:rPr>
          <w:sz w:val="24"/>
        </w:rPr>
        <w:t>’</w:t>
      </w:r>
      <w:r>
        <w:rPr>
          <w:sz w:val="24"/>
        </w:rPr>
        <w:t>un produit;</w:t>
      </w:r>
    </w:p>
    <w:p w14:paraId="5358D87F" w14:textId="77777777" w:rsidR="00BB6654" w:rsidRPr="00704E6A" w:rsidRDefault="00BB6654" w:rsidP="00BB6654">
      <w:pPr>
        <w:pStyle w:val="Paragraphedeliste"/>
        <w:numPr>
          <w:ilvl w:val="0"/>
          <w:numId w:val="3"/>
        </w:numPr>
        <w:autoSpaceDE w:val="0"/>
        <w:autoSpaceDN w:val="0"/>
        <w:adjustRightInd w:val="0"/>
        <w:spacing w:after="0" w:line="240" w:lineRule="auto"/>
        <w:rPr>
          <w:rFonts w:cstheme="minorHAnsi"/>
          <w:bCs/>
          <w:sz w:val="24"/>
          <w:szCs w:val="24"/>
        </w:rPr>
      </w:pPr>
      <w:r>
        <w:rPr>
          <w:sz w:val="24"/>
        </w:rPr>
        <w:t>mettre en valeur des informations; ou</w:t>
      </w:r>
    </w:p>
    <w:p w14:paraId="127664C5" w14:textId="7BCF958C" w:rsidR="00BB6654" w:rsidRPr="00704E6A" w:rsidRDefault="00BB6654" w:rsidP="00BB6654">
      <w:pPr>
        <w:pStyle w:val="Paragraphedeliste"/>
        <w:numPr>
          <w:ilvl w:val="0"/>
          <w:numId w:val="3"/>
        </w:numPr>
        <w:autoSpaceDE w:val="0"/>
        <w:autoSpaceDN w:val="0"/>
        <w:adjustRightInd w:val="0"/>
        <w:spacing w:after="0" w:line="240" w:lineRule="auto"/>
        <w:rPr>
          <w:rFonts w:cstheme="minorHAnsi"/>
          <w:bCs/>
          <w:sz w:val="24"/>
          <w:szCs w:val="24"/>
        </w:rPr>
      </w:pPr>
      <w:r>
        <w:rPr>
          <w:sz w:val="24"/>
        </w:rPr>
        <w:lastRenderedPageBreak/>
        <w:t>avoir ou porter des illustrations, photos, couleurs, logos, symboles ou autres pouvant donner à l’acheteur l’impression qu</w:t>
      </w:r>
      <w:r w:rsidR="002B6437">
        <w:rPr>
          <w:sz w:val="24"/>
        </w:rPr>
        <w:t>’</w:t>
      </w:r>
      <w:r>
        <w:rPr>
          <w:sz w:val="24"/>
        </w:rPr>
        <w:t xml:space="preserve">un produit vendu via le distributeur automatique en question a un effet bénéfique sur la santé, est moins nocif que d’autres produits, fonctionne comme produit de désaccoutumance ou </w:t>
      </w:r>
      <w:proofErr w:type="spellStart"/>
      <w:r>
        <w:rPr>
          <w:sz w:val="24"/>
        </w:rPr>
        <w:t>a</w:t>
      </w:r>
      <w:proofErr w:type="spellEnd"/>
      <w:r>
        <w:rPr>
          <w:sz w:val="24"/>
        </w:rPr>
        <w:t xml:space="preserve"> d’autres effets bénéfiques ou avantages.</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Sanctions</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24419C94"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Article 8. </w:t>
      </w:r>
      <w:r>
        <w:rPr>
          <w:sz w:val="24"/>
        </w:rPr>
        <w:t>À moins que des sanctions plus sévères ne soient prévues par d</w:t>
      </w:r>
      <w:r w:rsidR="002B6437">
        <w:rPr>
          <w:sz w:val="24"/>
        </w:rPr>
        <w:t>’</w:t>
      </w:r>
      <w:r>
        <w:rPr>
          <w:sz w:val="24"/>
        </w:rPr>
        <w:t>autres lois, encourt une amende quiconque enfreint l’interdiction des articles 2 et 3 ou enfreint les règles des articles 4 à 7.</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 xml:space="preserve">Paragraphe 2. </w:t>
      </w:r>
      <w:r>
        <w:rPr>
          <w:sz w:val="24"/>
        </w:rPr>
        <w:t>Des sanctions pénales peuvent être infligées à toute entreprise, etc. (personne morale), conformément aux dispositions du chapitre 5 du Code pénal.</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Chapitre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Entrée en vigueur</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Article 8. </w:t>
      </w:r>
      <w:r>
        <w:rPr>
          <w:sz w:val="24"/>
        </w:rPr>
        <w:t>Le règlement entre en vigueur le 1</w:t>
      </w:r>
      <w:r>
        <w:rPr>
          <w:sz w:val="24"/>
          <w:vertAlign w:val="superscript"/>
        </w:rPr>
        <w:t>er</w:t>
      </w:r>
      <w:r>
        <w:rPr>
          <w:sz w:val="24"/>
        </w:rPr>
        <w:t> avril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sz w:val="24"/>
        </w:rPr>
        <w:t>Ministère de la santé et des personnes âgées, le</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57A9EC7" w14:textId="0D75D8D8" w:rsidR="00BB6654" w:rsidRPr="00704E6A" w:rsidRDefault="00BB6654" w:rsidP="00AF34F6">
      <w:pPr>
        <w:autoSpaceDE w:val="0"/>
        <w:autoSpaceDN w:val="0"/>
        <w:adjustRightInd w:val="0"/>
        <w:spacing w:after="0" w:line="240" w:lineRule="auto"/>
        <w:jc w:val="center"/>
        <w:rPr>
          <w:rFonts w:eastAsia="TimesNewRomanPSMT" w:cstheme="minorHAnsi"/>
          <w:sz w:val="24"/>
          <w:szCs w:val="24"/>
        </w:rPr>
      </w:pPr>
      <w:r>
        <w:rPr>
          <w:sz w:val="24"/>
        </w:rPr>
        <w:t xml:space="preserve">Magnus </w:t>
      </w:r>
      <w:proofErr w:type="spellStart"/>
      <w:r>
        <w:rPr>
          <w:sz w:val="24"/>
        </w:rPr>
        <w:t>Heunicke</w:t>
      </w:r>
      <w:proofErr w:type="spellEnd"/>
      <w:r>
        <w:rPr>
          <w:sz w:val="24"/>
        </w:rPr>
        <w:t xml:space="preserve">/Mie </w:t>
      </w:r>
      <w:proofErr w:type="spellStart"/>
      <w:r>
        <w:rPr>
          <w:sz w:val="24"/>
        </w:rPr>
        <w:t>Saabye</w:t>
      </w:r>
      <w:proofErr w:type="spellEnd"/>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9819E9"/>
    <w:sectPr w:rsidR="00D47ADF" w:rsidRPr="00704E6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3133" w14:textId="77777777" w:rsidR="009819E9" w:rsidRDefault="009819E9" w:rsidP="008C193E">
      <w:pPr>
        <w:spacing w:after="0" w:line="240" w:lineRule="auto"/>
      </w:pPr>
      <w:r>
        <w:separator/>
      </w:r>
    </w:p>
  </w:endnote>
  <w:endnote w:type="continuationSeparator" w:id="0">
    <w:p w14:paraId="603A78AA" w14:textId="77777777" w:rsidR="009819E9" w:rsidRDefault="009819E9" w:rsidP="008C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F51C" w14:textId="77777777" w:rsidR="008C193E" w:rsidRDefault="008C19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49B23" w14:textId="77777777" w:rsidR="008C193E" w:rsidRDefault="008C19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78256" w14:textId="77777777" w:rsidR="008C193E" w:rsidRDefault="008C19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26CB" w14:textId="77777777" w:rsidR="009819E9" w:rsidRDefault="009819E9" w:rsidP="008C193E">
      <w:pPr>
        <w:spacing w:after="0" w:line="240" w:lineRule="auto"/>
      </w:pPr>
      <w:r>
        <w:separator/>
      </w:r>
    </w:p>
  </w:footnote>
  <w:footnote w:type="continuationSeparator" w:id="0">
    <w:p w14:paraId="2487069F" w14:textId="77777777" w:rsidR="009819E9" w:rsidRDefault="009819E9" w:rsidP="008C1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1872" w14:textId="77777777" w:rsidR="008C193E" w:rsidRDefault="008C19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437B" w14:textId="77777777" w:rsidR="008C193E" w:rsidRDefault="008C19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6A243" w14:textId="77777777" w:rsidR="008C193E" w:rsidRDefault="008C19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4"/>
    <w:rsid w:val="000F2720"/>
    <w:rsid w:val="001129D3"/>
    <w:rsid w:val="00133423"/>
    <w:rsid w:val="002B6437"/>
    <w:rsid w:val="003072BA"/>
    <w:rsid w:val="0054510B"/>
    <w:rsid w:val="00704E6A"/>
    <w:rsid w:val="007253E1"/>
    <w:rsid w:val="007A2FDC"/>
    <w:rsid w:val="008C193E"/>
    <w:rsid w:val="009819E9"/>
    <w:rsid w:val="0099201C"/>
    <w:rsid w:val="00A332B7"/>
    <w:rsid w:val="00AF34F6"/>
    <w:rsid w:val="00BB6654"/>
    <w:rsid w:val="00C9352B"/>
    <w:rsid w:val="00D543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chartTrackingRefBased/>
  <w15:docId w15:val="{E1CEF491-932A-45F5-AB06-C716DEF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id-translation">
    <w:name w:val="tlid-translation"/>
    <w:basedOn w:val="Policepardfaut"/>
    <w:rsid w:val="00BB6654"/>
  </w:style>
  <w:style w:type="paragraph" w:styleId="Paragraphedeliste">
    <w:name w:val="List Paragraph"/>
    <w:basedOn w:val="Normal"/>
    <w:uiPriority w:val="34"/>
    <w:qFormat/>
    <w:rsid w:val="00BB6654"/>
    <w:pPr>
      <w:ind w:left="720"/>
      <w:contextualSpacing/>
    </w:pPr>
  </w:style>
  <w:style w:type="character" w:styleId="Marquedecommentaire">
    <w:name w:val="annotation reference"/>
    <w:basedOn w:val="Policepardfaut"/>
    <w:uiPriority w:val="99"/>
    <w:semiHidden/>
    <w:unhideWhenUsed/>
    <w:rsid w:val="00BB6654"/>
    <w:rPr>
      <w:sz w:val="16"/>
      <w:szCs w:val="16"/>
    </w:rPr>
  </w:style>
  <w:style w:type="paragraph" w:styleId="Commentaire">
    <w:name w:val="annotation text"/>
    <w:basedOn w:val="Normal"/>
    <w:link w:val="CommentaireCar"/>
    <w:uiPriority w:val="99"/>
    <w:unhideWhenUsed/>
    <w:rsid w:val="00BB6654"/>
    <w:pPr>
      <w:spacing w:line="240" w:lineRule="auto"/>
    </w:pPr>
    <w:rPr>
      <w:sz w:val="20"/>
      <w:szCs w:val="20"/>
    </w:rPr>
  </w:style>
  <w:style w:type="character" w:customStyle="1" w:styleId="CommentaireCar">
    <w:name w:val="Commentaire Car"/>
    <w:basedOn w:val="Policepardfaut"/>
    <w:link w:val="Commentaire"/>
    <w:uiPriority w:val="99"/>
    <w:rsid w:val="00BB6654"/>
    <w:rPr>
      <w:sz w:val="20"/>
      <w:szCs w:val="20"/>
    </w:rPr>
  </w:style>
  <w:style w:type="paragraph" w:styleId="Textedebulles">
    <w:name w:val="Balloon Text"/>
    <w:basedOn w:val="Normal"/>
    <w:link w:val="TextedebullesCar"/>
    <w:uiPriority w:val="99"/>
    <w:semiHidden/>
    <w:unhideWhenUsed/>
    <w:rsid w:val="00BB66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6654"/>
    <w:rPr>
      <w:rFonts w:ascii="Segoe UI" w:hAnsi="Segoe UI" w:cs="Segoe UI"/>
      <w:sz w:val="18"/>
      <w:szCs w:val="18"/>
    </w:rPr>
  </w:style>
  <w:style w:type="paragraph" w:styleId="En-tte">
    <w:name w:val="header"/>
    <w:basedOn w:val="Normal"/>
    <w:link w:val="En-tteCar"/>
    <w:uiPriority w:val="99"/>
    <w:unhideWhenUsed/>
    <w:rsid w:val="008C193E"/>
    <w:pPr>
      <w:tabs>
        <w:tab w:val="center" w:pos="4536"/>
        <w:tab w:val="right" w:pos="9072"/>
      </w:tabs>
      <w:spacing w:after="0" w:line="240" w:lineRule="auto"/>
    </w:pPr>
  </w:style>
  <w:style w:type="character" w:customStyle="1" w:styleId="En-tteCar">
    <w:name w:val="En-tête Car"/>
    <w:basedOn w:val="Policepardfaut"/>
    <w:link w:val="En-tte"/>
    <w:uiPriority w:val="99"/>
    <w:rsid w:val="008C193E"/>
  </w:style>
  <w:style w:type="paragraph" w:styleId="Pieddepage">
    <w:name w:val="footer"/>
    <w:basedOn w:val="Normal"/>
    <w:link w:val="PieddepageCar"/>
    <w:uiPriority w:val="99"/>
    <w:unhideWhenUsed/>
    <w:rsid w:val="008C19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2231</Words>
  <Characters>12276</Characters>
  <Application>Microsoft Office Word</Application>
  <DocSecurity>0</DocSecurity>
  <Lines>102</Lines>
  <Paragraphs>28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Sundhedsdatastyrelsen</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 </cp:lastModifiedBy>
  <cp:revision>3</cp:revision>
  <dcterms:created xsi:type="dcterms:W3CDTF">2020-10-07T13:56:00Z</dcterms:created>
  <dcterms:modified xsi:type="dcterms:W3CDTF">2020-10-07T13:56:00Z</dcterms:modified>
</cp:coreProperties>
</file>