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D28C8" w14:textId="4A68BCAF" w:rsidR="00704E6A" w:rsidRPr="00704E6A" w:rsidRDefault="00704E6A" w:rsidP="00D543FF">
      <w:pPr>
        <w:spacing w:after="0" w:line="240" w:lineRule="auto"/>
        <w:rPr>
          <w:rFonts w:ascii="Courier New" w:hAnsi="Courier New" w:cs="Courier New"/>
          <w:szCs w:val="20"/>
        </w:rPr>
      </w:pPr>
      <w:r>
        <w:rPr>
          <w:rFonts w:ascii="Courier New" w:hAnsi="Courier New"/>
          <w:szCs w:val="20"/>
        </w:rPr>
        <w:t>1. ------IND- 2020 0609 DK</w:t>
      </w:r>
      <w:r w:rsidR="00163C94">
        <w:rPr>
          <w:rFonts w:ascii="Courier New" w:hAnsi="Courier New"/>
          <w:szCs w:val="20"/>
        </w:rPr>
        <w:t>-</w:t>
      </w:r>
      <w:r>
        <w:rPr>
          <w:rFonts w:ascii="Courier New" w:hAnsi="Courier New"/>
          <w:szCs w:val="20"/>
        </w:rPr>
        <w:t xml:space="preserve"> NL-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szCs w:val="32"/>
        </w:rPr>
        <w:t>ONTWERP</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szCs w:val="32"/>
        </w:rPr>
        <w:t>Besluit betreffende verbod op reclame, het zichtbaar aanbrengen en tonen en dergelijke van elektronische sigaretten en hervulrecipiënten met en zonder nicotine</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163C94" w:rsidRDefault="00BB6654" w:rsidP="00704E6A">
      <w:pPr>
        <w:keepNext/>
        <w:keepLines/>
        <w:autoSpaceDE w:val="0"/>
        <w:autoSpaceDN w:val="0"/>
        <w:adjustRightInd w:val="0"/>
        <w:spacing w:after="0" w:line="240" w:lineRule="auto"/>
        <w:rPr>
          <w:rFonts w:eastAsia="TimesNewRomanPSMT" w:cstheme="minorHAnsi"/>
          <w:spacing w:val="-4"/>
          <w:sz w:val="24"/>
          <w:szCs w:val="24"/>
        </w:rPr>
      </w:pPr>
      <w:r w:rsidRPr="00163C94">
        <w:rPr>
          <w:spacing w:val="-4"/>
          <w:sz w:val="24"/>
          <w:szCs w:val="24"/>
        </w:rPr>
        <w:t>Krachtens § 18 a, lid 4, van de wet betreffende elektronische sigaretten en dergelijke, zie wet nr. 426 van 18 mei 2016 betreffende elektronische sigaretten en dergelijke, zoals gewijzigd door § 2 van wet nr. 1558 van 18 december 2018 en § 3 van wet nr. xx van xx 2020, wordt het volgende bepaald:</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Hoofdstuk 1</w:t>
      </w:r>
    </w:p>
    <w:p w14:paraId="38A2464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i/>
          <w:sz w:val="24"/>
          <w:szCs w:val="24"/>
        </w:rPr>
      </w:pPr>
      <w:r>
        <w:rPr>
          <w:i/>
          <w:sz w:val="24"/>
          <w:szCs w:val="24"/>
        </w:rPr>
        <w:t>Definities</w:t>
      </w:r>
    </w:p>
    <w:p w14:paraId="446E03A7"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bCs/>
          <w:sz w:val="24"/>
          <w:szCs w:val="24"/>
        </w:rPr>
        <w:t xml:space="preserve">§ 1. </w:t>
      </w:r>
      <w:r>
        <w:rPr>
          <w:sz w:val="24"/>
          <w:szCs w:val="24"/>
        </w:rPr>
        <w:t>In dit besluit wordt verstaan onder:</w:t>
      </w:r>
    </w:p>
    <w:p w14:paraId="4B8F07EA" w14:textId="77777777" w:rsidR="00BB6654" w:rsidRPr="00D543FF" w:rsidRDefault="00BB6654" w:rsidP="00BB6654">
      <w:pPr>
        <w:autoSpaceDE w:val="0"/>
        <w:autoSpaceDN w:val="0"/>
        <w:adjustRightInd w:val="0"/>
        <w:spacing w:after="0" w:line="240" w:lineRule="auto"/>
        <w:rPr>
          <w:rFonts w:eastAsia="TimesNewRomanPSMT" w:cstheme="minorHAnsi"/>
          <w:sz w:val="24"/>
          <w:szCs w:val="24"/>
        </w:rPr>
      </w:pPr>
      <w:r>
        <w:rPr>
          <w:sz w:val="24"/>
          <w:szCs w:val="24"/>
        </w:rPr>
        <w:t>1) elektronische sigaret: een product dat kan worden gebruikt voor het verbruik van nicotinehoudende of niet-nicotinehoudende damp via een mondstuk, of delen van een dergelijk product, met inbegrip van een patroon, een hervulbaar reservoir en een voorziening zonder patroon of hervulbaar reservoir. Elektronische sigaretten kunnen voor eenmalig gebruik of hervulbaar zijn met behulp van een hervulrecipiënt en een hervulbaar reservoir of opnieuw worden geladen met wegwerppatronen;</w:t>
      </w:r>
    </w:p>
    <w:p w14:paraId="492F8B93" w14:textId="77777777" w:rsidR="00BB6654" w:rsidRPr="00704E6A" w:rsidRDefault="00BB6654" w:rsidP="00BB6654">
      <w:pPr>
        <w:autoSpaceDE w:val="0"/>
        <w:autoSpaceDN w:val="0"/>
        <w:adjustRightInd w:val="0"/>
        <w:spacing w:after="0" w:line="240" w:lineRule="auto"/>
        <w:rPr>
          <w:rFonts w:cstheme="minorHAnsi"/>
          <w:sz w:val="24"/>
          <w:szCs w:val="24"/>
        </w:rPr>
      </w:pPr>
      <w:r>
        <w:rPr>
          <w:sz w:val="24"/>
          <w:szCs w:val="24"/>
        </w:rPr>
        <w:t>2) hervulrecipiënt met nicotine: een recipiënt met een nicotinehoudende vloeistof dat kan worden gebruikt voor het opnieuw vullen van een elektronische sigaret met nicotine;</w:t>
      </w:r>
    </w:p>
    <w:p w14:paraId="400A7200" w14:textId="77777777" w:rsidR="00BB6654" w:rsidRPr="00704E6A" w:rsidRDefault="00BB6654" w:rsidP="00BB6654">
      <w:pPr>
        <w:autoSpaceDE w:val="0"/>
        <w:autoSpaceDN w:val="0"/>
        <w:adjustRightInd w:val="0"/>
        <w:spacing w:after="0" w:line="240" w:lineRule="auto"/>
        <w:rPr>
          <w:rFonts w:cstheme="minorHAnsi"/>
          <w:sz w:val="24"/>
          <w:szCs w:val="24"/>
        </w:rPr>
      </w:pPr>
      <w:r>
        <w:rPr>
          <w:sz w:val="24"/>
          <w:szCs w:val="24"/>
        </w:rPr>
        <w:t>3) hervulrecipiënt zonder nicotine: een reservoir met een nicotinevrije vloeistof dat kan worden gebruikt voor het opnieuw vullen van een elektronische sigaret zonder nicotine.</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Hoofdstuk 2</w:t>
      </w:r>
    </w:p>
    <w:p w14:paraId="7A51CD03"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 xml:space="preserve">Reclame </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bCs/>
          <w:sz w:val="24"/>
          <w:szCs w:val="24"/>
        </w:rPr>
        <w:t xml:space="preserve">§ 2. </w:t>
      </w:r>
      <w:r>
        <w:rPr>
          <w:sz w:val="24"/>
          <w:szCs w:val="24"/>
        </w:rPr>
        <w:t>Elke vorm van reclame voor elektronische sigaretten en hervulrecipiënten met en zonder nicotine is verboden, zie § 16, lid 1, van de wet inzake elektronische sigaretten en dergelijke.</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iCs/>
          <w:sz w:val="24"/>
          <w:szCs w:val="24"/>
        </w:rPr>
        <w:t>Lid 2</w:t>
      </w:r>
      <w:r>
        <w:rPr>
          <w:sz w:val="24"/>
          <w:szCs w:val="24"/>
        </w:rPr>
        <w:t>. Het verbod op reclame in lid 1 omvat het verbod op:</w:t>
      </w:r>
    </w:p>
    <w:p w14:paraId="12B97FB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1) het gebruik van een naam, merk, symbool of andere kenmerken die hoofdzakelijk gekend zijn van elektronische sigaretten en hervulrecipiënten, in reclame voor andere waren en diensten;</w:t>
      </w:r>
    </w:p>
    <w:p w14:paraId="71659EAA"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2) reclame voor elektronische sigaretten en hervulrecipiënten met behulp van een naam, merk, symbool of andere kenmerken die hoofdzakelijk gekend zijn van of worden gebruikt als merk voor andere waren en diensten;</w:t>
      </w:r>
    </w:p>
    <w:p w14:paraId="6284E461" w14:textId="77777777" w:rsidR="00BB6654" w:rsidRPr="00163C94" w:rsidRDefault="00BB6654" w:rsidP="00BB6654">
      <w:pPr>
        <w:autoSpaceDE w:val="0"/>
        <w:autoSpaceDN w:val="0"/>
        <w:adjustRightInd w:val="0"/>
        <w:spacing w:after="0" w:line="240" w:lineRule="auto"/>
        <w:rPr>
          <w:rFonts w:eastAsia="TimesNewRomanPSMT" w:cstheme="minorHAnsi"/>
          <w:spacing w:val="-6"/>
          <w:sz w:val="24"/>
          <w:szCs w:val="24"/>
        </w:rPr>
      </w:pPr>
      <w:r w:rsidRPr="00163C94">
        <w:rPr>
          <w:spacing w:val="-6"/>
          <w:sz w:val="24"/>
          <w:szCs w:val="24"/>
        </w:rPr>
        <w:t>3) reclame voor elektronische sigaretten en hervulrecipiënten met behulp van namen, merken, symbolen, figuren of dergelijke die hoofdzakelijk gericht zijn op kinderen en mensen jonger dan 18 jaar;</w:t>
      </w:r>
    </w:p>
    <w:p w14:paraId="1F3A4A90"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4) gebruik van lay-out, vormgeving of bepaalde kleurencombinaties die in verband worden gebracht met bepaalde elektronische sigaretten en hervulrecipiënten met en zonder nicotine;</w:t>
      </w:r>
    </w:p>
    <w:p w14:paraId="1A4B2A5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lastRenderedPageBreak/>
        <w:t>5) gebruik van herkenbare elektronische sigaretten en hervulrecipiënten in reclame voor andere waren en diensten.</w:t>
      </w:r>
    </w:p>
    <w:p w14:paraId="50A31B26"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iCs/>
          <w:sz w:val="24"/>
          <w:szCs w:val="24"/>
        </w:rPr>
        <w:t xml:space="preserve">Lid 3. </w:t>
      </w:r>
      <w:r>
        <w:rPr>
          <w:sz w:val="24"/>
          <w:szCs w:val="24"/>
        </w:rPr>
        <w:t>Het in lid 1 vermelde verbod is evenwel niet van toepassing:</w:t>
      </w:r>
    </w:p>
    <w:p w14:paraId="1C5563B6"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1) op mededelingen die uitsluitend gericht zijn op beroepsmensen binnen de sector;</w:t>
      </w:r>
    </w:p>
    <w:p w14:paraId="12DF0DF8"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2) op het gebruik van een naam die vóór 7 juni 2016 werd gebruikt voor zowel elektronische sigaretten en hervulrecipiënten als voor andere goederen of diensten, voor reclame voor deze andere producten, voor zover de naam voorkomt in een vorm die duidelijk verschillend is van het uitzicht van de naam op de elektronische sigaret of het hervulrecipiënt;</w:t>
      </w:r>
    </w:p>
    <w:p w14:paraId="12279633"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3) op het gebruik van een naam die gekend is van elektronische sigaretten, in reclame voor andere goederen en diensten, wanneer voor de andere goederen of diensten alleen reclame wordt gemaakt in een beperkt geografisch gebied.</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Hoofdstuk 3</w:t>
      </w:r>
    </w:p>
    <w:p w14:paraId="006DAB7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Verbod op het zichtbaar aanbrengen en tonen</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77777777" w:rsidR="00BB6654" w:rsidRPr="00D543FF" w:rsidRDefault="00BB6654" w:rsidP="00704E6A">
      <w:pPr>
        <w:keepNext/>
        <w:keepLines/>
        <w:autoSpaceDE w:val="0"/>
        <w:autoSpaceDN w:val="0"/>
        <w:adjustRightInd w:val="0"/>
        <w:spacing w:after="0" w:line="240" w:lineRule="auto"/>
        <w:rPr>
          <w:rFonts w:eastAsia="TimesNewRomanPSMT" w:cstheme="minorHAnsi"/>
          <w:sz w:val="24"/>
          <w:szCs w:val="24"/>
        </w:rPr>
      </w:pPr>
      <w:r>
        <w:rPr>
          <w:b/>
          <w:bCs/>
          <w:sz w:val="24"/>
          <w:szCs w:val="24"/>
        </w:rPr>
        <w:t xml:space="preserve">§ 3. </w:t>
      </w:r>
      <w:r>
        <w:rPr>
          <w:sz w:val="24"/>
          <w:szCs w:val="24"/>
        </w:rPr>
        <w:t xml:space="preserve">Het zichtbaar aanbrengen en tonen van elektronische sigaretten en hervulrecipiënten met en zonder nicotine op verkoopplaatsen, met inbegrip van het internet, is verboden. </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77777777" w:rsidR="00BB6654" w:rsidRPr="00704E6A" w:rsidRDefault="00BB6654" w:rsidP="00BB6654">
      <w:pPr>
        <w:rPr>
          <w:rFonts w:eastAsia="TimesNewRomanPSMT" w:cstheme="minorHAnsi"/>
          <w:sz w:val="24"/>
          <w:szCs w:val="24"/>
        </w:rPr>
      </w:pPr>
      <w:r>
        <w:rPr>
          <w:i/>
          <w:sz w:val="24"/>
          <w:szCs w:val="24"/>
        </w:rPr>
        <w:t xml:space="preserve">Lid 2. </w:t>
      </w:r>
      <w:r>
        <w:rPr>
          <w:sz w:val="24"/>
          <w:szCs w:val="24"/>
        </w:rPr>
        <w:t xml:space="preserve">Waren die zijn bedoeld om te worden gebruikt samen met waren vermeld in lid 1, vallen ook onder het verbod krachtens lid 1. </w:t>
      </w:r>
    </w:p>
    <w:p w14:paraId="6C243789" w14:textId="77777777" w:rsidR="00BB6654" w:rsidRPr="00163C94" w:rsidRDefault="00BB6654" w:rsidP="00BB6654">
      <w:pPr>
        <w:rPr>
          <w:rFonts w:cstheme="minorHAnsi"/>
          <w:spacing w:val="-4"/>
          <w:sz w:val="24"/>
          <w:szCs w:val="24"/>
        </w:rPr>
      </w:pPr>
      <w:r w:rsidRPr="00163C94">
        <w:rPr>
          <w:i/>
          <w:spacing w:val="-4"/>
          <w:sz w:val="24"/>
          <w:szCs w:val="24"/>
        </w:rPr>
        <w:t>Lid 3</w:t>
      </w:r>
      <w:r w:rsidRPr="00163C94">
        <w:rPr>
          <w:spacing w:val="-4"/>
          <w:sz w:val="24"/>
          <w:szCs w:val="24"/>
        </w:rPr>
        <w:t>. Het verbod in lid 2 omvat, maar is niet beperkt tot, opladers, lege hervulrecipiënten, verpakkingen, batterijen of smaakstoffen. Het verbod in lid 2 heeft geen betrekking op producten die een meer algemeen gebruiksdoel hebben, tenzij ze specifiek zijn ontworpen of in de handel gebracht met verwijzing naar elektronische sigaretten of hervulrecipiënten met en zonder nicotine.</w:t>
      </w:r>
    </w:p>
    <w:p w14:paraId="44736DC4" w14:textId="77777777" w:rsidR="00BB6654" w:rsidRPr="00704E6A" w:rsidRDefault="00BB6654" w:rsidP="00704E6A">
      <w:pPr>
        <w:keepNext/>
        <w:keepLines/>
        <w:rPr>
          <w:rStyle w:val="tlid-translation"/>
          <w:rFonts w:cstheme="minorHAnsi"/>
          <w:color w:val="000000" w:themeColor="text1"/>
          <w:sz w:val="24"/>
          <w:szCs w:val="24"/>
        </w:rPr>
      </w:pPr>
      <w:r>
        <w:rPr>
          <w:i/>
          <w:sz w:val="24"/>
          <w:szCs w:val="24"/>
        </w:rPr>
        <w:t xml:space="preserve">Lid 4. </w:t>
      </w:r>
      <w:r>
        <w:rPr>
          <w:sz w:val="24"/>
          <w:szCs w:val="24"/>
        </w:rPr>
        <w:t>Bij naleving van het verbod in leden 1 en 2 is het volgende verboden:</w:t>
      </w:r>
    </w:p>
    <w:p w14:paraId="1B46E0BB" w14:textId="77777777"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szCs w:val="24"/>
        </w:rPr>
        <w:t xml:space="preserve">rechtstreeks of onrechtstreeks reclame maken voor elektronische sigaretten en hervulrecipiënten met en zonder nicotine of melden dat deze producten op de verkoopplaats worden verkocht, </w:t>
      </w:r>
    </w:p>
    <w:p w14:paraId="09282853" w14:textId="77777777"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szCs w:val="24"/>
        </w:rPr>
        <w:t xml:space="preserve">gebruikmaken van illustraties, afbeeldingen, kleuren, logo's, symbolen of anderszins die de verbruiker de indruk kunnen geven dat er wordt verwezen naar producten of productcategorieën die vallen onder leden 1 en 2, of de indruk wekken dat dergelijke producten een gunstig effect hebben voor de gezondheid, minder schadelijk zijn dan andere producten, dienen als middel om te stoppen met roken of andere gunstige effecten of voordelen hebben, of </w:t>
      </w:r>
    </w:p>
    <w:p w14:paraId="649FA914" w14:textId="693EE4C4"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szCs w:val="24"/>
        </w:rPr>
        <w:t>de locatie met kleuren, verlichting of dergelijke benadrukken ten opzichte van de rest van de verkoopplaats.</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lastRenderedPageBreak/>
        <w:t>Hoofdstuk 4</w:t>
      </w:r>
    </w:p>
    <w:p w14:paraId="1CF1B6D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Neutrale informatie over waren en prijzen</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b/>
          <w:bCs/>
          <w:sz w:val="24"/>
          <w:szCs w:val="24"/>
        </w:rPr>
        <w:t xml:space="preserve">§ 4. </w:t>
      </w:r>
      <w:r>
        <w:rPr>
          <w:sz w:val="24"/>
          <w:szCs w:val="24"/>
        </w:rPr>
        <w:t>Op de verkoopplaatsen mag neutrale informatie worden gegeven over welke elektronische sigaretten en hervulrecipiënten met en zonder nicotine er op de verkoopplaats worden verkocht, en over de prijs van de waren.</w:t>
      </w:r>
    </w:p>
    <w:p w14:paraId="58C115B8"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szCs w:val="24"/>
        </w:rPr>
        <w:t>Lid 2.</w:t>
      </w:r>
      <w:r>
        <w:rPr>
          <w:sz w:val="24"/>
          <w:szCs w:val="24"/>
        </w:rPr>
        <w:t xml:space="preserve"> De volgens lid 1 toegestane informatie omvat:</w:t>
      </w:r>
    </w:p>
    <w:p w14:paraId="026B0705" w14:textId="30B4BDFF" w:rsidR="00BB6654" w:rsidRPr="00704E6A" w:rsidRDefault="0099201C" w:rsidP="00BB6654">
      <w:pPr>
        <w:pStyle w:val="ListParagraph"/>
        <w:numPr>
          <w:ilvl w:val="0"/>
          <w:numId w:val="1"/>
        </w:numPr>
        <w:autoSpaceDE w:val="0"/>
        <w:autoSpaceDN w:val="0"/>
        <w:adjustRightInd w:val="0"/>
        <w:spacing w:after="0" w:line="240" w:lineRule="auto"/>
        <w:rPr>
          <w:rFonts w:cstheme="minorHAnsi"/>
          <w:sz w:val="24"/>
          <w:szCs w:val="24"/>
        </w:rPr>
      </w:pPr>
      <w:r>
        <w:rPr>
          <w:sz w:val="24"/>
          <w:szCs w:val="24"/>
        </w:rPr>
        <w:t xml:space="preserve">het merk en de naam van het product, </w:t>
      </w:r>
    </w:p>
    <w:p w14:paraId="5EF8EFC1" w14:textId="411F2B36"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szCs w:val="24"/>
        </w:rPr>
        <w:t xml:space="preserve">aantal, gewicht en volume evenals </w:t>
      </w:r>
    </w:p>
    <w:p w14:paraId="0F12AE03" w14:textId="77777777"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szCs w:val="24"/>
        </w:rPr>
        <w:t>prijs.</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777777" w:rsidR="0099201C" w:rsidRPr="00704E6A" w:rsidRDefault="0099201C" w:rsidP="00704E6A">
      <w:pPr>
        <w:keepNext/>
        <w:keepLines/>
        <w:autoSpaceDE w:val="0"/>
        <w:autoSpaceDN w:val="0"/>
        <w:adjustRightInd w:val="0"/>
        <w:spacing w:after="0" w:line="240" w:lineRule="auto"/>
        <w:rPr>
          <w:rFonts w:cstheme="minorHAnsi"/>
          <w:sz w:val="24"/>
          <w:szCs w:val="24"/>
        </w:rPr>
      </w:pPr>
      <w:r>
        <w:rPr>
          <w:i/>
          <w:sz w:val="24"/>
          <w:szCs w:val="24"/>
        </w:rPr>
        <w:t xml:space="preserve">Lid 3. </w:t>
      </w:r>
      <w:r>
        <w:rPr>
          <w:sz w:val="24"/>
          <w:szCs w:val="24"/>
        </w:rPr>
        <w:t>De informatie volgens lid 2 moet worden vermeld op een neutrale lijst. De informatie op de lijst moet worden aangebracht met zwarte letters op een wit A4-blad, waarop geen illustraties, afbeeldingen, vetgedrukte letters, kleuren, logo's, symbolen of andere tekst mogen voorkomen, zie evenwel lid 4. Er mag geen informatie op de lijst worden benadrukt, en de informatie moet:</w:t>
      </w:r>
    </w:p>
    <w:p w14:paraId="493ED696" w14:textId="16CC6D2D"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szCs w:val="24"/>
        </w:rPr>
        <w:t>worden weergegeven in alfabetische volgorde op basis van productmerk,</w:t>
      </w:r>
    </w:p>
    <w:p w14:paraId="0ABB1E2C" w14:textId="48624B42"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szCs w:val="24"/>
        </w:rPr>
        <w:t>worden vermeld in de volgorde: productmerk, productnaam, aantal, gewicht en volume en prijs,</w:t>
      </w:r>
    </w:p>
    <w:p w14:paraId="4781441E" w14:textId="77777777"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szCs w:val="24"/>
        </w:rPr>
        <w:t xml:space="preserve">worden vermeld met lettertype Helvetica ten hoogste in lettergrootte 14 en </w:t>
      </w:r>
    </w:p>
    <w:p w14:paraId="451F0D56" w14:textId="77777777" w:rsidR="0099201C" w:rsidRPr="00704E6A" w:rsidRDefault="0099201C" w:rsidP="0099201C">
      <w:pPr>
        <w:pStyle w:val="ListParagraph"/>
        <w:numPr>
          <w:ilvl w:val="0"/>
          <w:numId w:val="5"/>
        </w:numPr>
        <w:autoSpaceDE w:val="0"/>
        <w:autoSpaceDN w:val="0"/>
        <w:adjustRightInd w:val="0"/>
        <w:spacing w:after="0" w:line="240" w:lineRule="auto"/>
        <w:rPr>
          <w:rFonts w:cstheme="minorHAnsi"/>
          <w:i/>
          <w:sz w:val="24"/>
          <w:szCs w:val="24"/>
        </w:rPr>
      </w:pPr>
      <w:r>
        <w:rPr>
          <w:sz w:val="24"/>
          <w:szCs w:val="24"/>
        </w:rPr>
        <w:t>aan de linkerkant staan.</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 xml:space="preserve">Lid 4. </w:t>
      </w:r>
      <w:r>
        <w:rPr>
          <w:sz w:val="24"/>
          <w:szCs w:val="24"/>
        </w:rPr>
        <w:t xml:space="preserve">De in lid 3 vermelde neutrale lijst moet informatie bevatten over de leeftijdsgrens voor de verkoop van elektronische sigaretten en hervulrecipiënten met en zonder nicotine, zie § 15, lid 1, van de wet inzake elektronische sigaretten en dergelijke, opgesteld door de Deense Gezondheidsraad. </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704E6A" w:rsidRDefault="0054510B" w:rsidP="00BB6654">
      <w:pPr>
        <w:autoSpaceDE w:val="0"/>
        <w:autoSpaceDN w:val="0"/>
        <w:adjustRightInd w:val="0"/>
        <w:spacing w:after="0" w:line="240" w:lineRule="auto"/>
        <w:rPr>
          <w:rFonts w:cstheme="minorHAnsi"/>
          <w:i/>
          <w:sz w:val="24"/>
          <w:szCs w:val="24"/>
        </w:rPr>
      </w:pPr>
      <w:r>
        <w:rPr>
          <w:i/>
          <w:sz w:val="24"/>
          <w:szCs w:val="24"/>
        </w:rPr>
        <w:t xml:space="preserve">Lid 5. </w:t>
      </w:r>
      <w:r>
        <w:rPr>
          <w:sz w:val="24"/>
          <w:szCs w:val="24"/>
        </w:rPr>
        <w:t>Aan alle waren op de neutrale lijst kan volgens lid 3 een nummer worden toegekend.</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44539B09" w:rsidR="00BB6654" w:rsidRPr="00704E6A" w:rsidRDefault="0054510B" w:rsidP="00BB6654">
      <w:pPr>
        <w:autoSpaceDE w:val="0"/>
        <w:autoSpaceDN w:val="0"/>
        <w:adjustRightInd w:val="0"/>
        <w:spacing w:after="0" w:line="240" w:lineRule="auto"/>
        <w:rPr>
          <w:rFonts w:cstheme="minorHAnsi"/>
          <w:sz w:val="24"/>
          <w:szCs w:val="24"/>
        </w:rPr>
      </w:pPr>
      <w:r>
        <w:rPr>
          <w:i/>
          <w:sz w:val="24"/>
          <w:szCs w:val="24"/>
        </w:rPr>
        <w:t>Lid 6.</w:t>
      </w:r>
      <w:r>
        <w:rPr>
          <w:sz w:val="24"/>
          <w:szCs w:val="24"/>
        </w:rPr>
        <w:t xml:space="preserve"> De neutrale lijst volgens lid 3 mag worden opgedeeld in een of meer van de volgende categorieën: “E-sigaret”, “Hervulbaar reservoir met e-vloeistof”, “Totaalverpakking” en “Andere”. Een product moet in de categorie staan waartoe het behoort. </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Lid 7.</w:t>
      </w:r>
      <w:r>
        <w:rPr>
          <w:sz w:val="24"/>
          <w:szCs w:val="24"/>
        </w:rPr>
        <w:t xml:space="preserve"> Op fysieke verkoopplaatsen moet de neutrale lijst volgens lid 3 worden getoond op verzoek van de koper of worden opgesteld bij een door een verkoper bediende kassa.</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Hoofdstuk 5</w:t>
      </w:r>
    </w:p>
    <w:p w14:paraId="4308304F" w14:textId="77777777" w:rsidR="00BB6654" w:rsidRPr="00704E6A" w:rsidRDefault="00BB6654" w:rsidP="00704E6A">
      <w:pPr>
        <w:keepNext/>
        <w:keepLines/>
        <w:jc w:val="center"/>
        <w:rPr>
          <w:rFonts w:cstheme="minorHAnsi"/>
          <w:i/>
          <w:iCs/>
          <w:sz w:val="24"/>
          <w:szCs w:val="24"/>
        </w:rPr>
      </w:pPr>
      <w:r>
        <w:rPr>
          <w:i/>
          <w:iCs/>
          <w:sz w:val="24"/>
          <w:szCs w:val="24"/>
        </w:rPr>
        <w:t>Verkoop via digitale oplossingen en online</w:t>
      </w:r>
    </w:p>
    <w:p w14:paraId="2C3211DB" w14:textId="77777777" w:rsidR="00BB6654" w:rsidRPr="00704E6A" w:rsidRDefault="00BB6654" w:rsidP="00BB6654">
      <w:pPr>
        <w:autoSpaceDE w:val="0"/>
        <w:autoSpaceDN w:val="0"/>
        <w:adjustRightInd w:val="0"/>
        <w:spacing w:after="0" w:line="240" w:lineRule="auto"/>
        <w:rPr>
          <w:rFonts w:cstheme="minorHAnsi"/>
          <w:sz w:val="24"/>
          <w:szCs w:val="24"/>
        </w:rPr>
      </w:pPr>
      <w:r>
        <w:rPr>
          <w:b/>
          <w:sz w:val="24"/>
          <w:szCs w:val="24"/>
        </w:rPr>
        <w:t>§ 5.</w:t>
      </w:r>
      <w:r>
        <w:rPr>
          <w:sz w:val="24"/>
          <w:szCs w:val="24"/>
        </w:rPr>
        <w:t xml:space="preserve"> Het verbod op het zichtbaar aanbrengen en tonen van elektronische sigaretten en hervulrecipiënten met en zonder nicotine volgens § 2, leden 1 en 2, geldt ook bij de verkoop via digitale oplossingen, zoals websites van detailhandelszaken, webshops, bedrijfswebsites, sites van bedrijven op sociale media en apps. </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 xml:space="preserve">Lid 2. </w:t>
      </w:r>
      <w:r>
        <w:rPr>
          <w:sz w:val="24"/>
          <w:szCs w:val="24"/>
        </w:rPr>
        <w:t>Op de in lid 1 genoemde verkoopplaatsen mag neutrale informatie worden gegeven over welke elektronische sigaretten en hervulrecipiënten met en zonder nicotine er op de verkoopplaats worden verkocht, en over de prijs van de waren.</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szCs w:val="24"/>
        </w:rPr>
        <w:t>Lid 3.</w:t>
      </w:r>
      <w:r>
        <w:rPr>
          <w:sz w:val="24"/>
          <w:szCs w:val="24"/>
        </w:rPr>
        <w:t xml:space="preserve"> De volgens lid 2 toegestane informatie omvat:</w:t>
      </w:r>
    </w:p>
    <w:p w14:paraId="512A3319" w14:textId="77777777"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szCs w:val="24"/>
        </w:rPr>
        <w:t xml:space="preserve">het merk en de naam van het product, </w:t>
      </w:r>
    </w:p>
    <w:p w14:paraId="5AF73772" w14:textId="5CC45315"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szCs w:val="24"/>
        </w:rPr>
        <w:t xml:space="preserve">aantal, gewicht en volume evenals </w:t>
      </w:r>
    </w:p>
    <w:p w14:paraId="591709CC" w14:textId="77777777"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szCs w:val="24"/>
        </w:rPr>
        <w:t>prijs.</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77777777" w:rsidR="00D543FF" w:rsidRDefault="00BB6654" w:rsidP="007A2FDC">
      <w:pPr>
        <w:autoSpaceDE w:val="0"/>
        <w:autoSpaceDN w:val="0"/>
        <w:adjustRightInd w:val="0"/>
        <w:spacing w:after="0" w:line="240" w:lineRule="auto"/>
        <w:rPr>
          <w:rFonts w:cstheme="minorHAnsi"/>
          <w:sz w:val="24"/>
          <w:szCs w:val="24"/>
        </w:rPr>
      </w:pPr>
      <w:r>
        <w:rPr>
          <w:i/>
          <w:sz w:val="24"/>
          <w:szCs w:val="24"/>
        </w:rPr>
        <w:t xml:space="preserve">Lid 4. </w:t>
      </w:r>
      <w:r>
        <w:rPr>
          <w:sz w:val="24"/>
          <w:szCs w:val="24"/>
        </w:rPr>
        <w:t>De informatie vermeld in lid 3 mag niet worden weergegeven met of vergezeld gaan van illustraties, afbeeldingen, kleuren, logo's, symbolen of andere tekst. Dit geldt evenwel niet voor het symbool “In winkelmandje”. Er mag geen informatie worden benadrukt, en de informatie moet worden weergegeven in het zwart in hetzelfde lettertype en dezelfde lettergrootte die algemeen wordt gebruikt om producten op de website te tonen.</w:t>
      </w:r>
    </w:p>
    <w:p w14:paraId="44E7930B" w14:textId="3E1D2C96" w:rsidR="007A2FDC" w:rsidRPr="00704E6A" w:rsidRDefault="007A2FDC" w:rsidP="007A2FDC">
      <w:pPr>
        <w:autoSpaceDE w:val="0"/>
        <w:autoSpaceDN w:val="0"/>
        <w:adjustRightInd w:val="0"/>
        <w:spacing w:after="0" w:line="240" w:lineRule="auto"/>
        <w:rPr>
          <w:rFonts w:cstheme="minorHAnsi"/>
          <w:sz w:val="24"/>
          <w:szCs w:val="24"/>
        </w:rPr>
      </w:pPr>
      <w:r>
        <w:rPr>
          <w:i/>
          <w:sz w:val="24"/>
          <w:szCs w:val="24"/>
        </w:rPr>
        <w:t>Lid 5</w:t>
      </w:r>
      <w:r>
        <w:rPr>
          <w:sz w:val="24"/>
          <w:szCs w:val="24"/>
        </w:rPr>
        <w:t xml:space="preserve">. De informatie volgens lid 4 mag niet de indruk wekken dat de elektronische sigaretten en hervulrecipiënten met en zonder nicotine een gunstig effect hebben voor de gezondheid, minder schadelijk zijn dan andere producten, of andere gunstige effecten of voordelen hebben. </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07255785"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Lid 6.</w:t>
      </w:r>
      <w:r>
        <w:rPr>
          <w:sz w:val="24"/>
          <w:szCs w:val="24"/>
        </w:rPr>
        <w:t xml:space="preserve"> De verkoopplaatsen die onder lid 1 vallen, waar elektronische sigaretten en hervulrecipiënten met en zonder nicotine worden verkocht of hiertoe wordt aangezet, mogen geen mogelijkheid bieden voor klanten of bezoekers om zich aan te melden, een rating of dergelijke te geven van de producten vermeld in lid 1, als het aanmelden en dergelijke op enige wijze zichtbaar of toegankelijk is voor de aangemelde zelf of anderen die niet zijn tewerkgesteld op de verkoopplaats waar de producten worden verkocht. </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Hoofdstuk 6</w:t>
      </w:r>
    </w:p>
    <w:p w14:paraId="39F0F3E5" w14:textId="77777777" w:rsidR="00BB6654" w:rsidRPr="00704E6A" w:rsidRDefault="00BB6654" w:rsidP="00704E6A">
      <w:pPr>
        <w:keepNext/>
        <w:keepLines/>
        <w:spacing w:line="240" w:lineRule="auto"/>
        <w:jc w:val="center"/>
        <w:rPr>
          <w:rFonts w:cstheme="minorHAnsi"/>
          <w:i/>
          <w:iCs/>
          <w:sz w:val="24"/>
          <w:szCs w:val="24"/>
        </w:rPr>
      </w:pPr>
      <w:r>
        <w:rPr>
          <w:i/>
          <w:iCs/>
          <w:sz w:val="24"/>
          <w:szCs w:val="24"/>
        </w:rPr>
        <w:t>Fysieke verkoopplaatsen die gespecialiseerd zijn in de verkoop van elektronische sigaretten en hervulrecipiënten met en zonder nicotine</w:t>
      </w:r>
    </w:p>
    <w:p w14:paraId="6BC97759" w14:textId="77777777" w:rsidR="00BB6654" w:rsidRPr="00D543FF" w:rsidRDefault="00BB6654" w:rsidP="00BB6654">
      <w:pPr>
        <w:autoSpaceDE w:val="0"/>
        <w:autoSpaceDN w:val="0"/>
        <w:adjustRightInd w:val="0"/>
        <w:spacing w:after="0" w:line="240" w:lineRule="auto"/>
        <w:rPr>
          <w:rFonts w:cstheme="minorHAnsi"/>
          <w:sz w:val="24"/>
          <w:szCs w:val="24"/>
        </w:rPr>
      </w:pPr>
      <w:r>
        <w:rPr>
          <w:b/>
          <w:sz w:val="24"/>
          <w:szCs w:val="24"/>
        </w:rPr>
        <w:t xml:space="preserve">§ 6. </w:t>
      </w:r>
      <w:r>
        <w:rPr>
          <w:sz w:val="24"/>
          <w:szCs w:val="24"/>
        </w:rPr>
        <w:t xml:space="preserve">Het verbod op het zichtbaar aanbrengen en tonen volgens § 3, leden 1 en 2, geldt niet voor de verkoop van elektronische sigaretten en hervulrecipiënten met en zonder nicotine op fysieke verkoopplaatsen waar men zich heeft gespecialiseerd in de verkoop van deze producten. </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163C94" w:rsidRDefault="00BB6654" w:rsidP="00BB6654">
      <w:pPr>
        <w:autoSpaceDE w:val="0"/>
        <w:autoSpaceDN w:val="0"/>
        <w:adjustRightInd w:val="0"/>
        <w:spacing w:after="0" w:line="240" w:lineRule="auto"/>
        <w:rPr>
          <w:rFonts w:cstheme="minorHAnsi"/>
          <w:spacing w:val="-4"/>
          <w:sz w:val="24"/>
          <w:szCs w:val="24"/>
        </w:rPr>
      </w:pPr>
      <w:r w:rsidRPr="00163C94">
        <w:rPr>
          <w:i/>
          <w:spacing w:val="-4"/>
          <w:sz w:val="24"/>
          <w:szCs w:val="24"/>
        </w:rPr>
        <w:t>Lid 2.</w:t>
      </w:r>
      <w:r w:rsidRPr="00163C94">
        <w:rPr>
          <w:spacing w:val="-4"/>
          <w:sz w:val="24"/>
          <w:szCs w:val="24"/>
        </w:rPr>
        <w:t xml:space="preserve"> Een fysieke verkoopplaats volgens lid 1 wordt beschouwd als gespecialiseerd in de verkoop van elektronische sigaretten en hervulrecipiënten met en zonder nicotine wanneer er uitsluitend of hoofdzakelijk elektronische sigaretten en hervulrecipiënten met en zonder nicotine worden verkocht.</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77777777" w:rsidR="00BB6654" w:rsidRPr="00163C94" w:rsidRDefault="00BB6654" w:rsidP="00BB6654">
      <w:pPr>
        <w:autoSpaceDE w:val="0"/>
        <w:autoSpaceDN w:val="0"/>
        <w:adjustRightInd w:val="0"/>
        <w:spacing w:after="0" w:line="240" w:lineRule="auto"/>
        <w:rPr>
          <w:rFonts w:cstheme="minorHAnsi"/>
          <w:spacing w:val="-4"/>
          <w:sz w:val="24"/>
          <w:szCs w:val="24"/>
        </w:rPr>
      </w:pPr>
      <w:r w:rsidRPr="00163C94">
        <w:rPr>
          <w:i/>
          <w:spacing w:val="-4"/>
          <w:sz w:val="24"/>
          <w:szCs w:val="24"/>
        </w:rPr>
        <w:t>Lid 3.</w:t>
      </w:r>
      <w:r w:rsidRPr="00163C94">
        <w:rPr>
          <w:spacing w:val="-4"/>
          <w:sz w:val="24"/>
          <w:szCs w:val="24"/>
        </w:rPr>
        <w:t xml:space="preserve"> De uitzondering op het verbod op het zichtbaar aanbrengen en tonen volgens lid 1 geldt uitsluitend voor elektronische sigaretten en hervulrecipiënten met en zonder nicotine. Als op de verkoopplaats andere producten dan tabakswaren, vervangproducten voor tabak of op kruiden gebaseerde rookproducten worden verkocht, vallen deze onder het verbod krachtens § 3, leden 1 en 2, of § 2, leden 1 en 2, van het besluit betreffende verbod op het zichtbaar aanbrengen en tonen en dergelijke van tabakswaren, vervangproducten voor tabak en op kruiden gebaseerde rookproducten.</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47BAB919" w:rsidR="00BB6654" w:rsidRPr="00704E6A" w:rsidRDefault="00BB6654" w:rsidP="00163C94">
      <w:pPr>
        <w:keepNext/>
        <w:keepLines/>
        <w:autoSpaceDE w:val="0"/>
        <w:autoSpaceDN w:val="0"/>
        <w:adjustRightInd w:val="0"/>
        <w:spacing w:after="0" w:line="240" w:lineRule="auto"/>
        <w:rPr>
          <w:rFonts w:cstheme="minorHAnsi"/>
          <w:sz w:val="24"/>
          <w:szCs w:val="24"/>
        </w:rPr>
      </w:pPr>
      <w:r>
        <w:rPr>
          <w:i/>
          <w:sz w:val="24"/>
          <w:szCs w:val="24"/>
        </w:rPr>
        <w:lastRenderedPageBreak/>
        <w:t xml:space="preserve">Lid 4. </w:t>
      </w:r>
      <w:r>
        <w:rPr>
          <w:sz w:val="24"/>
          <w:szCs w:val="24"/>
        </w:rPr>
        <w:t xml:space="preserve">Wanneer op een verkoopplaats vermeld in lid 1 elektronische sigaretten en hervulrecipiënten met en zonder nicotine worden verkocht via digitale oplossingen, zoals websites van detailhandelszaken, webshops, bedrijfswebsites, sites van bedrijven op sociale media en apps, valt dit onder § 5. </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04E6A" w:rsidRDefault="00BB6654" w:rsidP="00704E6A">
      <w:pPr>
        <w:keepNext/>
        <w:keepLines/>
        <w:autoSpaceDE w:val="0"/>
        <w:autoSpaceDN w:val="0"/>
        <w:adjustRightInd w:val="0"/>
        <w:spacing w:after="0" w:line="240" w:lineRule="auto"/>
        <w:rPr>
          <w:rFonts w:cstheme="minorHAnsi"/>
          <w:color w:val="000000" w:themeColor="text1"/>
          <w:sz w:val="24"/>
          <w:szCs w:val="24"/>
        </w:rPr>
      </w:pPr>
      <w:r>
        <w:rPr>
          <w:i/>
          <w:color w:val="000000" w:themeColor="text1"/>
          <w:sz w:val="24"/>
          <w:szCs w:val="24"/>
        </w:rPr>
        <w:t>Lid 5.</w:t>
      </w:r>
      <w:r>
        <w:rPr>
          <w:color w:val="000000" w:themeColor="text1"/>
          <w:sz w:val="24"/>
          <w:szCs w:val="24"/>
        </w:rPr>
        <w:t xml:space="preserve"> Op een fysieke verkoopplaats vermeld in lid 1 is het niet toegestaan reclame te maken voor elektronische sigaretten en hervulrecipiënten met en zonder nicotine op de verkoopplaats, in de vitrine of op de gevel van de winkel, zie evenwel lid 6. Dit geldt onder meer voor:</w:t>
      </w:r>
    </w:p>
    <w:p w14:paraId="52BBBBD1" w14:textId="77777777" w:rsidR="00BB6654" w:rsidRPr="00704E6A" w:rsidRDefault="00BB6654" w:rsidP="00BB6654">
      <w:pPr>
        <w:pStyle w:val="ListParagraph"/>
        <w:numPr>
          <w:ilvl w:val="0"/>
          <w:numId w:val="2"/>
        </w:numPr>
        <w:autoSpaceDE w:val="0"/>
        <w:autoSpaceDN w:val="0"/>
        <w:adjustRightInd w:val="0"/>
        <w:spacing w:after="0" w:line="240" w:lineRule="auto"/>
        <w:ind w:left="709"/>
        <w:rPr>
          <w:rFonts w:cstheme="minorHAnsi"/>
          <w:color w:val="000000" w:themeColor="text1"/>
          <w:sz w:val="24"/>
          <w:szCs w:val="24"/>
        </w:rPr>
      </w:pPr>
      <w:r>
        <w:rPr>
          <w:sz w:val="24"/>
          <w:szCs w:val="24"/>
        </w:rPr>
        <w:t xml:space="preserve">het rechtstreeks of onrechtstreeks benadrukken van een bepaald product, een bepaalde bedrijfsnaam, prijs of andere van elektronische sigaretten en hervulrecipiënten met en zonder nicotine met behulp van specifieke verlichting, kleuren, het vooraan plaatsen van het product of de naam in het rek, vooraan geplaatste rekken of afbeeldingen, of </w:t>
      </w:r>
    </w:p>
    <w:p w14:paraId="072130F3" w14:textId="77777777" w:rsidR="00BB6654" w:rsidRPr="00D543FF" w:rsidRDefault="00BB6654" w:rsidP="00BB6654">
      <w:pPr>
        <w:pStyle w:val="ListParagraph"/>
        <w:numPr>
          <w:ilvl w:val="0"/>
          <w:numId w:val="2"/>
        </w:numPr>
        <w:spacing w:line="240" w:lineRule="auto"/>
        <w:ind w:left="709"/>
        <w:rPr>
          <w:rStyle w:val="tlid-translation"/>
          <w:rFonts w:cstheme="minorHAnsi"/>
          <w:sz w:val="24"/>
          <w:szCs w:val="24"/>
        </w:rPr>
      </w:pPr>
      <w:r>
        <w:rPr>
          <w:rStyle w:val="tlid-translation"/>
        </w:rPr>
        <w:t>het met tekst, illustraties, afbeeldingen, kleuren, logo's, symbolen of anderszins de koper de indruk geven dat een of meerdere producten een gunstig effect hebben voor de gezondheid, minder schadelijk zijn dan andere producten, dienen als middel om te stoppen met roken of andere gunstige effecten of voordelen hebben.</w:t>
      </w:r>
      <w:r>
        <w:rPr>
          <w:rStyle w:val="tlid-translation"/>
          <w:sz w:val="24"/>
          <w:szCs w:val="24"/>
        </w:rPr>
        <w:t xml:space="preserve"> </w:t>
      </w:r>
    </w:p>
    <w:p w14:paraId="1F5F7C9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szCs w:val="24"/>
        </w:rPr>
        <w:t>Lid 6</w:t>
      </w:r>
      <w:r>
        <w:rPr>
          <w:sz w:val="24"/>
          <w:szCs w:val="24"/>
        </w:rPr>
        <w:t>. De naam van een fysieke verkoopplaats vermeld in lid 1 moet op de gevel van de winkel neutraal vermeld staan. De naam zelf mag geen reclame-effect hebben.</w:t>
      </w:r>
    </w:p>
    <w:p w14:paraId="2D3BB467" w14:textId="77777777" w:rsidR="00BB6654" w:rsidRPr="00704E6A" w:rsidRDefault="00BB6654" w:rsidP="00BB6654">
      <w:pPr>
        <w:autoSpaceDE w:val="0"/>
        <w:autoSpaceDN w:val="0"/>
        <w:adjustRightInd w:val="0"/>
        <w:spacing w:after="0" w:line="240" w:lineRule="auto"/>
        <w:rPr>
          <w:rFonts w:eastAsia="TimesNewRomanPSMT"/>
        </w:rPr>
      </w:pPr>
      <w:r>
        <w:rPr>
          <w:i/>
          <w:sz w:val="24"/>
          <w:szCs w:val="24"/>
        </w:rPr>
        <w:t>Lid 7.</w:t>
      </w:r>
      <w:r>
        <w:rPr>
          <w:sz w:val="24"/>
          <w:szCs w:val="24"/>
        </w:rPr>
        <w:t xml:space="preserve"> De uitzondering op het verbod op het zichtbaar aanbrengen en tonen volgens lid 1 biedt de verkoopplaats niet de mogelijkheid om elektronische sigaretten en hervulrecipiënten met en zonder nicotine zichtbaar aan te brengen of te tonen op andere plaatsen dan op de verkoopplaats of om advertentiebladen en gratis producten en dergelijke uit te delen.</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Hoofdstuk 7</w:t>
      </w:r>
    </w:p>
    <w:p w14:paraId="2BA0131B"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Zelfbedieningsautomaten</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704E6A" w:rsidRDefault="00BB6654" w:rsidP="00BB6654">
      <w:pPr>
        <w:autoSpaceDE w:val="0"/>
        <w:autoSpaceDN w:val="0"/>
        <w:adjustRightInd w:val="0"/>
        <w:spacing w:after="0" w:line="240" w:lineRule="auto"/>
        <w:rPr>
          <w:rFonts w:cstheme="minorHAnsi"/>
          <w:bCs/>
          <w:sz w:val="24"/>
          <w:szCs w:val="24"/>
        </w:rPr>
      </w:pPr>
      <w:r>
        <w:rPr>
          <w:b/>
          <w:bCs/>
          <w:sz w:val="24"/>
          <w:szCs w:val="24"/>
        </w:rPr>
        <w:t>§ 7</w:t>
      </w:r>
      <w:r>
        <w:rPr>
          <w:bCs/>
          <w:sz w:val="24"/>
          <w:szCs w:val="24"/>
        </w:rPr>
        <w:t>. Automaten die worden gebruikt om via zelfbediening na verkoop aan een bediende kassa tabakswaren, vervangproducten voor tabak of op kruiden gebaseerde rookproducten te leveren, moeten een neutrale vormgeving hebben. De informatie op de automaat betreffende merknaam, variantnaam en prijzen moet worden weergegeven in zwarte letters, lettertype Helvetica, ten hoogste in lettergrootte 14.</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r>
        <w:rPr>
          <w:bCs/>
          <w:i/>
          <w:sz w:val="24"/>
          <w:szCs w:val="24"/>
        </w:rPr>
        <w:t>Lid 2</w:t>
      </w:r>
      <w:r>
        <w:rPr>
          <w:bCs/>
          <w:sz w:val="24"/>
          <w:szCs w:val="24"/>
        </w:rPr>
        <w:t>. Op een in lid 1 vermelde automaat is het niet toegestaan:</w:t>
      </w:r>
    </w:p>
    <w:p w14:paraId="05ACDAF7"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bCs/>
          <w:sz w:val="24"/>
          <w:szCs w:val="24"/>
        </w:rPr>
        <w:t>het merk van de waren of het bedrijf of andere kenmerken van deze producten, met inbegrip van een afbeelding van een product, te tonen of aan te brengen,</w:t>
      </w:r>
    </w:p>
    <w:p w14:paraId="5358D87F"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bCs/>
          <w:sz w:val="24"/>
          <w:szCs w:val="24"/>
        </w:rPr>
        <w:t>informatie te benadrukken en</w:t>
      </w:r>
    </w:p>
    <w:p w14:paraId="127664C5" w14:textId="77777777" w:rsidR="00BB6654" w:rsidRPr="00163C94" w:rsidRDefault="00BB6654" w:rsidP="00BB6654">
      <w:pPr>
        <w:pStyle w:val="ListParagraph"/>
        <w:numPr>
          <w:ilvl w:val="0"/>
          <w:numId w:val="3"/>
        </w:numPr>
        <w:autoSpaceDE w:val="0"/>
        <w:autoSpaceDN w:val="0"/>
        <w:adjustRightInd w:val="0"/>
        <w:spacing w:after="0" w:line="240" w:lineRule="auto"/>
        <w:rPr>
          <w:rFonts w:cstheme="minorHAnsi"/>
          <w:bCs/>
          <w:spacing w:val="-4"/>
          <w:sz w:val="24"/>
          <w:szCs w:val="24"/>
        </w:rPr>
      </w:pPr>
      <w:r w:rsidRPr="00163C94">
        <w:rPr>
          <w:bCs/>
          <w:spacing w:val="-4"/>
          <w:sz w:val="24"/>
          <w:szCs w:val="24"/>
        </w:rPr>
        <w:t>illustraties, afbeeldingen, kleuren, logo's, symbolen of anderszins te tonen of aan te brengen die de koper de indruk kunnen geven dat een product dat via die automaat wordt verkocht, een gunstig effect heeft op de gezondheid, dient als middel om te stoppen met roken of minder schadelijk is dan andere producten of andere gunstige effecten of voordelen heeft.</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lastRenderedPageBreak/>
        <w:t>Hoofdstuk 8</w:t>
      </w:r>
    </w:p>
    <w:p w14:paraId="288F8D8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Straffen</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bCs/>
          <w:sz w:val="24"/>
          <w:szCs w:val="24"/>
        </w:rPr>
        <w:t xml:space="preserve">§ 8. </w:t>
      </w:r>
      <w:r>
        <w:rPr>
          <w:sz w:val="24"/>
          <w:szCs w:val="24"/>
        </w:rPr>
        <w:t>Tenzij uit hoofde van een andere wet een hogere straf kan worden opgelegd, wordt een boete opgelegd aan wie het verbod in §§ 2 en 3 of de regels in §§ 4 tot en met 7 overtreedt.</w:t>
      </w:r>
    </w:p>
    <w:p w14:paraId="7619802B" w14:textId="77777777" w:rsidR="00BB6654" w:rsidRPr="00704E6A"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iCs/>
          <w:sz w:val="24"/>
          <w:szCs w:val="24"/>
        </w:rPr>
        <w:t xml:space="preserve">Lid 2. </w:t>
      </w:r>
      <w:r>
        <w:rPr>
          <w:sz w:val="24"/>
          <w:szCs w:val="24"/>
        </w:rPr>
        <w:t>Aan vennootschappen en dergelijke (rechtspersonen) kan een straf worden opgelegd uit hoofde van hoofdstuk 5 van het strafwetboek.</w:t>
      </w:r>
    </w:p>
    <w:p w14:paraId="5EF89AE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Hoofdstuk 7</w:t>
      </w:r>
    </w:p>
    <w:p w14:paraId="6F04C86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Inwerkingtreding</w:t>
      </w:r>
    </w:p>
    <w:p w14:paraId="25882109"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bCs/>
          <w:sz w:val="24"/>
          <w:szCs w:val="24"/>
        </w:rPr>
        <w:t xml:space="preserve">§ 8. </w:t>
      </w:r>
      <w:r>
        <w:rPr>
          <w:sz w:val="24"/>
          <w:szCs w:val="24"/>
        </w:rPr>
        <w:t>Het besluit treedt in werking op 1 april 2021.</w:t>
      </w:r>
    </w:p>
    <w:p w14:paraId="1FCB8DB6"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04E6A" w:rsidRDefault="00BB6654" w:rsidP="00BB6654">
      <w:pPr>
        <w:autoSpaceDE w:val="0"/>
        <w:autoSpaceDN w:val="0"/>
        <w:adjustRightInd w:val="0"/>
        <w:spacing w:after="0" w:line="240" w:lineRule="auto"/>
        <w:jc w:val="center"/>
        <w:rPr>
          <w:rFonts w:cstheme="minorHAnsi"/>
          <w:i/>
          <w:iCs/>
          <w:sz w:val="24"/>
          <w:szCs w:val="24"/>
        </w:rPr>
      </w:pPr>
      <w:r>
        <w:rPr>
          <w:i/>
          <w:iCs/>
          <w:sz w:val="24"/>
          <w:szCs w:val="24"/>
        </w:rPr>
        <w:t>Ministerie van Gezondheid en Ouderen</w:t>
      </w:r>
    </w:p>
    <w:p w14:paraId="53236B8A"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r>
        <w:rPr>
          <w:sz w:val="24"/>
          <w:szCs w:val="24"/>
        </w:rPr>
        <w:t>Magnus Heunicke</w:t>
      </w:r>
    </w:p>
    <w:p w14:paraId="557A9EC7" w14:textId="77777777" w:rsidR="00BB6654" w:rsidRPr="00704E6A" w:rsidRDefault="00BB6654" w:rsidP="00BB6654">
      <w:pPr>
        <w:autoSpaceDE w:val="0"/>
        <w:autoSpaceDN w:val="0"/>
        <w:adjustRightInd w:val="0"/>
        <w:spacing w:after="0" w:line="240" w:lineRule="auto"/>
        <w:ind w:left="2608" w:firstLine="1304"/>
        <w:jc w:val="center"/>
        <w:rPr>
          <w:rFonts w:eastAsia="TimesNewRomanPSMT" w:cstheme="minorHAnsi"/>
          <w:sz w:val="24"/>
          <w:szCs w:val="24"/>
        </w:rPr>
      </w:pPr>
      <w:r>
        <w:rPr>
          <w:sz w:val="24"/>
          <w:szCs w:val="24"/>
        </w:rPr>
        <w:t>/ Mie Saabye</w:t>
      </w:r>
    </w:p>
    <w:p w14:paraId="5C2A0D1C" w14:textId="77777777" w:rsidR="00BB6654" w:rsidRPr="00704E6A"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04E6A" w:rsidRDefault="00BB6654" w:rsidP="00BB6654"/>
    <w:p w14:paraId="17302CE6" w14:textId="77777777" w:rsidR="00BB6654" w:rsidRPr="00704E6A" w:rsidRDefault="00BB6654" w:rsidP="00BB6654"/>
    <w:p w14:paraId="2E3728AE" w14:textId="77777777" w:rsidR="00BB6654" w:rsidRPr="00704E6A" w:rsidRDefault="00BB6654" w:rsidP="00BB6654"/>
    <w:p w14:paraId="15206CBC" w14:textId="77777777" w:rsidR="00BB6654" w:rsidRPr="00704E6A" w:rsidRDefault="00BB6654" w:rsidP="00BB6654"/>
    <w:p w14:paraId="17F833C1" w14:textId="77777777" w:rsidR="00D47ADF" w:rsidRPr="00704E6A" w:rsidRDefault="00163C94"/>
    <w:sectPr w:rsidR="00D47ADF" w:rsidRPr="00704E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54"/>
    <w:rsid w:val="000F2720"/>
    <w:rsid w:val="001129D3"/>
    <w:rsid w:val="00133423"/>
    <w:rsid w:val="00163C94"/>
    <w:rsid w:val="003072BA"/>
    <w:rsid w:val="0054510B"/>
    <w:rsid w:val="00704E6A"/>
    <w:rsid w:val="007253E1"/>
    <w:rsid w:val="007A2FDC"/>
    <w:rsid w:val="0099201C"/>
    <w:rsid w:val="00A332B7"/>
    <w:rsid w:val="00BB6654"/>
    <w:rsid w:val="00C9352B"/>
    <w:rsid w:val="00D543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chartTrackingRefBased/>
  <w15:docId w15:val="{E1CEF491-932A-45F5-AB06-C716DEF9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1991</Words>
  <Characters>11354</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Diana STOICA</cp:lastModifiedBy>
  <cp:revision>3</cp:revision>
  <dcterms:created xsi:type="dcterms:W3CDTF">2020-09-30T11:28:00Z</dcterms:created>
  <dcterms:modified xsi:type="dcterms:W3CDTF">2020-10-07T11:57:00Z</dcterms:modified>
</cp:coreProperties>
</file>