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D28C8" w14:textId="564BD755" w:rsidR="00704E6A" w:rsidRPr="00704E6A" w:rsidRDefault="00704E6A" w:rsidP="00D543FF">
      <w:pPr>
        <w:spacing w:after="0" w:line="240" w:lineRule="auto"/>
        <w:rPr>
          <w:szCs w:val="20"/>
          <w:rFonts w:ascii="Courier New" w:hAnsi="Courier New" w:cs="Courier New"/>
        </w:rPr>
      </w:pPr>
      <w:r>
        <w:rPr>
          <w:szCs w:val="20"/>
          <w:rFonts w:ascii="Courier New" w:hAnsi="Courier New"/>
        </w:rPr>
        <w:t xml:space="preserve">1.</w:t>
      </w:r>
      <w:r>
        <w:rPr>
          <w:szCs w:val="20"/>
          <w:rFonts w:ascii="Courier New" w:hAnsi="Courier New"/>
        </w:rPr>
        <w:t xml:space="preserve"> </w:t>
      </w:r>
      <w:r>
        <w:rPr>
          <w:szCs w:val="20"/>
          <w:rFonts w:ascii="Courier New" w:hAnsi="Courier New"/>
        </w:rPr>
        <w:t xml:space="preserve">------IND- 2020 0609 DK- PL- ------ 20201007 --- --- PROJET</w:t>
      </w:r>
    </w:p>
    <w:p w14:paraId="074DD47B" w14:textId="77777777" w:rsidR="00704E6A" w:rsidRPr="00704E6A" w:rsidRDefault="00704E6A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</w:p>
    <w:p w14:paraId="662C1B62" w14:textId="1C691B6D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rFonts w:eastAsia="TimesNewRomanPSMT" w:cstheme="minorHAnsi"/>
        </w:rPr>
      </w:pPr>
      <w:r>
        <w:rPr>
          <w:sz w:val="32"/>
          <w:szCs w:val="32"/>
        </w:rPr>
        <w:t xml:space="preserve">PROJEKT</w:t>
      </w:r>
    </w:p>
    <w:p w14:paraId="45236AA6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</w:p>
    <w:p w14:paraId="7ABF394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rFonts w:eastAsia="TimesNewRomanPSMT" w:cstheme="minorHAnsi"/>
        </w:rPr>
      </w:pPr>
      <w:r>
        <w:rPr>
          <w:sz w:val="32"/>
          <w:szCs w:val="32"/>
        </w:rPr>
        <w:t xml:space="preserve">Rozporządzenie w sprawie zakazu reklamy, umieszczania i prezentowania itd. w widocznym miejscu papierosów elektronicznych i pojemników zapasowych z nikotyną i bez nikotyny</w:t>
      </w:r>
    </w:p>
    <w:p w14:paraId="1505EE0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17"/>
          <w:szCs w:val="17"/>
        </w:rPr>
      </w:pPr>
    </w:p>
    <w:p w14:paraId="1F895F1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411689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Na podstawie § 18 a ust. 4 ustawy o papierosach elektronicznych itd., zob. ustawa nr 426 z dnia 18 maja 2016 r. o papierosach elektronicznych itd., zmienionej § 2 ustawy nr 1558 z dnia 18 grudnia 2018 r. i § 3 ustawy nr xx z dnia xx 2020 r., rozporządza się, co następuje:</w:t>
      </w:r>
    </w:p>
    <w:p w14:paraId="5AE753E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789E0E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7F8551D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1</w:t>
      </w:r>
    </w:p>
    <w:p w14:paraId="38A2464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rFonts w:eastAsia="TimesNewRomanPSMT" w:cstheme="minorHAnsi"/>
        </w:rPr>
      </w:pPr>
      <w:r>
        <w:rPr>
          <w:i/>
          <w:sz w:val="24"/>
          <w:szCs w:val="24"/>
        </w:rPr>
        <w:t xml:space="preserve">Definicje</w:t>
      </w:r>
    </w:p>
    <w:p w14:paraId="446E03A7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 1.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Do celów niniejszego rozporządzenia stosuje się następujące definicje:</w:t>
      </w:r>
    </w:p>
    <w:p w14:paraId="4B8F07EA" w14:textId="77777777" w:rsidR="00BB6654" w:rsidRPr="00D543FF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1) Papieros elektroniczny: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wyrób, który może być wykorzystywany do spożycia pary zawierającej nikotynę lub niezawierającej nikotyny za pomocą ustnika, lub elementy tego wyrobu, w tym kartridże, zbiorniki zapasowe i urządzenia bez kartridża lub zbiornika.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Papierosy elektroniczne mogą być jednorazowego użytku albo wielokrotnego napełniania za pomocą pojemnika zapasowego lub zbiornika lub do wielokrotnego ładowania za pomocą kartridżów jednorazowych.</w:t>
      </w:r>
    </w:p>
    <w:p w14:paraId="492F8B93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2) Pojemnik zapasowy z nikotyną: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naczynie z płynem zawierającym nikotynę, który można wykorzystać do ponownego napełnienia papierosa elektronicznego z nikotyną.</w:t>
      </w:r>
    </w:p>
    <w:p w14:paraId="400A720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3) Pojemnik zapasowy bez nikotyny: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naczynie z płynem niezawierającym nikotyny, który można wykorzystać do ponownego napełnienia papierosa elektronicznego bez nikotyny.</w:t>
      </w:r>
    </w:p>
    <w:p w14:paraId="6BC43D8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6279EBA4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2</w:t>
      </w:r>
    </w:p>
    <w:p w14:paraId="7A51CD0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Reklama</w:t>
      </w:r>
      <w:r>
        <w:rPr>
          <w:i/>
          <w:iCs/>
          <w:sz w:val="24"/>
          <w:szCs w:val="24"/>
        </w:rPr>
        <w:t xml:space="preserve"> </w:t>
      </w:r>
    </w:p>
    <w:p w14:paraId="2F32F58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015B2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 2.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Wszelkie formy reklamy papierosów elektronicznych i pojemników zapasowych z nikotyną i bez nikotyny są zakazane, por. § 16 ust. 1 ustawy o papierosach elektronicznych itd.</w:t>
      </w:r>
    </w:p>
    <w:p w14:paraId="3C13130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42CECDC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  <w:iCs/>
        </w:rPr>
        <w:t xml:space="preserve">Ust. 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Zakaz reklamy określony w ust. 1 obejmuje zakaz:</w:t>
      </w:r>
    </w:p>
    <w:p w14:paraId="12B97FB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1) używania w reklamie innych towarów i usług nazwy, marki, symbolu lub innych oznaczeń wyróżniających papieros elektroniczny i pojemnik zapasowy;</w:t>
      </w:r>
    </w:p>
    <w:p w14:paraId="71659EA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2) wprowadzania do obrotu papierosów elektronicznych i pojemników zapasowych przy użyciu nazwy, marki, symbolu lub innych oznaczeń wyróżniających lub stosowanych do oznakowania innych towarów i usług;</w:t>
      </w:r>
    </w:p>
    <w:p w14:paraId="6284E46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3) wprowadzania do obrotu papierosów elektronicznych i pojemników zapasowych przy użyciu nazwy, marki, symbolu, znaku lub innych oznaczeń skierowanych przede wszystkim do dzieci i młodzieży do lat 18;</w:t>
      </w:r>
    </w:p>
    <w:p w14:paraId="1F3A4A9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4) używania grafiki, form i określonych kombinacji kolorów kojarzonych z konkretnymi papierosami elektronicznymi i pojemnikami zapasowymi z nikotyną lub bez nikotyny;</w:t>
      </w:r>
    </w:p>
    <w:p w14:paraId="1A4B2A5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5) używania rozpoznawalnych papierosów elektronicznych i pojemników zapasowych w reklamie innych towarów i usług.</w:t>
      </w:r>
    </w:p>
    <w:p w14:paraId="50A31B26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  <w:iCs/>
        </w:rPr>
        <w:t xml:space="preserve">Ust. 3.</w:t>
      </w:r>
      <w:r>
        <w:rPr>
          <w:sz w:val="24"/>
          <w:szCs w:val="24"/>
          <w:i/>
          <w:iCs/>
        </w:rPr>
        <w:t xml:space="preserve"> </w:t>
      </w:r>
      <w:r>
        <w:rPr>
          <w:sz w:val="24"/>
          <w:szCs w:val="24"/>
        </w:rPr>
        <w:t xml:space="preserve">Zakaz określony w ust. 1 nie ma natomiast zastosowania do:</w:t>
      </w:r>
    </w:p>
    <w:p w14:paraId="1C5563B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1) komunikatów skierowanych wyłącznie do specjalistów z branży tytoniowej;</w:t>
      </w:r>
    </w:p>
    <w:p w14:paraId="12DF0DF8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2) używania nazwy, która przed dniem 7 czerwca 2016 r. była stosowana w odniesieniu do zarówno papierosów elektronicznych, jak i pojemników zapasowych oraz innych towarów i usług na potrzeby reklamy tych innych wyrobów, o ile postać tej nazwy wyraźnie odróżnia ją od wyglądu nazwy widniejącej na papierosie elektronicznym i pojemniku zapasowym;</w:t>
      </w:r>
    </w:p>
    <w:p w14:paraId="12279633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3) używania nazwy kojarzonej z papierosami elektronicznymi w reklamie innych towarów i usług, jeśli inny towar lub inna usługa są wprowadzane do obrotu jedynie na ograniczonym obszarze geograficznym.</w:t>
      </w:r>
    </w:p>
    <w:p w14:paraId="13B9D15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AA17E0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3</w:t>
      </w:r>
    </w:p>
    <w:p w14:paraId="006DAB7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Zakaz umieszczania i prezentowania w widocznym miejscu</w:t>
      </w:r>
    </w:p>
    <w:p w14:paraId="0A56C50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DD243A3" w14:textId="77777777" w:rsidR="00BB6654" w:rsidRPr="00D543FF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 3.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Umieszczanie i prezentowanie w widocznym miejscu w punkcie sprzedaży, w tym w Internecie, papierosów elektronicznych i pojemników zapasowych z nikotyną i bez nikotyny, jest zakazane.</w:t>
      </w:r>
      <w:r>
        <w:rPr>
          <w:sz w:val="24"/>
          <w:szCs w:val="24"/>
        </w:rPr>
        <w:t xml:space="preserve"> </w:t>
      </w:r>
    </w:p>
    <w:p w14:paraId="4679A73C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41170E1" w14:textId="77777777" w:rsidR="00BB6654" w:rsidRPr="00704E6A" w:rsidRDefault="00BB6654" w:rsidP="00BB6654">
      <w:pPr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Wyroby przeznaczone do stosowania razem z wyrobami, o których mowa w ust. 1, również są objęte zakazem określonym w ust. 1.</w:t>
      </w:r>
      <w:r>
        <w:rPr>
          <w:sz w:val="24"/>
          <w:szCs w:val="24"/>
        </w:rPr>
        <w:t xml:space="preserve"> </w:t>
      </w:r>
    </w:p>
    <w:p w14:paraId="6C243789" w14:textId="77777777" w:rsidR="00BB6654" w:rsidRPr="00704E6A" w:rsidRDefault="00BB6654" w:rsidP="00BB6654">
      <w:pPr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Zakaz określony w ust. 2 obejmuje, między innymi, ładowarki, puste pojemniki zapasowe, opakowania, baterie i dodatki aromatyzujące.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Zakaz określony w ust. 2 nie obejmuje wyrobów bardziej ogólnego przeznaczenia, chyba że są one specjalnie projektowane lub wprowadzane do obrotu w związku z papierosami elektronicznymi lub pojemnikami zapasowymi z nikotyną i bez nikotyny.</w:t>
      </w:r>
    </w:p>
    <w:p w14:paraId="44736DC4" w14:textId="77777777" w:rsidR="00BB6654" w:rsidRPr="00704E6A" w:rsidRDefault="00BB6654" w:rsidP="00704E6A">
      <w:pPr>
        <w:keepNext/>
        <w:keepLines/>
        <w:rPr>
          <w:rStyle w:val="tlid-translation"/>
          <w:color w:val="000000" w:themeColor="text1"/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4.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W celu zapewnienia zgodności z zakazem określonym w ust. 1 i 2 zabronione jest:</w:t>
      </w:r>
    </w:p>
    <w:p w14:paraId="1B46E0BB" w14:textId="77777777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  <w:szCs w:val="24"/>
        </w:rPr>
        <w:t xml:space="preserve">reklamowanie lub informowanie, w sposób pośredni lub bezpośredni, o dostępności w sprzedaży papierosów elektronicznych i pojemników zapasowych z nikotyną i bez nikotyny;</w:t>
      </w:r>
      <w:r>
        <w:rPr>
          <w:rStyle w:val="tlid-translation"/>
          <w:sz w:val="24"/>
          <w:szCs w:val="24"/>
        </w:rPr>
        <w:t xml:space="preserve"> </w:t>
      </w:r>
    </w:p>
    <w:p w14:paraId="09282853" w14:textId="77777777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  <w:szCs w:val="24"/>
        </w:rPr>
        <w:t xml:space="preserve">używanie ilustracji, zdjęć, kolorów, logotypów, symboli i innych znaków, które mogą być przez konsumenta rozumiane jako nawiązujące do wyrobów lub kategorii wyrobów, o których mowa w ust. 1 i 2, lub sugerować, że takie wyroby mają korzystny wpływ na zdrowie, są mniej szkodliwe od innych, pomagają rzucić palenie lub wywołują inne pozytywne skutki lub korzyści; lub</w:t>
      </w:r>
      <w:r>
        <w:rPr>
          <w:rStyle w:val="tlid-translation"/>
          <w:sz w:val="24"/>
          <w:szCs w:val="24"/>
        </w:rPr>
        <w:t xml:space="preserve"> </w:t>
      </w:r>
    </w:p>
    <w:p w14:paraId="649FA914" w14:textId="693EE4C4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  <w:szCs w:val="24"/>
        </w:rPr>
        <w:t xml:space="preserve">podkreślanie kolorystyki, oświetlenia i stosowanie podobnych efektów wyróżniających te wyroby na tle pozostałych w punkcie sprzedaży.</w:t>
      </w:r>
    </w:p>
    <w:p w14:paraId="5C26558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45AD1B00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4</w:t>
      </w:r>
    </w:p>
    <w:p w14:paraId="1CF1B6DA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Neutralne informacje o towarach i cenach</w:t>
      </w:r>
    </w:p>
    <w:p w14:paraId="0000999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211323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b/>
          <w:bCs/>
        </w:rPr>
        <w:t xml:space="preserve">§ 4.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W punktach sprzedaży kupującym mogą być udostępniane neutralne informacje o rodzaju i cenie sprzedawanych papierosów elektronicznych i pojemników zapasowych z nikotyną i bez nikotyny.</w:t>
      </w:r>
    </w:p>
    <w:p w14:paraId="58C115B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Informacje dozwolone zgodnie z ust. 1 to:</w:t>
      </w:r>
    </w:p>
    <w:p w14:paraId="026B0705" w14:textId="30B4BDFF" w:rsidR="00BB6654" w:rsidRPr="00704E6A" w:rsidRDefault="0099201C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marka i nazwa wyrobu,</w:t>
      </w:r>
      <w:r>
        <w:rPr>
          <w:sz w:val="24"/>
          <w:szCs w:val="24"/>
        </w:rPr>
        <w:t xml:space="preserve"> </w:t>
      </w:r>
    </w:p>
    <w:p w14:paraId="5EF8EFC1" w14:textId="411F2B36" w:rsidR="00BB6654" w:rsidRPr="00704E6A" w:rsidRDefault="00BB6654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ilość, waga i objętość oraz</w:t>
      </w:r>
      <w:r>
        <w:rPr>
          <w:sz w:val="24"/>
          <w:szCs w:val="24"/>
        </w:rPr>
        <w:t xml:space="preserve"> </w:t>
      </w:r>
    </w:p>
    <w:p w14:paraId="0F12AE03" w14:textId="77777777" w:rsidR="00BB6654" w:rsidRPr="00704E6A" w:rsidRDefault="00BB6654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cena.</w:t>
      </w:r>
    </w:p>
    <w:p w14:paraId="5AAA6CF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A50F0B" w14:textId="77777777" w:rsidR="0099201C" w:rsidRPr="00704E6A" w:rsidRDefault="0099201C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3.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Informacje wskazane w ust. 2 podaje się na liście neutralnej.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Informacje z listy zapisuje się czarną czcionką na białym arkuszu formatu A4, na którym zakazane jest umieszczanie jakichkolwiek ilustracji, zdjęć, pogrubionych napisów, kolorów, logotypów, symboli oraz innego tekstu, z zastrzeżeniem ust. 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Żadna informacja z listy nie może być wyróżniona, a wszystkie powinny być:</w:t>
      </w:r>
    </w:p>
    <w:p w14:paraId="493ED696" w14:textId="16CC6D2D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uporządkowane w kolejności alfabetycznej według marki wyrobu;</w:t>
      </w:r>
    </w:p>
    <w:p w14:paraId="0ABB1E2C" w14:textId="48624B42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podane w następującej kolejności: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marka wyrobu, nazwa wyrobu, ilość, waga, objętość i cena;</w:t>
      </w:r>
    </w:p>
    <w:p w14:paraId="4781441E" w14:textId="77777777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zapisane czcionką Helvetica o wielkości nieprzekraczającej 14 punktów typograficznych; i</w:t>
      </w:r>
      <w:r>
        <w:rPr>
          <w:sz w:val="24"/>
          <w:szCs w:val="24"/>
        </w:rPr>
        <w:t xml:space="preserve"> </w:t>
      </w:r>
    </w:p>
    <w:p w14:paraId="451F0D56" w14:textId="77777777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rFonts w:cstheme="minorHAnsi"/>
        </w:rPr>
      </w:pPr>
      <w:r>
        <w:rPr>
          <w:sz w:val="24"/>
          <w:szCs w:val="24"/>
        </w:rPr>
        <w:t xml:space="preserve">wyrównane do lewej strony.</w:t>
      </w:r>
    </w:p>
    <w:p w14:paraId="5FC1443B" w14:textId="21DE1CD2" w:rsidR="00BB6654" w:rsidRPr="00704E6A" w:rsidRDefault="00BB6654" w:rsidP="009920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62AE95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4.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Lista neutralna określona w ust. 3 musi zawierać informację o granicy wiekowej do sprzedaży papierosów elektronicznych i pojemników zapasowych z nikotyną i bez nikotyny, por. § 15 ust. 1 ustawy o papierosach elektronicznych itd. przygotowanej przez Duński Urząd Zdrowia.</w:t>
      </w:r>
      <w:r>
        <w:rPr>
          <w:sz w:val="24"/>
          <w:szCs w:val="24"/>
        </w:rPr>
        <w:t xml:space="preserve"> </w:t>
      </w:r>
    </w:p>
    <w:p w14:paraId="77468B9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6609A7" w14:textId="4DC61D01" w:rsidR="00BB6654" w:rsidRPr="00704E6A" w:rsidRDefault="0054510B" w:rsidP="00BB6654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5.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Każdy wyrób z listy neutralnej określonej w ust. 3 musi posiadać numer.</w:t>
      </w:r>
    </w:p>
    <w:p w14:paraId="2D8D37C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A21E58" w14:textId="44539B09" w:rsidR="00BB6654" w:rsidRPr="00704E6A" w:rsidRDefault="0054510B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Informacje podane na liście neutralnej zgodnie z ust. 3 mogą zostać podzielone na jedną lub więcej kategorii, mianowicie „papierosy elektroniczne”, „pojemniki zapasowe z płynem”, „opakowania łączone” i „inne”.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Każdy wyrób umieszcza się w odpowiedniej kategorii.</w:t>
      </w:r>
      <w:r>
        <w:rPr>
          <w:sz w:val="24"/>
          <w:szCs w:val="24"/>
        </w:rPr>
        <w:t xml:space="preserve"> </w:t>
      </w:r>
    </w:p>
    <w:p w14:paraId="261EF89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D3481DE" w14:textId="70726CE6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7.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fizycznych punktach sprzedaży lista neutralna sporządzona zgodnie z ust. 3 może zostać okazana na żądanie kupującego lub być umieszczona przy kasie obsługiwanej przez sprzedawcę.</w:t>
      </w:r>
    </w:p>
    <w:p w14:paraId="3266EB8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316677A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5</w:t>
      </w:r>
    </w:p>
    <w:p w14:paraId="4308304F" w14:textId="77777777" w:rsidR="00BB6654" w:rsidRPr="00704E6A" w:rsidRDefault="00BB6654" w:rsidP="00704E6A">
      <w:pPr>
        <w:keepNext/>
        <w:keepLines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Sprzedaż prowadzona przy pomocy rozwiązań cyfrowych</w:t>
        <w:cr/>
        <w:br/>
        <w:t xml:space="preserve">i online</w:t>
      </w:r>
    </w:p>
    <w:p w14:paraId="2C3211D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b/>
        </w:rPr>
        <w:t xml:space="preserve">§ 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Zakaz umieszczania i prezentowania w widocznym miejscu</w:t>
        <w:cr/>
        <w:br/>
        <w:t xml:space="preserve">papierosów elektronicznych i pojemników zapasowych z nikotyną i bez nikotyny, o którym mowa w § 3 ust. 1 i 2, ma również zastosowanie do sprzedaży prowadzonej przy pomocy rozwiązań cyfrowych, takich jak strony internetowe sklepów detalicznych, sklepy internetowe, firmowe strony internetowe, strony firmowe w mediach społecznościowych i aplikacje.</w:t>
      </w:r>
      <w:r>
        <w:rPr>
          <w:sz w:val="24"/>
          <w:szCs w:val="24"/>
        </w:rPr>
        <w:t xml:space="preserve"> </w:t>
      </w:r>
    </w:p>
    <w:p w14:paraId="17E3B928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642E8A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W punktach sprzedaży, o których mowa w ust. 1, kupującym mogą być udostępniane neutralne informacje o rodzaju i cenie sprzedawanych papierosów elektronicznych i pojemników zapasowych z nikotyną i bez nikotyny.</w:t>
      </w:r>
    </w:p>
    <w:p w14:paraId="1FE4468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373810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Informacje dozwolone zgodnie z ust. 2 to:</w:t>
      </w:r>
    </w:p>
    <w:p w14:paraId="512A3319" w14:textId="77777777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marka i nazwa wyrobu,</w:t>
      </w:r>
      <w:r>
        <w:rPr>
          <w:sz w:val="24"/>
          <w:szCs w:val="24"/>
        </w:rPr>
        <w:t xml:space="preserve"> </w:t>
      </w:r>
    </w:p>
    <w:p w14:paraId="5AF73772" w14:textId="5CC45315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ilość, waga i objętość oraz</w:t>
      </w:r>
      <w:r>
        <w:rPr>
          <w:sz w:val="24"/>
          <w:szCs w:val="24"/>
        </w:rPr>
        <w:t xml:space="preserve"> </w:t>
      </w:r>
    </w:p>
    <w:p w14:paraId="591709CC" w14:textId="77777777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cena.</w:t>
      </w:r>
    </w:p>
    <w:p w14:paraId="63DFBAD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BA96F3C" w14:textId="77777777" w:rsidR="00D543FF" w:rsidRDefault="00BB6654" w:rsidP="007A2FDC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4.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Informacje określone w ust. 3 nie mogą być podane z użyciem ilustracji, zdjęć, kolorów, logotypów, symboli ani innego tekstu.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Wyjątkiem od tego przepisu jest symbol „dodaj do koszyka”.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Żadna z informacji na liście nie może być wyróżniona, a wszystkie powinny być zapisane czcionką tego samego typu i tej samej wielkości co ogólnie stosowana do prezentacji produktów na stronie internetowej.</w:t>
      </w:r>
    </w:p>
    <w:p w14:paraId="44E7930B" w14:textId="3E1D2C96" w:rsidR="007A2FDC" w:rsidRPr="00704E6A" w:rsidRDefault="007A2FDC" w:rsidP="007A2FDC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Informacje, o których mowa w ust. 4, nie mogą sugerować, że papierosy elektroniczne i pojemniki zapasowe z nikotyną i bez nikotyny mają korzystny wpływ na zdrowie, są mniej szkodliwe od innych wyrobów, pomagają rzucić palenie lub wywołują inne pozytywne skutki lub korzyści.</w:t>
      </w:r>
      <w:r>
        <w:rPr>
          <w:sz w:val="24"/>
          <w:szCs w:val="24"/>
        </w:rPr>
        <w:t xml:space="preserve"> </w:t>
      </w:r>
    </w:p>
    <w:p w14:paraId="78C8A825" w14:textId="77777777" w:rsidR="007A2FDC" w:rsidRPr="00704E6A" w:rsidRDefault="007A2FDC" w:rsidP="007A2FD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9C321F4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958192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3CA451C" w14:textId="07255785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Punkty sprzedaży, o których mowa w ust. 1, prowadzące lub oferujące sprzedaż papierosów elektronicznych i pojemników zapasowych z nikotyną i bez nikotyny, nie mogą umożliwiać klientom ani użytkownikom strony internetowej publikowanie zgłoszeń, ocen itp. odnoszących się do wyrobów objętych ust. 1, jeśli zgłoszenie itd. w jakikolwiek sposób może być widoczne lub dostępne dla osoby, która go dokonała lub osób niebędących pracownikami sklepu prowadzącego sprzedaż tych wyrobów.</w:t>
      </w:r>
      <w:r>
        <w:rPr>
          <w:sz w:val="24"/>
          <w:szCs w:val="24"/>
        </w:rPr>
        <w:t xml:space="preserve"> </w:t>
      </w:r>
    </w:p>
    <w:p w14:paraId="61CA2FB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4966D6F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6</w:t>
      </w:r>
    </w:p>
    <w:p w14:paraId="39F0F3E5" w14:textId="77777777" w:rsidR="00BB6654" w:rsidRPr="00704E6A" w:rsidRDefault="00BB6654" w:rsidP="00704E6A">
      <w:pPr>
        <w:keepNext/>
        <w:keepLines/>
        <w:spacing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Sklepy fizyczne wyspecjalizowane w sprzedaży papierosów elektronicznych i pojemników zapasowych z nikotyną i bez nikotyny</w:t>
      </w:r>
    </w:p>
    <w:p w14:paraId="6BC97759" w14:textId="77777777" w:rsidR="00BB6654" w:rsidRPr="00D543FF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b/>
        </w:rPr>
        <w:t xml:space="preserve">§ 6.</w:t>
      </w:r>
      <w:r>
        <w:rPr>
          <w:sz w:val="24"/>
          <w:szCs w:val="24"/>
          <w:b/>
        </w:rPr>
        <w:t xml:space="preserve"> </w:t>
      </w:r>
      <w:r>
        <w:rPr>
          <w:sz w:val="24"/>
          <w:szCs w:val="24"/>
        </w:rPr>
        <w:t xml:space="preserve">Zakaz umieszczania i prezentowania w widocznym miejscu, o którym mowa w § 3 ust. 1 i 2, nie dotyczy sprzedaży papierosów elektronicznych i pojemników zapasowych z nikotyną i bez nikotyny w sklepach fizycznych wyspecjalizowanych w sprzedaży tych wyrobów.</w:t>
      </w:r>
      <w:r>
        <w:rPr>
          <w:sz w:val="24"/>
          <w:szCs w:val="24"/>
        </w:rPr>
        <w:t xml:space="preserve"> </w:t>
      </w:r>
    </w:p>
    <w:p w14:paraId="2AF4856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01AE5B7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Sklep fizyczny określony w ust. 1 uznaje się za wyspecjalizowany w sprzedaży papierosów elektronicznych i pojemników zapasowych z nikotyną i bez nikotyny, jeżeli sprzedaje wyłącznie lub głównie papierosy elektroniczne i pojemniki zapasowe z nikotyną i bez nikotyny.</w:t>
      </w:r>
    </w:p>
    <w:p w14:paraId="18F7D40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768DC45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Odstępstwo od zakazu umieszczania i prezentowania w widocznym miejscy ustanowionego w ust. 1 ma zastosowanie wyłącznie do papierosów elektronicznych i pojemników zapasowych z nikotyną i bez nikotyny.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Jeżeli sklep prowadzi sprzedaż innych produktów lub wyrobów tytoniowych, substytutów tytoniu lub wyrobów ziołowych do palenia, są one objęte zakazem zgodnie z § 3 ust. 1 i 2 lub § 2 ust. 1 i 2 rozporządzenia w sprawie zakazu umieszczania i prezentowania w widocznym miejscu wyrobów tytoniowych, substytutów tytoniu i wyrobów ziołowych do palenia.</w:t>
      </w:r>
    </w:p>
    <w:p w14:paraId="37B15BF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2A2245BC" w14:textId="47BAB919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Ust. 4.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Jeżeli sklep objęty ust. 1 prowadzi sprzedaż papierosów elektronicznych i pojemników zapasowych z nikotyną i bez nikotyny przy pomocy rozwiązań cyfrowych, takich jak strony internetowe sklepów detalicznych, sklepy internetowe, firmowe strony internetowe, strony firmowe w mediach społecznościowych i aplikacje, podlega przepisom § 5.</w:t>
      </w:r>
      <w:r>
        <w:rPr>
          <w:sz w:val="24"/>
          <w:szCs w:val="24"/>
        </w:rPr>
        <w:t xml:space="preserve"> </w:t>
      </w:r>
    </w:p>
    <w:p w14:paraId="7FDA14C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  <w:sz w:val="24"/>
          <w:szCs w:val="24"/>
        </w:rPr>
      </w:pPr>
    </w:p>
    <w:p w14:paraId="6C5D4F6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rFonts w:cstheme="minorHAnsi"/>
        </w:rPr>
      </w:pPr>
      <w:r>
        <w:rPr>
          <w:color w:val="000000" w:themeColor="text1"/>
          <w:sz w:val="24"/>
          <w:szCs w:val="24"/>
          <w:i/>
        </w:rPr>
        <w:t xml:space="preserve">Ust. 5.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 sklepie fizycznym objętym objętym ust. 1 zabronione jest umieszczanie reklam papierosów elektronicznych i pojemników zapasowych z nikotyną i bez nikotyny w miejscu sprzedaży, na wystawie i zewnętrznych ścianach sklepu.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Należy przez to rozumieć m.in.:</w:t>
      </w:r>
    </w:p>
    <w:p w14:paraId="52BBBBD1" w14:textId="77777777" w:rsidR="00BB6654" w:rsidRPr="00704E6A" w:rsidRDefault="00BB6654" w:rsidP="00BB66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color w:val="000000" w:themeColor="text1"/>
          <w:sz w:val="24"/>
          <w:szCs w:val="24"/>
          <w:rFonts w:cstheme="minorHAnsi"/>
        </w:rPr>
      </w:pPr>
      <w:r>
        <w:rPr>
          <w:sz w:val="24"/>
          <w:szCs w:val="24"/>
        </w:rPr>
        <w:t xml:space="preserve">wyróżnianie, w sposób pośredni lub bezpośredni, określonego wyrobu, nazwy firmy, ceny lub innej cechy papierosów elektronicznych i pojemników zapasowych z nikotyną i bez nikotyny przy pomocy szczególnego rodzaju oświetlenia, kolorystyki, ekspozycji wyrobu lub nazwy na półce sklepowej, aranżacji półek lub zdjęć; lub</w:t>
      </w:r>
      <w:r>
        <w:rPr>
          <w:sz w:val="24"/>
          <w:szCs w:val="24"/>
        </w:rPr>
        <w:t xml:space="preserve"> </w:t>
      </w:r>
    </w:p>
    <w:p w14:paraId="072130F3" w14:textId="77777777" w:rsidR="00BB6654" w:rsidRPr="00D543FF" w:rsidRDefault="00BB6654" w:rsidP="00BB6654">
      <w:pPr>
        <w:pStyle w:val="ListParagraph"/>
        <w:numPr>
          <w:ilvl w:val="0"/>
          <w:numId w:val="2"/>
        </w:numPr>
        <w:spacing w:line="240" w:lineRule="auto"/>
        <w:ind w:left="709"/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</w:rPr>
        <w:t xml:space="preserve">używanie ilustracji, zdjęć, kolorów, logotypów, symboli i innych znaków, które mogą sugerować konsumentowi, że takie wyroby mają korzystny wpływ na zdrowie, są mniej szkodliwe od innych, pomagają rzucić palenie lub wywołują inne pozytywne skutki lub korzyści.</w:t>
      </w:r>
      <w:r>
        <w:rPr>
          <w:rStyle w:val="tlid-translation"/>
          <w:sz w:val="24"/>
          <w:szCs w:val="24"/>
        </w:rPr>
        <w:t xml:space="preserve"> </w:t>
      </w:r>
    </w:p>
    <w:p w14:paraId="1F5F7C9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</w:rPr>
        <w:t xml:space="preserve">Ust. 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Nazwa fizycznego sklepu określonego w ust. 1 musi być umieszczona na ścianie zewnętrznej sklepu i mieć neutralny wygląd.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Nazwa sklepu nie może sama w sobie generować efektu reklamy.</w:t>
      </w:r>
    </w:p>
    <w:p w14:paraId="2D3BB46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/>
        </w:rPr>
      </w:pPr>
      <w:r>
        <w:rPr>
          <w:sz w:val="24"/>
          <w:szCs w:val="24"/>
          <w:i/>
        </w:rPr>
        <w:t xml:space="preserve">Ust. 7.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Odstępstwo od zakazu umieszczania i prezentowania w widocznym miejscy ustanowionego w ust. 1 nie pozwala sklepowi na umieszczanie i prezentowanie w sposób widoczny papierosów elektronicznych i pojemników zapasowych z nikotyną i bez nikotyny w miejscach innych niż sklep ani na rozpowszechnianie gazetek reklamowych i oferowanie darmowych produktów.</w:t>
      </w:r>
    </w:p>
    <w:p w14:paraId="66849D72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089909F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21F08C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7</w:t>
      </w:r>
    </w:p>
    <w:p w14:paraId="2BA0131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Automaty samoobsługowe</w:t>
      </w:r>
    </w:p>
    <w:p w14:paraId="3709CCCC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E028DB9" w14:textId="2462523E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  <w:b/>
        </w:rPr>
        <w:t xml:space="preserve">§ 7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Automaty wydające w systemie samoobsługowym opłacone uprzednio w kasie wyroby tytoniowe, substytuty tytoniu lub wyroby ziołowe do palenia, muszą mieć neutralny wygląd.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Oznaczenia marki, oznaczenia wariantu i ceny, które są podane na automacie, muszą być zapisane czarną czcionką Helvetica o wielkości nieprzekraczającej 14 punktów typograficznych.</w:t>
      </w:r>
    </w:p>
    <w:p w14:paraId="13039CF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0CAA8B40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  <w:i/>
        </w:rPr>
        <w:t xml:space="preserve">Ust. 2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 automacie, o którym mowa w ust. 1, zabronione jest:</w:t>
      </w:r>
    </w:p>
    <w:p w14:paraId="05ACDAF7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</w:rPr>
        <w:t xml:space="preserve">posiadanie lub umieszczanie znaków towarowych i firmowych oraz innych cech charakterystycznych dla tych wyrobów, w tym także zdjęć wyrobu;</w:t>
      </w:r>
    </w:p>
    <w:p w14:paraId="5358D87F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</w:rPr>
        <w:t xml:space="preserve">wyróżnianie informacji; i</w:t>
      </w:r>
    </w:p>
    <w:p w14:paraId="127664C5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</w:rPr>
        <w:t xml:space="preserve">posiadanie lub umieszczanie ilustracji, zdjęć, kolorów, logotypów, symboli i innych znaków, które mogą sugerować konsumentowi, że wyroby sprzedawane w tym automacie mają korzystny wpływ na zdrowie, są mniej szkodliwe od innych, pomagają rzucić palenie lub wywołują inne pozytywne skutki lub korzyści.</w:t>
      </w:r>
    </w:p>
    <w:p w14:paraId="63048AD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3A727BF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50B07E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233AF9D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8</w:t>
      </w:r>
    </w:p>
    <w:p w14:paraId="288F8D8A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Kary</w:t>
      </w:r>
    </w:p>
    <w:p w14:paraId="2635B83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E8914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 8.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O ile inne przepisy prawa nie przewidują wyższej kary, karze grzywny podlega ten, kto narusza zakaz ustanowiony w §§ 2 i 3 lub narusza przepisy §§ 4-7.</w:t>
      </w:r>
    </w:p>
    <w:p w14:paraId="7619802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B56E0BD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  <w:iCs/>
        </w:rPr>
        <w:t xml:space="preserve">Ust. 2.</w:t>
      </w:r>
      <w:r>
        <w:rPr>
          <w:sz w:val="24"/>
          <w:szCs w:val="24"/>
          <w:i/>
          <w:iCs/>
        </w:rPr>
        <w:t xml:space="preserve"> </w:t>
      </w:r>
      <w:r>
        <w:rPr>
          <w:sz w:val="24"/>
          <w:szCs w:val="24"/>
        </w:rPr>
        <w:t xml:space="preserve">Przedsiębiorstwa itp. (osoby prawne) mogą podlegać odpowiedzialności karnej zgodnie z przepisami rozdziału 5 kodeksu karnego.</w:t>
      </w:r>
    </w:p>
    <w:p w14:paraId="5EF89AE2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025AC35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Rozdział 7</w:t>
      </w:r>
    </w:p>
    <w:p w14:paraId="6F04C86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Wejście w życie</w:t>
      </w:r>
    </w:p>
    <w:p w14:paraId="2588210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68211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 8.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Niniejsze rozporządzenie wchodzi w życie z dniem 1 kwietnia 2021 r.</w:t>
      </w:r>
    </w:p>
    <w:p w14:paraId="1FCB8DB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F0844E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B472355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Ministerstwo Zdrowia i Osób Starszych, dnia</w:t>
      </w:r>
    </w:p>
    <w:p w14:paraId="53236B8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10E16A0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32AE0AD4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9E230E5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Magnus Heunicke</w:t>
      </w:r>
    </w:p>
    <w:p w14:paraId="557A9EC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/ Mie Saabye</w:t>
      </w:r>
    </w:p>
    <w:p w14:paraId="5C2A0D1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0"/>
          <w:szCs w:val="20"/>
        </w:rPr>
      </w:pPr>
    </w:p>
    <w:p w14:paraId="5445DCB0" w14:textId="77777777" w:rsidR="00BB6654" w:rsidRPr="00704E6A" w:rsidRDefault="00BB6654" w:rsidP="00BB6654"/>
    <w:p w14:paraId="17302CE6" w14:textId="77777777" w:rsidR="00BB6654" w:rsidRPr="00704E6A" w:rsidRDefault="00BB6654" w:rsidP="00BB6654"/>
    <w:p w14:paraId="2E3728AE" w14:textId="77777777" w:rsidR="00BB6654" w:rsidRPr="00704E6A" w:rsidRDefault="00BB6654" w:rsidP="00BB6654"/>
    <w:p w14:paraId="15206CBC" w14:textId="77777777" w:rsidR="00BB6654" w:rsidRPr="00704E6A" w:rsidRDefault="00BB6654" w:rsidP="00BB6654"/>
    <w:p w14:paraId="17F833C1" w14:textId="77777777" w:rsidR="00D47ADF" w:rsidRPr="00704E6A" w:rsidRDefault="00D543FF"/>
    <w:sectPr w:rsidR="00D47ADF" w:rsidRPr="00704E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67C54"/>
    <w:multiLevelType w:val="hybridMultilevel"/>
    <w:tmpl w:val="5B123D56"/>
    <w:lvl w:ilvl="0" w:tplc="04060011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D1E47AC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706E4"/>
    <w:multiLevelType w:val="hybridMultilevel"/>
    <w:tmpl w:val="38929066"/>
    <w:lvl w:ilvl="0" w:tplc="E19824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04DB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3B8"/>
    <w:multiLevelType w:val="hybridMultilevel"/>
    <w:tmpl w:val="6C706C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3F46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77970"/>
    <w:multiLevelType w:val="hybridMultilevel"/>
    <w:tmpl w:val="9FBA17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B43B6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1304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54"/>
    <w:rsid w:val="000F2720"/>
    <w:rsid w:val="001129D3"/>
    <w:rsid w:val="00133423"/>
    <w:rsid w:val="003072BA"/>
    <w:rsid w:val="0054510B"/>
    <w:rsid w:val="00704E6A"/>
    <w:rsid w:val="007253E1"/>
    <w:rsid w:val="007A2FDC"/>
    <w:rsid w:val="0099201C"/>
    <w:rsid w:val="00A332B7"/>
    <w:rsid w:val="00BB6654"/>
    <w:rsid w:val="00C9352B"/>
    <w:rsid w:val="00D5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DFC7"/>
  <w15:chartTrackingRefBased/>
  <w15:docId w15:val="{E1CEF491-932A-45F5-AB06-C716DEF9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BB6654"/>
  </w:style>
  <w:style w:type="paragraph" w:styleId="ListParagraph">
    <w:name w:val="List Paragraph"/>
    <w:basedOn w:val="Normal"/>
    <w:uiPriority w:val="34"/>
    <w:qFormat/>
    <w:rsid w:val="00BB66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6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Ersbøll Ross</dc:creator>
  <cp:keywords/>
  <dc:description/>
  <cp:lastModifiedBy>Diana STOICA</cp:lastModifiedBy>
  <cp:revision>2</cp:revision>
  <dcterms:created xsi:type="dcterms:W3CDTF">2020-09-30T11:28:00Z</dcterms:created>
  <dcterms:modified xsi:type="dcterms:W3CDTF">2020-09-30T11:37:00Z</dcterms:modified>
</cp:coreProperties>
</file>