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de enero de 2021. N.º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Orden sobre la prohibición de la publicidad y la colocación y exposición, etc. de manera visible de cigarrillos electrónicos y envases de recarga con y sin nicotina</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0452DEDB" w:rsidR="00F01996" w:rsidRDefault="00F01996" w:rsidP="00F01996">
      <w:pPr>
        <w:autoSpaceDE w:val="0"/>
        <w:autoSpaceDN w:val="0"/>
        <w:adjustRightInd w:val="0"/>
        <w:spacing w:after="0" w:line="240" w:lineRule="auto"/>
        <w:rPr>
          <w:rFonts w:ascii="Calibri" w:hAnsi="Calibri"/>
          <w:color w:val="000000"/>
          <w:sz w:val="24"/>
        </w:rPr>
      </w:pPr>
      <w:r>
        <w:rPr>
          <w:sz w:val="24"/>
        </w:rPr>
        <w:t>De conformidad con el artículo 18 y el artículo18 bis, apartado 4, de la Ley sobre la prohibición de los cigarrillos electrónicos, etc. (véase la Ley n.</w:t>
      </w:r>
      <w:r>
        <w:rPr>
          <w:rFonts w:ascii="Calibri" w:hAnsi="Calibri"/>
          <w:color w:val="000000"/>
          <w:sz w:val="24"/>
        </w:rPr>
        <w:t>º 426, de 18 de mayo de 2016, sobre los cigarrillos electrónicos, etc.), en su versión modificada por la Ley n.º 2071 de 21 de diciembre de 2020, se establece lo siguiente:</w:t>
      </w:r>
    </w:p>
    <w:p w14:paraId="7A3C197F" w14:textId="77777777" w:rsidR="0068093B" w:rsidRDefault="0068093B" w:rsidP="00F01996">
      <w:pPr>
        <w:autoSpaceDE w:val="0"/>
        <w:autoSpaceDN w:val="0"/>
        <w:adjustRightInd w:val="0"/>
        <w:spacing w:after="0" w:line="240" w:lineRule="auto"/>
        <w:rPr>
          <w:rFonts w:ascii="Calibri" w:hAnsi="Calibri" w:cs="Calibri"/>
          <w:color w:val="000000"/>
          <w:sz w:val="24"/>
          <w:szCs w:val="24"/>
        </w:rPr>
      </w:pPr>
    </w:p>
    <w:p w14:paraId="6488B9B7" w14:textId="600BC1F4" w:rsidR="00F01996" w:rsidRPr="007E53B4" w:rsidRDefault="00CA372F" w:rsidP="00F01996">
      <w:pPr>
        <w:autoSpaceDE w:val="0"/>
        <w:autoSpaceDN w:val="0"/>
        <w:adjustRightInd w:val="0"/>
        <w:spacing w:after="0" w:line="240" w:lineRule="auto"/>
        <w:jc w:val="center"/>
        <w:rPr>
          <w:sz w:val="24"/>
        </w:rPr>
      </w:pPr>
      <w:r>
        <w:rPr>
          <w:sz w:val="24"/>
        </w:rPr>
        <w:t>Capítulo</w:t>
      </w:r>
      <w:r w:rsidR="00F01996">
        <w:rPr>
          <w:sz w:val="24"/>
        </w:rPr>
        <w:t> 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Ámbito de aplicación y definiciones</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bookmarkStart w:id="0" w:name="_Hlk90282372"/>
      <w:r>
        <w:rPr>
          <w:b/>
          <w:sz w:val="24"/>
        </w:rPr>
        <w:t>Artículo </w:t>
      </w:r>
      <w:bookmarkEnd w:id="0"/>
      <w:r>
        <w:rPr>
          <w:b/>
          <w:sz w:val="24"/>
        </w:rPr>
        <w:t xml:space="preserve">1. </w:t>
      </w:r>
      <w:r>
        <w:rPr>
          <w:sz w:val="24"/>
        </w:rPr>
        <w:t>Esta Orden se aplica a:</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cigarrillos electrónicos y envases de recarga que contengan nicotina que no estén autorizados por una autorización de comercialización en virtud de la Ley de medicamentos o de conformidad con las normas de la UE por las que se establecen procedimientos comunitarios para la autorización de medicamentos de uso humano o que se comercialicen como productos sanitarios con el marcado CE de conformidad con la Orden sobre productos sanitarios, y</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cigarrillos electrónicos y envases de recarga sin nicotina.</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Apartado 2.</w:t>
      </w:r>
      <w:r>
        <w:rPr>
          <w:sz w:val="24"/>
        </w:rPr>
        <w:t xml:space="preserve"> A efectos de la presente Orden, se aplicarán las siguientes definiciones:</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«cigarrillo electrónico»: un producto, o cualquiera de sus componentes, incluidos un cartucho, un depósito y el dispositivo sin cartucho o depósito, que pueda utilizarse para el consumo de vapor que contenga o no nicotina a través de una boquilla. Los cigarrillos electrónicos pueden ser desechables o recargables mediante un envase de recarga y un depósito de recarga, o recargables con cartuchos de un solo uso;</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«envase de recarga»: un receptáculo de líquido que contiene nicotina o de líquido que no contiene nicotina, el cual puede utilizarse para recargar un cigarrillo electrónico con o sin nicotina.</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695DB625" w:rsidR="00F01996" w:rsidRPr="007E53B4" w:rsidRDefault="00CA372F" w:rsidP="00F01996">
      <w:pPr>
        <w:autoSpaceDE w:val="0"/>
        <w:autoSpaceDN w:val="0"/>
        <w:adjustRightInd w:val="0"/>
        <w:spacing w:after="0" w:line="240" w:lineRule="auto"/>
        <w:jc w:val="center"/>
        <w:rPr>
          <w:sz w:val="24"/>
        </w:rPr>
      </w:pPr>
      <w:r>
        <w:rPr>
          <w:sz w:val="24"/>
        </w:rPr>
        <w:t>Capítulo</w:t>
      </w:r>
      <w:r w:rsidR="00F01996">
        <w:rPr>
          <w:sz w:val="24"/>
        </w:rPr>
        <w:t>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Publicidad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Artículo 2. </w:t>
      </w:r>
      <w:r>
        <w:rPr>
          <w:sz w:val="24"/>
        </w:rPr>
        <w:t>Se prohíbe toda forma de publicidad de cigarrillos electrónicos y de envases de recarga (véase el artículo 16, apartado 1, de la Ley sobre los cigarrillos electrónicos, etc.).</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Apartado 2. </w:t>
      </w:r>
      <w:r>
        <w:rPr>
          <w:sz w:val="24"/>
        </w:rPr>
        <w:t>La prohibición de la publicidad mencionada en el subapartado 1 incluye una prohibición de:</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el uso de un nombre, marca, símbolo u otro símbolo principalmente conocido de los cigarrillos electrónicos y los envases de recarga, en la publicidad de otros productos y servicios;</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la comercialización de cigarrillos electrónicos y envases de recarga con la ayuda de un nombre, marca, símbolo u otra característica conocida o utilizada como marca para otros bienes y servicios;</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t xml:space="preserve">la comercialización </w:t>
      </w:r>
      <w:r>
        <w:rPr>
          <w:rFonts w:ascii="Calibri" w:hAnsi="Calibri"/>
          <w:color w:val="000000"/>
          <w:sz w:val="24"/>
        </w:rPr>
        <w:t>de cigarrillos electrónicos y envases de recarga con ayuda de nombres, marcas, símbolos, figuras o similares que se dirigen principalmente a niños y jóvenes menores de 18 años;</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la utilización de una disposición, diseño o combinaciones de colores particulares asociados a determinados cigarrillos electrónicos y envases de recarga;</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el uso de cigarrillos electrónicos y envases de recarga reconocibles en la publicidad de otros productos y servicios.</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43886349" w:rsidR="00350BF0" w:rsidRDefault="00CA372F" w:rsidP="00F01996">
      <w:pPr>
        <w:autoSpaceDE w:val="0"/>
        <w:autoSpaceDN w:val="0"/>
        <w:adjustRightInd w:val="0"/>
        <w:spacing w:after="0" w:line="240" w:lineRule="auto"/>
        <w:rPr>
          <w:sz w:val="24"/>
        </w:rPr>
      </w:pPr>
      <w:r>
        <w:rPr>
          <w:i/>
          <w:sz w:val="24"/>
        </w:rPr>
        <w:t xml:space="preserve">Apartado </w:t>
      </w:r>
      <w:r w:rsidR="00F01996">
        <w:rPr>
          <w:i/>
          <w:sz w:val="24"/>
        </w:rPr>
        <w:t>3</w:t>
      </w:r>
      <w:r>
        <w:rPr>
          <w:i/>
          <w:sz w:val="24"/>
        </w:rPr>
        <w:t>.</w:t>
      </w:r>
      <w:r w:rsidR="00F01996">
        <w:rPr>
          <w:i/>
          <w:sz w:val="24"/>
        </w:rPr>
        <w:t xml:space="preserve"> </w:t>
      </w:r>
      <w:r w:rsidR="00F01996">
        <w:rPr>
          <w:sz w:val="24"/>
        </w:rPr>
        <w:t>No obstante, la prohibición del subapartado 1 no se aplicará a lo siguiente:</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publicidad en la prensa y otras publicaciones impresas destinadas exclusivamente a profesionales de la industria de cigarrillos electrónicos o envases de recarga y en publicaciones impresas y publicadas en terceros países, siempre que no estén destinadas principalmente al mercado de la Unión.</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El uso de un nombre que, antes del 7 de junio de 2016, se utilizaba tanto para los cigarrillos electrónicos y los envases de recarga como para otros bienes o servicios, para anunciar esos otros productos, siempre que el nombre aparezca en una forma que se distinga claramente de la que aparece en el cigarrillo electrónico </w:t>
      </w:r>
      <w:r>
        <w:rPr>
          <w:rFonts w:ascii="Calibri" w:hAnsi="Calibri"/>
          <w:color w:val="000000"/>
          <w:sz w:val="24"/>
        </w:rPr>
        <w:t>y el envase de recarga</w:t>
      </w:r>
      <w:r>
        <w:rPr>
          <w:sz w:val="24"/>
        </w:rPr>
        <w:t>;</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el uso de un nombre conocido de cigarrillos electrónicos en la publicidad de otros bienes y servicios, si los otros bienes o servicios solo se comercializan en una zona geográfica limitada.</w:t>
      </w: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2AE24C97" w:rsidR="00F01996" w:rsidRPr="00202056" w:rsidRDefault="00CA372F" w:rsidP="00F01996">
      <w:pPr>
        <w:autoSpaceDE w:val="0"/>
        <w:autoSpaceDN w:val="0"/>
        <w:adjustRightInd w:val="0"/>
        <w:spacing w:after="0" w:line="240" w:lineRule="auto"/>
        <w:jc w:val="center"/>
        <w:rPr>
          <w:sz w:val="24"/>
        </w:rPr>
      </w:pPr>
      <w:r>
        <w:rPr>
          <w:sz w:val="24"/>
        </w:rPr>
        <w:t xml:space="preserve">Capítulo </w:t>
      </w:r>
      <w:r w:rsidR="00F01996">
        <w:rPr>
          <w:sz w:val="24"/>
        </w:rPr>
        <w:t>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Prohibición de la colocación y exposición de manera visible para los puntos de venta físicos</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245E7F0B" w:rsidR="00F01996" w:rsidRPr="005124ED" w:rsidRDefault="00CA372F" w:rsidP="00F01996">
      <w:pPr>
        <w:autoSpaceDE w:val="0"/>
        <w:autoSpaceDN w:val="0"/>
        <w:adjustRightInd w:val="0"/>
        <w:spacing w:after="0" w:line="240" w:lineRule="auto"/>
        <w:rPr>
          <w:rStyle w:val="tlid-translation"/>
          <w:rFonts w:cstheme="minorHAnsi"/>
          <w:color w:val="000000" w:themeColor="text1"/>
          <w:sz w:val="24"/>
          <w:szCs w:val="24"/>
        </w:rPr>
      </w:pPr>
      <w:r>
        <w:rPr>
          <w:b/>
          <w:sz w:val="24"/>
        </w:rPr>
        <w:t>Artículo </w:t>
      </w:r>
      <w:r w:rsidR="00F01996">
        <w:rPr>
          <w:b/>
          <w:sz w:val="24"/>
        </w:rPr>
        <w:t xml:space="preserve">3. </w:t>
      </w:r>
      <w:r w:rsidR="00F01996">
        <w:rPr>
          <w:sz w:val="24"/>
        </w:rPr>
        <w:t>Se prohíbe la colocación y exposición de manera visible de cigarrillos electrónicos y envases de recarga en los puntos de venta</w:t>
      </w:r>
      <w:r w:rsidR="00F01996">
        <w:rPr>
          <w:rStyle w:val="tlid-translation"/>
          <w:color w:val="000000" w:themeColor="text1"/>
          <w:sz w:val="24"/>
        </w:rPr>
        <w:t>. No obstante, podrá realizarse la presentación del surtido previa petición del comprador.</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Apartado 2. </w:t>
      </w:r>
      <w:r>
        <w:rPr>
          <w:sz w:val="24"/>
        </w:rPr>
        <w:t xml:space="preserve">Los productos destinados a ser utilizados en conjunto con los productos cubiertos por el apartado 1 también están incluidos en la prohibición del apartado 1. </w:t>
      </w:r>
    </w:p>
    <w:p w14:paraId="6488B9DD" w14:textId="7D58C4BE" w:rsidR="00F01996" w:rsidRDefault="00F01996" w:rsidP="00F01996">
      <w:pPr>
        <w:autoSpaceDE w:val="0"/>
        <w:autoSpaceDN w:val="0"/>
        <w:adjustRightInd w:val="0"/>
        <w:spacing w:after="0" w:line="240" w:lineRule="auto"/>
        <w:rPr>
          <w:sz w:val="24"/>
        </w:rPr>
      </w:pPr>
      <w:r>
        <w:rPr>
          <w:i/>
          <w:sz w:val="24"/>
        </w:rPr>
        <w:t>Apartado 3.</w:t>
      </w:r>
      <w:r>
        <w:rPr>
          <w:sz w:val="24"/>
        </w:rPr>
        <w:t xml:space="preserve"> La prohibición del apartado 2 incluye, entre otros, los cargadores, los envases de recarga vacíos, los envases, las baterías o los aromatizantes. La prohibición del apartado 2 no incluye los productos que tienen un uso más general, a menos que estén específicamente diseñados o comercializados con referencia a los cigarrillos electrónicos y los envases de recarga.</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Apartado 4. </w:t>
      </w:r>
      <w:r>
        <w:rPr>
          <w:sz w:val="24"/>
        </w:rPr>
        <w:t>En cumplimiento de la prohibición de los apartados 1 y 2, queda prohibido:</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publicitar o anunciar directa o indirectamente que </w:t>
      </w:r>
      <w:r>
        <w:rPr>
          <w:sz w:val="24"/>
        </w:rPr>
        <w:t xml:space="preserve">se venden </w:t>
      </w:r>
      <w:r>
        <w:rPr>
          <w:rStyle w:val="tlid-translation"/>
          <w:color w:val="000000" w:themeColor="text1"/>
          <w:sz w:val="24"/>
        </w:rPr>
        <w:t>en el punto de venta</w:t>
      </w:r>
      <w:r>
        <w:rPr>
          <w:sz w:val="24"/>
        </w:rPr>
        <w:t xml:space="preserve"> cigarrillos electrónicos y envases de recarga;</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utilizar texto, ilustraciones, imágenes, colores, logotipos, símbolos u otros medios para dar al consumidor la impresión de que se hace referencia a productos o categorías de productos comprendidos en los apartados 1 y 2, o para dar la impresión de que esos </w:t>
      </w:r>
      <w:r>
        <w:rPr>
          <w:rStyle w:val="tlid-translation"/>
          <w:color w:val="000000" w:themeColor="text1"/>
          <w:sz w:val="24"/>
        </w:rPr>
        <w:lastRenderedPageBreak/>
        <w:t xml:space="preserve">productos son beneficiosos para la salud, menos perjudiciales que otros productos, </w:t>
      </w:r>
      <w:r>
        <w:rPr>
          <w:sz w:val="24"/>
        </w:rPr>
        <w:t xml:space="preserve">sirven de ayuda para dejar de fumar </w:t>
      </w:r>
      <w:r>
        <w:rPr>
          <w:rStyle w:val="tlid-translation"/>
          <w:color w:val="000000" w:themeColor="text1"/>
          <w:sz w:val="24"/>
        </w:rPr>
        <w:t xml:space="preserve">o tienen otros efectos beneficiosos o ventajas; o </w:t>
      </w:r>
    </w:p>
    <w:p w14:paraId="6488B9E3" w14:textId="08AC3830" w:rsidR="00F01996" w:rsidRPr="0068093B"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dar a esos productos protagonismo por el color, una iluminación especial o similares en comparación con el resto de los puntos de venta.  </w:t>
      </w: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1D6EB201" w:rsidR="00F01996" w:rsidRPr="00202056" w:rsidRDefault="00CA372F" w:rsidP="00F01996">
      <w:pPr>
        <w:autoSpaceDE w:val="0"/>
        <w:autoSpaceDN w:val="0"/>
        <w:adjustRightInd w:val="0"/>
        <w:spacing w:after="0" w:line="240" w:lineRule="auto"/>
        <w:jc w:val="center"/>
        <w:rPr>
          <w:sz w:val="24"/>
        </w:rPr>
      </w:pPr>
      <w:r>
        <w:rPr>
          <w:sz w:val="24"/>
        </w:rPr>
        <w:t>Capítulo </w:t>
      </w:r>
      <w:r w:rsidR="00F01996">
        <w:rPr>
          <w:sz w:val="24"/>
        </w:rPr>
        <w:t>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Información neutra sobre productos y precios para los puntos de venta físicos</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Artículo 4. </w:t>
      </w:r>
      <w:r>
        <w:rPr>
          <w:sz w:val="24"/>
        </w:rPr>
        <w:t>Los puntos de venta físicos podrán dar a un comprador una lista de información neutra sobre qué cigarrillos electrónicos y envases de recarga se venden en el punto de venta y el precio de los productos.</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Apartado 2.</w:t>
      </w:r>
      <w:r>
        <w:rPr>
          <w:sz w:val="24"/>
        </w:rPr>
        <w:t xml:space="preserve"> La información permitida en el apartado 1 incluye:</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marca y nombre del producto;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número, peso, tamaño y volumen; y</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precio.</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Apartado 3. </w:t>
      </w:r>
      <w:r>
        <w:rPr>
          <w:sz w:val="24"/>
        </w:rPr>
        <w:t>La información de la lista incluida en el apartado 2 se mostrará en texto negro sobre una hoja blanca A4 o menor que no podrá contener ilustraciones, imágenes, colores, logotipos, símbolos u otros textos, salvo lo dispuesto en el apartado 4. No podrá darse mayor prominencia ninguna información de la lista, y la información deberá:</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aparecer en orden alfabético según la marca;</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figurar para cada producto en la secuencia: marca, nombre del producto, número, peso, tamaño, volumen y precio; y</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mostrarse con la misma fuente y el mismo tamaño de fuente. El tamaño de la fuente no podrá exceder de 14 puntos.</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Apartado 4. </w:t>
      </w:r>
      <w:r>
        <w:rPr>
          <w:sz w:val="24"/>
        </w:rPr>
        <w:t xml:space="preserve">La lista de conformidad con el apartado 3 contendrá un gráfico con el límite de edad para la venta de cigarrillos electrónicos y envases de recarga (véase el artículo 15, apartado 1 de la Ley sobre los cigarrillos electrónicos, etc.) elaborado por la Autoridad sanitaria danesa.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Apartado 5. </w:t>
      </w:r>
      <w:r>
        <w:rPr>
          <w:sz w:val="24"/>
        </w:rPr>
        <w:t>A cada producto de la lista del apartado 3 se le podrá asignar un número.</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Apartado 6.</w:t>
      </w:r>
      <w:r>
        <w:rPr>
          <w:sz w:val="24"/>
        </w:rPr>
        <w:t xml:space="preserve"> La lista del apartado 3 podrá dividirse en una o más de las siguientes categorías: «Cigarrillos electrónicos», «Envases de recarga», «Equipos electrónicos para cigarrillos» y «Otros». Las categorías de la lista pueden subdividirse en productos con y sin nicotina. La clasificación en las categorías se ajustará a las definiciones de cigarrillos electrónicos y envases de recarga que figuran en la Ley sobre los cigarrillos electrónicos, etc.</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Apartado 7.</w:t>
      </w:r>
      <w:r>
        <w:rPr>
          <w:sz w:val="24"/>
        </w:rPr>
        <w:t xml:space="preserve"> La lista del apartado 3 podrá mostrarse a petición de un comprador o exponerse en una caja de venta atendida.</w:t>
      </w: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7B1F583D" w14:textId="77777777" w:rsidR="00CA372F" w:rsidRDefault="00CA372F" w:rsidP="00F01996">
      <w:pPr>
        <w:autoSpaceDE w:val="0"/>
        <w:autoSpaceDN w:val="0"/>
        <w:adjustRightInd w:val="0"/>
        <w:spacing w:after="0" w:line="240" w:lineRule="auto"/>
        <w:jc w:val="center"/>
        <w:rPr>
          <w:sz w:val="24"/>
        </w:rPr>
      </w:pPr>
      <w:bookmarkStart w:id="1" w:name="_Hlk90282353"/>
    </w:p>
    <w:p w14:paraId="22CEAECD" w14:textId="77777777" w:rsidR="0068093B" w:rsidRDefault="0068093B" w:rsidP="00F01996">
      <w:pPr>
        <w:autoSpaceDE w:val="0"/>
        <w:autoSpaceDN w:val="0"/>
        <w:adjustRightInd w:val="0"/>
        <w:spacing w:after="0" w:line="240" w:lineRule="auto"/>
        <w:jc w:val="center"/>
        <w:rPr>
          <w:sz w:val="24"/>
        </w:rPr>
      </w:pPr>
    </w:p>
    <w:p w14:paraId="6488B9FC" w14:textId="51F44382" w:rsidR="00F01996" w:rsidRPr="00202056" w:rsidRDefault="00F01996" w:rsidP="00F01996">
      <w:pPr>
        <w:autoSpaceDE w:val="0"/>
        <w:autoSpaceDN w:val="0"/>
        <w:adjustRightInd w:val="0"/>
        <w:spacing w:after="0" w:line="240" w:lineRule="auto"/>
        <w:jc w:val="center"/>
        <w:rPr>
          <w:sz w:val="24"/>
        </w:rPr>
      </w:pPr>
      <w:r>
        <w:rPr>
          <w:sz w:val="24"/>
        </w:rPr>
        <w:lastRenderedPageBreak/>
        <w:t>Capítulo</w:t>
      </w:r>
      <w:bookmarkEnd w:id="1"/>
      <w:r>
        <w:rPr>
          <w:sz w:val="24"/>
        </w:rPr>
        <w:t> 5</w:t>
      </w:r>
    </w:p>
    <w:p w14:paraId="6488B9FD" w14:textId="77777777" w:rsidR="00F01996" w:rsidRPr="00202056" w:rsidRDefault="00F01996" w:rsidP="00F01996">
      <w:pPr>
        <w:jc w:val="center"/>
        <w:rPr>
          <w:i/>
          <w:sz w:val="24"/>
        </w:rPr>
      </w:pPr>
      <w:r>
        <w:rPr>
          <w:i/>
          <w:sz w:val="24"/>
        </w:rPr>
        <w:t>Venta en línea y por soluciones digitales</w:t>
      </w:r>
    </w:p>
    <w:p w14:paraId="6488B9FE" w14:textId="627370A2" w:rsidR="00F01996" w:rsidRPr="005124ED" w:rsidRDefault="00CA372F" w:rsidP="00F01996">
      <w:pPr>
        <w:autoSpaceDE w:val="0"/>
        <w:autoSpaceDN w:val="0"/>
        <w:adjustRightInd w:val="0"/>
        <w:spacing w:after="0" w:line="240" w:lineRule="auto"/>
        <w:rPr>
          <w:rFonts w:cstheme="minorHAnsi"/>
          <w:i/>
          <w:sz w:val="24"/>
          <w:szCs w:val="24"/>
        </w:rPr>
      </w:pPr>
      <w:r>
        <w:rPr>
          <w:b/>
          <w:sz w:val="24"/>
        </w:rPr>
        <w:t xml:space="preserve">Artículo </w:t>
      </w:r>
      <w:r w:rsidR="00F01996">
        <w:rPr>
          <w:b/>
          <w:sz w:val="24"/>
        </w:rPr>
        <w:t>5.</w:t>
      </w:r>
      <w:r w:rsidR="00F01996">
        <w:rPr>
          <w:sz w:val="24"/>
        </w:rPr>
        <w:t xml:space="preserve"> La prohibición de colocar y exponer de forma visible los cigarrillos electrónicos y los envases de recarga en virtud del artículo 3, apartados 1 a 3, también se aplicará a la venta en línea y mediante soluciones digitales, como los sitios web de los minoristas, las tiendas de internet, los sitios web de empresas, los sitios web de empresas en las redes sociales y las aplicaciones que vendan o que estén dirigidas a los consumidores.</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Apartado 2. </w:t>
      </w:r>
      <w:r>
        <w:rPr>
          <w:sz w:val="24"/>
        </w:rPr>
        <w:t xml:space="preserve">Los puntos de venta incluidos en el apartado 1 podrán dar al comprador información neutra sobre qué cigarrillos electrónicos y envases de recarga se venden en el punto de venta y el precio de los productos. Además, puede facilitarse información en el embalaje de los productos, así como información técnica que permita al cliente evaluar con qué otros productos es compatible.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Apartado 3.</w:t>
      </w:r>
      <w:r>
        <w:rPr>
          <w:sz w:val="24"/>
        </w:rPr>
        <w:t xml:space="preserve"> La información a que se refiere el apartado 2 no podrá dar la impresión de que los cigarrillos electrónicos o líquidos en envases de recarga tienen un beneficio para la salud, sean menos nocivos que otros productos o tengan otros efectos beneficiosos o ventajas.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Apartado 4.</w:t>
      </w:r>
      <w:r>
        <w:rPr>
          <w:sz w:val="24"/>
        </w:rPr>
        <w:t xml:space="preserve"> La información a que se refiere el apartado 2 no podrá figurar en la parte frontal del punto de venta, pero sí se podrán mostrar las categorías «Cigarrillos electrónicos», «Envases de recarga», «Equipos electrónicos para cigarrillos» y «Otros». Las categorías pueden subdividirse en productos con y sin nicotina.</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Apartado 5. </w:t>
      </w:r>
      <w:r>
        <w:rPr>
          <w:sz w:val="24"/>
        </w:rPr>
        <w:t>La información incluida en el apartado 2 no podrá mostrarse con o acompañada de ilustraciones, imágenes, colores, logotipos, símbolos u otros textos. No se puede dar prominencia a ninguna información ni ser visible, y la información debe mostrarse con el mismo color, tipo de fuente y tamaño de fuente que se utiliza generalmente en la presentación de los productos en el sitio web.</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Apartado 6.</w:t>
      </w:r>
      <w:r>
        <w:rPr>
          <w:sz w:val="24"/>
        </w:rPr>
        <w:t xml:space="preserve"> La prohibición mencionada en el apartado 5 no incluye el símbolo de «añadir al carrito» u otras cuestiones relacionadas con el funcionamiento del sitio web y la garantía de la accesibilidad de la web.</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Apartado 7.</w:t>
      </w:r>
      <w:r>
        <w:rPr>
          <w:sz w:val="24"/>
        </w:rPr>
        <w:t xml:space="preserve"> Los puntos de venta a que se refiere el apartado 1 no podrán ofrecer a los clientes o visitantes del sitio web la opción de evaluar, calificar o valorar los productos a que se refiere el apartado 1 si la evaluación, etc., se hace visible o accesible de alguna manera para los propios autores o para otras personas no empleadas por el punto de venta que vende los productos.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Apartado 8. </w:t>
      </w:r>
      <w:r>
        <w:rPr>
          <w:sz w:val="24"/>
        </w:rPr>
        <w:t xml:space="preserve">Los puntos de venta contemplados en el apartado 1 deben garantizar que, antes de poder elegir el producto, se presente al cliente una imagen gráfica elaborada por la Autoridad sanitaria y de medicamentos danesa en la que se indique el límite de edad para la venta de cigarrillos electrónicos y envases de recarga, véase el artículo 15, apartado 1, de la Ley sobre los cigarrillos electrónicos, etc. </w:t>
      </w: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1282D349" w14:textId="77777777" w:rsidR="00CA372F" w:rsidRDefault="00CA372F" w:rsidP="00F01996">
      <w:pPr>
        <w:autoSpaceDE w:val="0"/>
        <w:autoSpaceDN w:val="0"/>
        <w:adjustRightInd w:val="0"/>
        <w:spacing w:after="0" w:line="240" w:lineRule="auto"/>
        <w:jc w:val="center"/>
        <w:rPr>
          <w:sz w:val="24"/>
        </w:rPr>
      </w:pPr>
    </w:p>
    <w:p w14:paraId="6488BA0D" w14:textId="01B4DCAF" w:rsidR="00F01996" w:rsidRPr="00202056" w:rsidRDefault="00F01996" w:rsidP="00F01996">
      <w:pPr>
        <w:autoSpaceDE w:val="0"/>
        <w:autoSpaceDN w:val="0"/>
        <w:adjustRightInd w:val="0"/>
        <w:spacing w:after="0" w:line="240" w:lineRule="auto"/>
        <w:jc w:val="center"/>
        <w:rPr>
          <w:sz w:val="24"/>
        </w:rPr>
      </w:pPr>
      <w:r>
        <w:rPr>
          <w:sz w:val="24"/>
        </w:rPr>
        <w:lastRenderedPageBreak/>
        <w:t>Capítulo 6</w:t>
      </w:r>
    </w:p>
    <w:p w14:paraId="6488BA0E" w14:textId="77777777" w:rsidR="00F01996" w:rsidRPr="00202056" w:rsidRDefault="00F01996" w:rsidP="00F01996">
      <w:pPr>
        <w:spacing w:line="240" w:lineRule="auto"/>
        <w:jc w:val="center"/>
        <w:rPr>
          <w:i/>
          <w:sz w:val="24"/>
        </w:rPr>
      </w:pPr>
      <w:r>
        <w:rPr>
          <w:i/>
          <w:sz w:val="24"/>
        </w:rPr>
        <w:t xml:space="preserve">Puntos de venta físicos que se especializan en la venta de cigarrillos electrónicos y envases de recarga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Artículo 6. </w:t>
      </w:r>
      <w:r>
        <w:rPr>
          <w:sz w:val="24"/>
        </w:rPr>
        <w:t xml:space="preserve">La prohibición de colocación y exposición de manera visible en virtud del artículo 3, apartados 1 y 2, no se aplicará a la venta de cigarrillos electrónicos y envases de recarga en puntos de venta físicos especializados en la venta de tales productos.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Apartado 2.</w:t>
      </w:r>
      <w:r>
        <w:rPr>
          <w:sz w:val="24"/>
        </w:rPr>
        <w:t xml:space="preserve"> Se considera que un punto de venta conforme al apartado 1 está especializado en la venta de cigarrillos electrónicos </w:t>
      </w:r>
      <w:r>
        <w:rPr>
          <w:rFonts w:ascii="Calibri" w:hAnsi="Calibri"/>
          <w:color w:val="000000"/>
          <w:sz w:val="24"/>
        </w:rPr>
        <w:t>y envases de recarga cuando el punto de venta vende exclusiva o principalmente cigarrillos electrónicos y envases de recarga con y sin nicotina.</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Apartado 3.</w:t>
      </w:r>
      <w:r>
        <w:rPr>
          <w:sz w:val="24"/>
        </w:rPr>
        <w:t xml:space="preserve"> La exención de la prohibición de la colocación y exposición de manera visible en virtud del apartado 1 solo se aplica a los cigarrillos electrónicos y a los envases de recarga. Si el establecimiento de venta vende otros productos o productos del tabaco, sucedáneos del tabaco o productos a base de hierbas para fumar, estos se incluirán en la prohibición prevista en el artículo 3, apartados 1 y 2, y en las normas relativas a la información neutra sobre productos y precios</w:t>
      </w:r>
      <w:r>
        <w:rPr>
          <w:i/>
          <w:sz w:val="24"/>
        </w:rPr>
        <w:t xml:space="preserve"> </w:t>
      </w:r>
      <w:r>
        <w:rPr>
          <w:sz w:val="24"/>
        </w:rPr>
        <w:t>de conformidad con el artículo 4 de esta Orden o en el artículo 2, apartados 1 y 2, y artículo 3 de la Orden sobre la prohibición de la colocación y exposición etc., de manera visible de productos del tabaco, sucedáneos del tabaco y productos a base de hierbas para fumar.</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Apartado 4. </w:t>
      </w:r>
      <w:r>
        <w:rPr>
          <w:sz w:val="24"/>
        </w:rPr>
        <w:t xml:space="preserve">Si un punto de venta conforme al apartado 1 vende cigarrillos electrónicos y envases de recarga a través de soluciones digitales, como páginas web de minoristas, tiendas de internet, páginas web de inicio de empresas, páginas de empresas en redes sociales y aplicaciones, esto se incluye en el artículo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Apartado 5.</w:t>
      </w:r>
      <w:r>
        <w:rPr>
          <w:color w:val="000000" w:themeColor="text1"/>
          <w:sz w:val="24"/>
        </w:rPr>
        <w:t xml:space="preserve"> No está permitido que un punto de venta físico en virtud del apartado 1 anuncie cigarrillos electrónicos y envases de recarga en el punto de venta, en el escaparate o en la fachada de la tienda, excepto en los casos previstos en el apartado 6. Esto incluye:</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la situación en la que no haya elementos, ni siquiera en torno a los productos, que puedan surtir efectos promocionales, como la iluminación especial, el uso de colores o efectos que de otro modo destaquen un producto determinado, nombre comercial, precio u otro para los cigarrillos electrónicos y los envases de recarga; o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utilizar textos, ilustraciones, imágenes, colores, logotipos, símbolos u otros medios que den al comprador </w:t>
      </w:r>
      <w:r>
        <w:rPr>
          <w:rStyle w:val="tlid-translation"/>
          <w:color w:val="000000" w:themeColor="text1"/>
          <w:sz w:val="24"/>
        </w:rPr>
        <w:t xml:space="preserve">la impresión de que uno o más productos son beneficiosos para la salud, menos perjudiciales que otros productos, </w:t>
      </w:r>
      <w:r>
        <w:rPr>
          <w:sz w:val="24"/>
        </w:rPr>
        <w:t>que actúan como ayuda para dejar de fumar</w:t>
      </w:r>
      <w:r>
        <w:rPr>
          <w:rStyle w:val="tlid-translation"/>
          <w:color w:val="000000" w:themeColor="text1"/>
          <w:sz w:val="24"/>
        </w:rPr>
        <w:t xml:space="preserve"> o que de alguna otra manera tienen una ventaja o un efecto beneficioso. </w:t>
      </w:r>
    </w:p>
    <w:p w14:paraId="6488BA1C" w14:textId="77777777" w:rsidR="00F01996" w:rsidRPr="00B6712B" w:rsidRDefault="00F01996" w:rsidP="00F01996">
      <w:pPr>
        <w:autoSpaceDE w:val="0"/>
        <w:autoSpaceDN w:val="0"/>
        <w:adjustRightInd w:val="0"/>
        <w:spacing w:after="0" w:line="240" w:lineRule="auto"/>
        <w:rPr>
          <w:sz w:val="24"/>
        </w:rPr>
      </w:pPr>
      <w:r>
        <w:rPr>
          <w:i/>
          <w:sz w:val="24"/>
        </w:rPr>
        <w:t>Apartado 6.</w:t>
      </w:r>
      <w:r>
        <w:rPr>
          <w:sz w:val="24"/>
        </w:rPr>
        <w:t xml:space="preserve"> El nombre de un punto de venta físico en virtud del apartado 1 deberá aparecer en la tienda física y en fachada de la tienda en un diseño neutro. El nombre en sí puede no tener un efecto publicitario o destacar, pero puede contener las palabras «cigarrillos electrónicos» o referirse a cigarrillos electrónicos de manera neutra.</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Apartado 7.</w:t>
      </w:r>
      <w:r>
        <w:rPr>
          <w:sz w:val="24"/>
        </w:rPr>
        <w:t xml:space="preserve"> La exención de la prohibición de la colocación y exposición de manera visible en virtud del apartado 1 no dará al punto de venta la posibilidad de colocar y exponer visiblemente los </w:t>
      </w:r>
      <w:r>
        <w:rPr>
          <w:sz w:val="24"/>
        </w:rPr>
        <w:lastRenderedPageBreak/>
        <w:t>cigarrillos electrónicos y envases de recarga en otros lugares que no sean el punto de venta, ni de distribuir folletos publicitarios y productos gratuitos, etc.</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Capítulo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Máquinas de autoservicio</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Artículo 7.</w:t>
      </w:r>
      <w:r>
        <w:rPr>
          <w:sz w:val="24"/>
        </w:rPr>
        <w:t xml:space="preserve"> Las máquinas de autoservicio usadas para suministrar cigarrillos electrónicos y envases de recarga después de la venta desde una caja registradora atendida por un empleado presentarán un diseño neutro. La información de la máquina donde aparezca la marca, el nombre del producto y los precios se mostrará en una fuente negra con fondo en blanco.</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Apartado 2.</w:t>
      </w:r>
      <w:r>
        <w:rPr>
          <w:sz w:val="24"/>
        </w:rPr>
        <w:t xml:space="preserve"> En las máquinas previstas en el apartado 1:</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no se presentarán o aplicarán etiquetas de marcas o de empresa u otras características para estos productos, incluida la imagen de un producto;</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no se dará prominencia a ninguna información; y</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no se mostrarán textos, ilustraciones, imágenes, colores, logotipos, símbolos u otros medios que puedan dar al consumidor la impresión de que los productos vendidos a través de la máquina en cuestión son beneficiosos para la salud, que son menos nocivos que otros productos, que actúan como ayuda para dejar de fumar o que tienen otros efectos beneficiosos o ventajas.</w:t>
      </w: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Capítulo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Sanciones</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Artículo 8. </w:t>
      </w:r>
      <w:r>
        <w:rPr>
          <w:sz w:val="24"/>
        </w:rPr>
        <w:t>A menos que se estipulen sanciones más estrictas en virtud de otra legislación, se impondrán sanciones a todos aquellos que infrinjan la prohibición de las secciones 2 y 3 o incumplan las disposiciones de las secciones 4 a 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6E14C516" w:rsidR="00F01996" w:rsidRDefault="00F01996" w:rsidP="00F01996">
      <w:pPr>
        <w:autoSpaceDE w:val="0"/>
        <w:autoSpaceDN w:val="0"/>
        <w:adjustRightInd w:val="0"/>
        <w:spacing w:after="0" w:line="240" w:lineRule="auto"/>
        <w:rPr>
          <w:sz w:val="24"/>
        </w:rPr>
      </w:pPr>
      <w:r>
        <w:rPr>
          <w:i/>
          <w:sz w:val="24"/>
        </w:rPr>
        <w:t xml:space="preserve">Apartado 2. </w:t>
      </w:r>
      <w:r>
        <w:rPr>
          <w:sz w:val="24"/>
        </w:rPr>
        <w:t>(personas jurídicas) podrán considerarse responsables penalmente de conformidad con las disposiciones del capítulo 5 del Código Penal.</w:t>
      </w:r>
    </w:p>
    <w:p w14:paraId="05350C51" w14:textId="77777777" w:rsidR="0068093B" w:rsidRPr="00B6712B" w:rsidRDefault="0068093B"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Capítulo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Entrada en vigor</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Artículo 9. </w:t>
      </w:r>
      <w:r>
        <w:rPr>
          <w:sz w:val="24"/>
        </w:rPr>
        <w:t xml:space="preserve">La presente Orden entra en vigor el 1 de abril de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Ministerio de Sanidad, a 15 de enero de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 xml:space="preserve">Magnus </w:t>
      </w:r>
      <w:proofErr w:type="spellStart"/>
      <w:r>
        <w:rPr>
          <w:sz w:val="24"/>
        </w:rPr>
        <w:t>Heunicke</w:t>
      </w:r>
      <w:proofErr w:type="spellEnd"/>
    </w:p>
    <w:p w14:paraId="6488BA47" w14:textId="0EF158F9" w:rsidR="00BD2828" w:rsidRPr="00CA372F" w:rsidRDefault="00F01996" w:rsidP="00CA372F">
      <w:pPr>
        <w:autoSpaceDE w:val="0"/>
        <w:autoSpaceDN w:val="0"/>
        <w:adjustRightInd w:val="0"/>
        <w:spacing w:after="0" w:line="240" w:lineRule="auto"/>
        <w:ind w:left="2608" w:firstLine="1304"/>
        <w:jc w:val="center"/>
        <w:rPr>
          <w:sz w:val="24"/>
        </w:rPr>
      </w:pPr>
      <w:r>
        <w:rPr>
          <w:sz w:val="24"/>
        </w:rPr>
        <w:t xml:space="preserve">/ Mie </w:t>
      </w:r>
      <w:proofErr w:type="spellStart"/>
      <w:r>
        <w:rPr>
          <w:sz w:val="24"/>
        </w:rPr>
        <w:t>Saabye</w:t>
      </w:r>
      <w:proofErr w:type="spellEnd"/>
    </w:p>
    <w:sectPr w:rsidR="00BD2828" w:rsidRPr="00CA372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5749" w14:textId="77777777" w:rsidR="006931CD" w:rsidRDefault="006931CD" w:rsidP="00350BF0">
      <w:pPr>
        <w:spacing w:after="0" w:line="240" w:lineRule="auto"/>
      </w:pPr>
      <w:r>
        <w:separator/>
      </w:r>
    </w:p>
  </w:endnote>
  <w:endnote w:type="continuationSeparator" w:id="0">
    <w:p w14:paraId="1C901B5B" w14:textId="77777777" w:rsidR="006931CD" w:rsidRDefault="006931CD"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09D6" w14:textId="77777777" w:rsidR="006931CD" w:rsidRDefault="006931CD" w:rsidP="00350BF0">
      <w:pPr>
        <w:spacing w:after="0" w:line="240" w:lineRule="auto"/>
      </w:pPr>
      <w:r>
        <w:separator/>
      </w:r>
    </w:p>
  </w:footnote>
  <w:footnote w:type="continuationSeparator" w:id="0">
    <w:p w14:paraId="43B1E9B8" w14:textId="77777777" w:rsidR="006931CD" w:rsidRDefault="006931CD"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E2914"/>
    <w:rsid w:val="001F1C7F"/>
    <w:rsid w:val="003345F5"/>
    <w:rsid w:val="00350BF0"/>
    <w:rsid w:val="0037143F"/>
    <w:rsid w:val="0068093B"/>
    <w:rsid w:val="006931CD"/>
    <w:rsid w:val="007F49CF"/>
    <w:rsid w:val="008B795A"/>
    <w:rsid w:val="00B21D4C"/>
    <w:rsid w:val="00BC77E7"/>
    <w:rsid w:val="00BD5461"/>
    <w:rsid w:val="00BE0E06"/>
    <w:rsid w:val="00CA372F"/>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2551</Words>
  <Characters>12910</Characters>
  <Application>Microsoft Office Word</Application>
  <DocSecurity>0</DocSecurity>
  <Lines>268</Lines>
  <Paragraphs>102</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3</cp:revision>
  <dcterms:created xsi:type="dcterms:W3CDTF">2021-12-13T09:07:00Z</dcterms:created>
  <dcterms:modified xsi:type="dcterms:W3CDTF">2021-12-13T09:35:00Z</dcterms:modified>
</cp:coreProperties>
</file>