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E5505" w14:textId="77777777" w:rsidR="004635D2" w:rsidRDefault="004635D2">
      <w:pPr>
        <w:spacing w:line="276" w:lineRule="auto"/>
        <w:jc w:val="right"/>
        <w:rPr>
          <w:i/>
        </w:rPr>
      </w:pPr>
    </w:p>
    <w:p w14:paraId="2EB0611B" w14:textId="77777777" w:rsidR="004635D2" w:rsidRDefault="005361EF">
      <w:pPr>
        <w:spacing w:line="276" w:lineRule="auto"/>
        <w:jc w:val="center"/>
        <w:rPr>
          <w:b/>
        </w:rPr>
      </w:pPr>
      <w:r>
        <w:rPr>
          <w:b/>
        </w:rPr>
        <w:t>Ustawa [...] z 2021 r.</w:t>
      </w:r>
    </w:p>
    <w:p w14:paraId="3F8A1CCE" w14:textId="77777777" w:rsidR="004635D2" w:rsidRDefault="004635D2">
      <w:pPr>
        <w:spacing w:line="276" w:lineRule="auto"/>
        <w:jc w:val="center"/>
        <w:rPr>
          <w:b/>
        </w:rPr>
      </w:pPr>
    </w:p>
    <w:p w14:paraId="307FD611" w14:textId="77777777" w:rsidR="004635D2" w:rsidRDefault="005361EF">
      <w:pPr>
        <w:spacing w:line="276" w:lineRule="auto"/>
        <w:jc w:val="center"/>
        <w:rPr>
          <w:b/>
          <w:bCs/>
          <w:iCs/>
          <w:szCs w:val="28"/>
        </w:rPr>
      </w:pPr>
      <w:r>
        <w:rPr>
          <w:b/>
        </w:rPr>
        <w:t>zmieniająca niektóre ustawy dotyczące zdrowia, ubezpieczeń zdrowotnych i prawa farmaceutycznego</w:t>
      </w:r>
    </w:p>
    <w:p w14:paraId="33440BBD" w14:textId="77777777" w:rsidR="004635D2" w:rsidRDefault="004635D2">
      <w:pPr>
        <w:spacing w:line="276" w:lineRule="auto"/>
        <w:jc w:val="center"/>
        <w:rPr>
          <w:b/>
        </w:rPr>
      </w:pPr>
    </w:p>
    <w:p w14:paraId="54832907" w14:textId="77777777" w:rsidR="004635D2" w:rsidRDefault="004635D2">
      <w:pPr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</w:p>
    <w:p w14:paraId="46C9C371" w14:textId="77777777" w:rsidR="004635D2" w:rsidRDefault="004635D2">
      <w:pPr>
        <w:pStyle w:val="wordsection1"/>
        <w:spacing w:beforeAutospacing="0" w:afterAutospacing="0" w:line="276" w:lineRule="auto"/>
        <w:jc w:val="both"/>
      </w:pPr>
    </w:p>
    <w:p w14:paraId="455B8DFB" w14:textId="77777777" w:rsidR="004635D2" w:rsidRDefault="005361EF">
      <w:pPr>
        <w:spacing w:line="276" w:lineRule="auto"/>
        <w:jc w:val="center"/>
        <w:rPr>
          <w:rFonts w:eastAsia="Calibri"/>
          <w:b/>
          <w:bCs/>
          <w:iCs/>
        </w:rPr>
      </w:pPr>
      <w:r>
        <w:rPr>
          <w:b/>
          <w:color w:val="000000"/>
        </w:rPr>
        <w:t xml:space="preserve">5. </w:t>
      </w:r>
      <w:r>
        <w:rPr>
          <w:b/>
        </w:rPr>
        <w:t>W sprawie ochrony osób niepalących i konsumpcji wyrobów tytoniowych</w:t>
      </w:r>
    </w:p>
    <w:p w14:paraId="6462BE68" w14:textId="77777777" w:rsidR="004635D2" w:rsidRDefault="005361EF">
      <w:pPr>
        <w:spacing w:line="276" w:lineRule="auto"/>
        <w:jc w:val="center"/>
        <w:rPr>
          <w:rFonts w:eastAsia="Calibri"/>
          <w:b/>
          <w:bCs/>
          <w:iCs/>
        </w:rPr>
      </w:pPr>
      <w:r>
        <w:rPr>
          <w:b/>
        </w:rPr>
        <w:t>oraz nowelizacji ustawy XLII z 1999 r. w zakresie regulacji dotyczących sprzedaży tych wyrobów.</w:t>
      </w:r>
    </w:p>
    <w:p w14:paraId="3B2F8F06" w14:textId="77777777" w:rsidR="004635D2" w:rsidRDefault="004635D2">
      <w:pPr>
        <w:spacing w:line="276" w:lineRule="auto"/>
        <w:jc w:val="both"/>
        <w:rPr>
          <w:rFonts w:eastAsia="Calibri"/>
        </w:rPr>
      </w:pPr>
    </w:p>
    <w:p w14:paraId="2A8E9A98" w14:textId="77777777" w:rsidR="004635D2" w:rsidRDefault="005361EF">
      <w:pPr>
        <w:spacing w:line="276" w:lineRule="auto"/>
        <w:jc w:val="center"/>
        <w:rPr>
          <w:rFonts w:eastAsia="Calibri"/>
          <w:b/>
        </w:rPr>
      </w:pPr>
      <w:r>
        <w:rPr>
          <w:b/>
        </w:rPr>
        <w:t>39. §</w:t>
      </w:r>
    </w:p>
    <w:p w14:paraId="3BCD82A6" w14:textId="77777777" w:rsidR="004635D2" w:rsidRDefault="004635D2">
      <w:pPr>
        <w:jc w:val="both"/>
        <w:rPr>
          <w:rFonts w:eastAsia="Calibri"/>
        </w:rPr>
      </w:pPr>
    </w:p>
    <w:p w14:paraId="5619F471" w14:textId="77777777" w:rsidR="004635D2" w:rsidRDefault="005361EF">
      <w:pPr>
        <w:jc w:val="both"/>
        <w:rPr>
          <w:rFonts w:eastAsia="Calibri"/>
        </w:rPr>
      </w:pPr>
      <w:r>
        <w:t>Ustawa XLII z 1999 r. o ochronie osób niepalących oraz niektórych przepisach dotyczących konsumpcji i dystrybucji wyrobów tytoniowych (zwana dalej „ustawą Nvt.”) (Ustawa o ochronie osób niepalących) 1. § </w:t>
      </w:r>
      <w:r>
        <w:rPr>
          <w:i/>
        </w:rPr>
        <w:t xml:space="preserve">x) </w:t>
      </w:r>
      <w:r>
        <w:t>otrzymuje brzmienie:</w:t>
      </w:r>
    </w:p>
    <w:p w14:paraId="3CC38099" w14:textId="77777777" w:rsidR="004635D2" w:rsidRDefault="004635D2">
      <w:pPr>
        <w:jc w:val="both"/>
        <w:rPr>
          <w:rFonts w:eastAsia="Calibri"/>
        </w:rPr>
      </w:pPr>
    </w:p>
    <w:p w14:paraId="3329367D" w14:textId="77777777" w:rsidR="004635D2" w:rsidRDefault="005361EF">
      <w:pPr>
        <w:jc w:val="both"/>
        <w:rPr>
          <w:rFonts w:eastAsia="Calibri"/>
          <w:i/>
        </w:rPr>
      </w:pPr>
      <w:r>
        <w:rPr>
          <w:i/>
        </w:rPr>
        <w:t>(Do celów niniejszej ustawy)</w:t>
      </w:r>
    </w:p>
    <w:p w14:paraId="4F1C2922" w14:textId="77777777" w:rsidR="004635D2" w:rsidRDefault="004635D2">
      <w:pPr>
        <w:jc w:val="both"/>
        <w:rPr>
          <w:rFonts w:eastAsia="Calibri"/>
          <w:i/>
        </w:rPr>
      </w:pPr>
    </w:p>
    <w:p w14:paraId="0662E162" w14:textId="77777777" w:rsidR="004635D2" w:rsidRDefault="005361EF">
      <w:pPr>
        <w:jc w:val="both"/>
        <w:rPr>
          <w:rFonts w:eastAsia="Calibri"/>
        </w:rPr>
      </w:pPr>
      <w:r>
        <w:rPr>
          <w:i/>
        </w:rPr>
        <w:t>„x) numer identyfikacyjny papierosów elektronicznych</w:t>
      </w:r>
      <w:r>
        <w:t xml:space="preserve"> — numer identyfikacyjny produktu używany w odniesieniu do papierosów elektronicznych i pojemników z wymiennym wkładem w ramach wspólnego przekazywania danych w kontekście ustanawiania wspólnego formatu określonego w decyzji wykonawczej Komisji (UE) 2015/2183 z dnia 24 listopada 2015 r.;”;</w:t>
      </w:r>
    </w:p>
    <w:p w14:paraId="1A6D32E3" w14:textId="77777777" w:rsidR="004635D2" w:rsidRDefault="004635D2">
      <w:pPr>
        <w:jc w:val="both"/>
        <w:rPr>
          <w:rFonts w:eastAsia="Calibri"/>
        </w:rPr>
      </w:pPr>
    </w:p>
    <w:p w14:paraId="6A45F079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40. §</w:t>
      </w:r>
    </w:p>
    <w:p w14:paraId="18275323" w14:textId="77777777" w:rsidR="004635D2" w:rsidRDefault="004635D2">
      <w:pPr>
        <w:jc w:val="center"/>
        <w:rPr>
          <w:rFonts w:eastAsia="Calibri"/>
          <w:b/>
        </w:rPr>
      </w:pPr>
    </w:p>
    <w:p w14:paraId="37AD1EE3" w14:textId="77777777" w:rsidR="004635D2" w:rsidRDefault="005361EF">
      <w:pPr>
        <w:jc w:val="both"/>
        <w:rPr>
          <w:rFonts w:eastAsia="Calibri"/>
        </w:rPr>
      </w:pPr>
      <w:r>
        <w:t>W ustawie o ochronie osób niepalących do § dodaje się artykuł 2/B w brzmieniu:</w:t>
      </w:r>
    </w:p>
    <w:p w14:paraId="0786B4A6" w14:textId="77777777" w:rsidR="004635D2" w:rsidRDefault="004635D2">
      <w:pPr>
        <w:jc w:val="both"/>
        <w:rPr>
          <w:rFonts w:eastAsia="Calibri"/>
        </w:rPr>
      </w:pPr>
    </w:p>
    <w:p w14:paraId="55CCF109" w14:textId="77777777" w:rsidR="004635D2" w:rsidRDefault="005361EF">
      <w:pPr>
        <w:jc w:val="both"/>
        <w:rPr>
          <w:rFonts w:eastAsia="Calibri"/>
        </w:rPr>
      </w:pPr>
      <w:r>
        <w:t>„2/B. § Zakazuje się używania produktów zastępujących wyroby tytoniowe zawierających nikotynę w publicznych instytucjach edukacyjnych oraz w instytucjach zajmujących się dobrem i ochroną dzieci.”</w:t>
      </w:r>
    </w:p>
    <w:p w14:paraId="3247D0F8" w14:textId="77777777" w:rsidR="004635D2" w:rsidRDefault="004635D2">
      <w:pPr>
        <w:jc w:val="both"/>
        <w:rPr>
          <w:rFonts w:eastAsia="Calibri"/>
        </w:rPr>
      </w:pPr>
    </w:p>
    <w:p w14:paraId="082886C0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41. §</w:t>
      </w:r>
    </w:p>
    <w:p w14:paraId="15C62043" w14:textId="77777777" w:rsidR="004635D2" w:rsidRDefault="004635D2">
      <w:pPr>
        <w:jc w:val="both"/>
        <w:rPr>
          <w:rFonts w:eastAsia="Calibri"/>
        </w:rPr>
      </w:pPr>
    </w:p>
    <w:p w14:paraId="6CD059C4" w14:textId="77777777" w:rsidR="004635D2" w:rsidRDefault="005361EF">
      <w:pPr>
        <w:jc w:val="both"/>
        <w:rPr>
          <w:rFonts w:eastAsia="Calibri"/>
        </w:rPr>
      </w:pPr>
      <w:r>
        <w:t>W ustawie Nvt.: Artykuł 7/D § otrzymuje brzmienie:</w:t>
      </w:r>
    </w:p>
    <w:p w14:paraId="1010B396" w14:textId="77777777" w:rsidR="004635D2" w:rsidRDefault="004635D2">
      <w:pPr>
        <w:jc w:val="both"/>
        <w:rPr>
          <w:rFonts w:eastAsia="Calibri"/>
        </w:rPr>
      </w:pPr>
    </w:p>
    <w:p w14:paraId="6BC62CE0" w14:textId="77777777" w:rsidR="004635D2" w:rsidRDefault="005361EF">
      <w:pPr>
        <w:ind w:left="34"/>
        <w:jc w:val="both"/>
        <w:rPr>
          <w:rFonts w:eastAsia="Calibri"/>
        </w:rPr>
      </w:pPr>
      <w:r>
        <w:t>„7/D. § (1) Producenci, importerzy oraz węgierscy dystrybutorzy papierosów elektronicznych i pojemników z wymiennym wkładem powiadamiają organy zdrowia publicznego o zamierzanym wprowadzeniu do obrotu każdego produktu z sześciomiesięcznym wyprzedzeniem.</w:t>
      </w:r>
    </w:p>
    <w:p w14:paraId="2CB46DBC" w14:textId="77777777" w:rsidR="004635D2" w:rsidRDefault="004635D2">
      <w:pPr>
        <w:ind w:left="34"/>
        <w:jc w:val="both"/>
        <w:rPr>
          <w:rFonts w:eastAsia="Calibri"/>
        </w:rPr>
      </w:pPr>
    </w:p>
    <w:p w14:paraId="20E28F8E" w14:textId="77777777" w:rsidR="004635D2" w:rsidRDefault="005361EF">
      <w:pPr>
        <w:ind w:left="34"/>
        <w:jc w:val="both"/>
        <w:rPr>
          <w:rFonts w:eastAsia="Calibri"/>
        </w:rPr>
      </w:pPr>
      <w:r>
        <w:t>(2) Zawiadomienie zgodne z ust. 1 składa się drogą elektroniczną, a dane, które muszą w nim być zawarte, są określone w rozporządzeniu rządowym wydanym na mocy upoważnienia wynikającego z niniejszej ustawy.</w:t>
      </w:r>
    </w:p>
    <w:p w14:paraId="2EA9EE4A" w14:textId="77777777" w:rsidR="004635D2" w:rsidRDefault="004635D2">
      <w:pPr>
        <w:ind w:left="34"/>
        <w:jc w:val="both"/>
        <w:rPr>
          <w:rFonts w:eastAsia="Calibri"/>
        </w:rPr>
      </w:pPr>
    </w:p>
    <w:p w14:paraId="48274D19" w14:textId="77777777" w:rsidR="004635D2" w:rsidRDefault="005361EF">
      <w:pPr>
        <w:ind w:left="34"/>
        <w:jc w:val="both"/>
        <w:rPr>
          <w:rFonts w:eastAsia="Calibri"/>
        </w:rPr>
      </w:pPr>
      <w:r>
        <w:t>(3) Zgodnie z ust. 1 organom zdrowia publicznego zgłasza się, co następuje:</w:t>
      </w:r>
    </w:p>
    <w:p w14:paraId="26C5851C" w14:textId="77777777" w:rsidR="004635D2" w:rsidRDefault="004635D2">
      <w:pPr>
        <w:ind w:left="34"/>
        <w:jc w:val="both"/>
        <w:rPr>
          <w:rFonts w:eastAsia="Calibri"/>
        </w:rPr>
      </w:pPr>
    </w:p>
    <w:p w14:paraId="02905286" w14:textId="77777777" w:rsidR="004635D2" w:rsidRDefault="005361EF">
      <w:pPr>
        <w:ind w:left="34"/>
        <w:jc w:val="both"/>
        <w:rPr>
          <w:rFonts w:eastAsia="Calibri"/>
        </w:rPr>
      </w:pPr>
      <w:r>
        <w:t>(a) wszelkie zmiany związane z papierosami elektronicznymi lub pojemnikami z wymiennym wkładem mające wpływ na właściwości techniczne produktu określone w niniejszej ustawie lub w rozporządzeniu rządowym wydanym zgodnie z niniejszą ustawą oraz</w:t>
      </w:r>
    </w:p>
    <w:p w14:paraId="75BA9FDD" w14:textId="77777777" w:rsidR="004635D2" w:rsidRDefault="005361EF">
      <w:pPr>
        <w:ind w:left="34"/>
        <w:jc w:val="both"/>
        <w:rPr>
          <w:rFonts w:eastAsia="Calibri"/>
        </w:rPr>
      </w:pPr>
      <w:r>
        <w:lastRenderedPageBreak/>
        <w:t>(b) wszelkie zmiany tożsamości i danych kontaktowych producenta, importera lub węgierskiego dystrybutora papierosów elektronicznych lub pojemników z wymiennym wkładem.</w:t>
      </w:r>
    </w:p>
    <w:p w14:paraId="1393E28B" w14:textId="77777777" w:rsidR="004635D2" w:rsidRDefault="004635D2">
      <w:pPr>
        <w:ind w:left="34"/>
        <w:jc w:val="both"/>
        <w:rPr>
          <w:rFonts w:eastAsia="Calibri"/>
        </w:rPr>
      </w:pPr>
    </w:p>
    <w:p w14:paraId="2B669F47" w14:textId="77777777" w:rsidR="004635D2" w:rsidRDefault="005361EF">
      <w:pPr>
        <w:ind w:left="34"/>
        <w:jc w:val="both"/>
        <w:rPr>
          <w:rFonts w:eastAsia="Calibri"/>
        </w:rPr>
      </w:pPr>
      <w:r>
        <w:t>(4) Organy zdrowia publicznego prowadzą rejestr produktów opisanych w ust. 1 obejmujący:</w:t>
      </w:r>
    </w:p>
    <w:p w14:paraId="1AF923CA" w14:textId="77777777" w:rsidR="004635D2" w:rsidRDefault="005361EF">
      <w:pPr>
        <w:ind w:left="34"/>
        <w:jc w:val="both"/>
        <w:rPr>
          <w:rFonts w:eastAsia="Calibri"/>
        </w:rPr>
      </w:pPr>
      <w:r>
        <w:t>a) nazwę podmiotu zgłaszającego, producenta, importera lub węgierskiego dystrybutora,</w:t>
      </w:r>
    </w:p>
    <w:p w14:paraId="62DEAA50" w14:textId="77777777" w:rsidR="004635D2" w:rsidRDefault="005361EF">
      <w:pPr>
        <w:ind w:left="34"/>
        <w:jc w:val="both"/>
        <w:rPr>
          <w:rFonts w:eastAsia="Calibri"/>
        </w:rPr>
      </w:pPr>
      <w:r>
        <w:t>b) numer identyfikacyjny papierosów elektronicznych,</w:t>
      </w:r>
    </w:p>
    <w:p w14:paraId="1338A62B" w14:textId="77777777" w:rsidR="004635D2" w:rsidRDefault="005361EF">
      <w:pPr>
        <w:ind w:left="34"/>
        <w:jc w:val="both"/>
        <w:rPr>
          <w:rFonts w:eastAsia="Calibri"/>
        </w:rPr>
      </w:pPr>
      <w:r>
        <w:t>c) nazwę marki i podtypu,</w:t>
      </w:r>
    </w:p>
    <w:p w14:paraId="7F4B70B2" w14:textId="77777777" w:rsidR="004635D2" w:rsidRDefault="005361EF">
      <w:pPr>
        <w:ind w:left="34"/>
        <w:jc w:val="both"/>
        <w:rPr>
          <w:rFonts w:eastAsia="Calibri"/>
        </w:rPr>
      </w:pPr>
      <w:r>
        <w:t>d) rodzaj produktu,</w:t>
      </w:r>
    </w:p>
    <w:p w14:paraId="0C2F5BE5" w14:textId="77777777" w:rsidR="004635D2" w:rsidRDefault="005361EF">
      <w:pPr>
        <w:ind w:left="34"/>
        <w:jc w:val="both"/>
        <w:rPr>
          <w:rFonts w:eastAsia="Calibri"/>
        </w:rPr>
      </w:pPr>
      <w:r>
        <w:t>e) numer seryjny świadectwa wydanego przy składaniu wniosku,</w:t>
      </w:r>
    </w:p>
    <w:p w14:paraId="0FE52428" w14:textId="77777777" w:rsidR="004635D2" w:rsidRDefault="005361EF">
      <w:pPr>
        <w:ind w:left="34"/>
        <w:jc w:val="both"/>
        <w:rPr>
          <w:rFonts w:eastAsia="Calibri"/>
        </w:rPr>
      </w:pPr>
      <w:r>
        <w:t>f) wskazanie pierwszego dnia ewentualnego wprowadzenia produktu do obrotu obliczonego zgodnie z ust. 1.</w:t>
      </w:r>
    </w:p>
    <w:p w14:paraId="64A8BC57" w14:textId="77777777" w:rsidR="004635D2" w:rsidRDefault="004635D2">
      <w:pPr>
        <w:ind w:left="34"/>
        <w:jc w:val="both"/>
        <w:rPr>
          <w:rFonts w:eastAsia="Calibri"/>
        </w:rPr>
      </w:pPr>
    </w:p>
    <w:p w14:paraId="384E3D15" w14:textId="77777777" w:rsidR="004635D2" w:rsidRDefault="005361EF">
      <w:pPr>
        <w:ind w:left="34"/>
        <w:jc w:val="both"/>
        <w:rPr>
          <w:rFonts w:eastAsia="Calibri"/>
        </w:rPr>
      </w:pPr>
      <w:r>
        <w:t>5) Wycofanie z rynku i odkup produktów objętych zakazem wprowadzania do obrotu w odniesieniu do zapasów sprzedawcy detalicznego wyrobów tytoniowych są zapewniane przez producenta, importera i węgierskiego dystrybutora.”;</w:t>
      </w:r>
    </w:p>
    <w:p w14:paraId="2C8A228D" w14:textId="77777777" w:rsidR="004635D2" w:rsidRDefault="004635D2">
      <w:pPr>
        <w:rPr>
          <w:rFonts w:eastAsia="Calibri"/>
          <w:b/>
        </w:rPr>
      </w:pPr>
    </w:p>
    <w:p w14:paraId="4A5C3F7B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42. §</w:t>
      </w:r>
    </w:p>
    <w:p w14:paraId="4FFC3DBB" w14:textId="77777777" w:rsidR="004635D2" w:rsidRDefault="004635D2">
      <w:pPr>
        <w:rPr>
          <w:rFonts w:eastAsia="Calibri"/>
          <w:i/>
        </w:rPr>
      </w:pPr>
    </w:p>
    <w:p w14:paraId="1AD905EE" w14:textId="77777777" w:rsidR="004635D2" w:rsidRDefault="005361EF">
      <w:pPr>
        <w:jc w:val="both"/>
        <w:rPr>
          <w:rFonts w:eastAsia="Calibri"/>
        </w:rPr>
      </w:pPr>
      <w:r>
        <w:t>W ustawie Nvt.: Artykuł 7/I § otrzymuje brzmienie:</w:t>
      </w:r>
    </w:p>
    <w:p w14:paraId="12C52A85" w14:textId="77777777" w:rsidR="004635D2" w:rsidRDefault="004635D2">
      <w:pPr>
        <w:jc w:val="both"/>
        <w:rPr>
          <w:rFonts w:eastAsia="Calibri"/>
        </w:rPr>
      </w:pPr>
    </w:p>
    <w:p w14:paraId="30FCE67E" w14:textId="7C466714" w:rsidR="004635D2" w:rsidRDefault="0058687C">
      <w:pPr>
        <w:jc w:val="both"/>
        <w:rPr>
          <w:rFonts w:eastAsia="Calibri"/>
        </w:rPr>
      </w:pPr>
      <w:r w:rsidRPr="0058687C">
        <w:t>„</w:t>
      </w:r>
      <w:r w:rsidR="005361EF">
        <w:t>7/I § Przepisy niniejszego rozdziału stosuje się również do pojemników z wymiennym wkładem niezawierającym nikotyny oraz do urządzeń elektronicznych imitujących palenie.”</w:t>
      </w:r>
    </w:p>
    <w:p w14:paraId="71232FC2" w14:textId="77777777" w:rsidR="004635D2" w:rsidRDefault="004635D2">
      <w:pPr>
        <w:jc w:val="center"/>
        <w:rPr>
          <w:rFonts w:eastAsia="Calibri"/>
          <w:b/>
        </w:rPr>
      </w:pPr>
    </w:p>
    <w:p w14:paraId="6DEC2A52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43. §</w:t>
      </w:r>
    </w:p>
    <w:p w14:paraId="18208DF1" w14:textId="77777777" w:rsidR="004635D2" w:rsidRDefault="004635D2">
      <w:pPr>
        <w:jc w:val="both"/>
        <w:rPr>
          <w:rFonts w:eastAsia="Calibri"/>
          <w:b/>
          <w:bCs/>
        </w:rPr>
      </w:pPr>
    </w:p>
    <w:p w14:paraId="33F21DA9" w14:textId="77777777" w:rsidR="004635D2" w:rsidRDefault="005361EF">
      <w:pPr>
        <w:jc w:val="both"/>
        <w:rPr>
          <w:rFonts w:eastAsia="Calibri"/>
        </w:rPr>
      </w:pPr>
      <w:r>
        <w:t>W ustawie o ochronie osób niepalących przed podpozycją „Postanowienia końcowe” do § dodaje się artykuł 7/M w brzmieniu:</w:t>
      </w:r>
    </w:p>
    <w:p w14:paraId="6A689E54" w14:textId="77777777" w:rsidR="004635D2" w:rsidRDefault="004635D2">
      <w:pPr>
        <w:jc w:val="both"/>
        <w:rPr>
          <w:rFonts w:eastAsia="Calibri"/>
        </w:rPr>
      </w:pPr>
    </w:p>
    <w:p w14:paraId="4A8EF6B9" w14:textId="77777777" w:rsidR="004635D2" w:rsidRDefault="005361EF">
      <w:pPr>
        <w:jc w:val="center"/>
        <w:rPr>
          <w:rFonts w:eastAsia="Calibri"/>
        </w:rPr>
      </w:pPr>
      <w:r>
        <w:t>„Zasady dotyczące produktów zastępujących wyroby tytoniowe zawierających nikotynę</w:t>
      </w:r>
    </w:p>
    <w:p w14:paraId="699BFADC" w14:textId="77777777" w:rsidR="004635D2" w:rsidRDefault="004635D2">
      <w:pPr>
        <w:jc w:val="both"/>
        <w:rPr>
          <w:rFonts w:eastAsia="Calibri"/>
        </w:rPr>
      </w:pPr>
    </w:p>
    <w:p w14:paraId="1FF3BA18" w14:textId="77777777" w:rsidR="004635D2" w:rsidRDefault="005361EF">
      <w:pPr>
        <w:jc w:val="both"/>
        <w:rPr>
          <w:rFonts w:eastAsia="Calibri"/>
        </w:rPr>
      </w:pPr>
      <w:r>
        <w:t>7/M.  § 7/C–7/G dla produktów zastępujących wyroby tytoniowe zawierających nikotynę.”  Zastosowanie mają przepisy §.</w:t>
      </w:r>
    </w:p>
    <w:p w14:paraId="6436DAF8" w14:textId="77777777" w:rsidR="004635D2" w:rsidRDefault="004635D2">
      <w:pPr>
        <w:jc w:val="both"/>
        <w:rPr>
          <w:rFonts w:eastAsia="Calibri"/>
        </w:rPr>
      </w:pPr>
    </w:p>
    <w:p w14:paraId="277B5B66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44. §</w:t>
      </w:r>
      <w:r>
        <w:t xml:space="preserve"> </w:t>
      </w:r>
    </w:p>
    <w:p w14:paraId="426E22D5" w14:textId="77777777" w:rsidR="004635D2" w:rsidRDefault="004635D2">
      <w:pPr>
        <w:jc w:val="both"/>
        <w:rPr>
          <w:rFonts w:eastAsia="Calibri"/>
          <w:i/>
        </w:rPr>
      </w:pPr>
    </w:p>
    <w:p w14:paraId="163B29DC" w14:textId="77777777" w:rsidR="004635D2" w:rsidRDefault="005361EF">
      <w:pPr>
        <w:jc w:val="both"/>
        <w:rPr>
          <w:rFonts w:eastAsia="Calibri"/>
        </w:rPr>
      </w:pPr>
      <w:r>
        <w:t>W ustawie Nvt.: 8. Artykuł 5 lit. </w:t>
      </w:r>
      <w:r>
        <w:rPr>
          <w:i/>
        </w:rPr>
        <w:t xml:space="preserve">a) </w:t>
      </w:r>
      <w:r>
        <w:t>otrzymuje brzmienie:</w:t>
      </w:r>
    </w:p>
    <w:p w14:paraId="76C1A6A6" w14:textId="77777777" w:rsidR="004635D2" w:rsidRDefault="004635D2">
      <w:pPr>
        <w:jc w:val="both"/>
        <w:rPr>
          <w:rFonts w:eastAsia="Calibri"/>
        </w:rPr>
      </w:pPr>
    </w:p>
    <w:p w14:paraId="7E232450" w14:textId="77777777" w:rsidR="004635D2" w:rsidRDefault="005361EF">
      <w:pPr>
        <w:jc w:val="both"/>
        <w:rPr>
          <w:rFonts w:eastAsia="Calibri"/>
          <w:i/>
        </w:rPr>
      </w:pPr>
      <w:r>
        <w:rPr>
          <w:i/>
        </w:rPr>
        <w:t>(</w:t>
      </w:r>
      <w:r>
        <w:rPr>
          <w:i/>
          <w:shd w:val="clear" w:color="auto" w:fill="FFFFFF"/>
        </w:rPr>
        <w:t>Rząd jest upoważniony do ustanowienia w drodze rozporządzenia szczegółowych zasad w następującym zakresie:)</w:t>
      </w:r>
    </w:p>
    <w:p w14:paraId="25351490" w14:textId="77777777" w:rsidR="004635D2" w:rsidRDefault="004635D2">
      <w:pPr>
        <w:jc w:val="both"/>
        <w:rPr>
          <w:rFonts w:eastAsia="Calibri"/>
        </w:rPr>
      </w:pPr>
    </w:p>
    <w:p w14:paraId="0062A9C4" w14:textId="77777777" w:rsidR="004635D2" w:rsidRDefault="005361EF">
      <w:pPr>
        <w:jc w:val="both"/>
      </w:pPr>
      <w:r>
        <w:t>„</w:t>
      </w:r>
      <w:r>
        <w:rPr>
          <w:i/>
        </w:rPr>
        <w:t>a)</w:t>
      </w:r>
      <w:r>
        <w:t xml:space="preserve"> </w:t>
      </w:r>
      <w:r>
        <w:rPr>
          <w:shd w:val="clear" w:color="auto" w:fill="FFFFFF"/>
        </w:rPr>
        <w:t>ostrzeżenia mieszane, ostrzeżenia związane z ochroną zdrowia i szczegółowe zasady ich stosowania, opakowania konsumenckie wyrobów tytoniowych i papierosów elektronicznych, pojemników z wymiennym wkładem, urządzeń elektronicznych imitujących wyroby tytoniowe, pojemników z wymiennym wkładem niezawierającym nikotyny</w:t>
      </w:r>
      <w:r>
        <w:t xml:space="preserve"> i urządzeń elektronicznych imitujących wyroby tytoniowe zawierających nikotynę, </w:t>
      </w:r>
      <w:r>
        <w:rPr>
          <w:shd w:val="clear" w:color="auto" w:fill="FFFFFF"/>
        </w:rPr>
        <w:t xml:space="preserve">szczegółowe zasady dotyczące opakowań i warunków ograniczenia palenia tytoniu , a także treści i formy oznakowania i umieszczania informacji na temat ograniczenia palenia tytoniu oraz miejsc do tego wyznaczonych, jak również korzystania z papierosów elektronicznych, urządzeń elektronicznych imitujących wyroby tytoniowe, </w:t>
      </w:r>
      <w:r>
        <w:t>urządzeń elektronicznych imitujących wyroby tytoniowe zawierających nikotynę</w:t>
      </w:r>
      <w:r>
        <w:rPr>
          <w:shd w:val="clear" w:color="auto" w:fill="FFFFFF"/>
        </w:rPr>
        <w:t xml:space="preserve"> oraz inne warunki dotyczące produkcji, dystrybucji i kontroli wyrobów tytoniowych, papierosów elektronicznych, pojemników z wymiennym wkładem, urządzeń elektronicznych imitujących </w:t>
      </w:r>
      <w:r>
        <w:rPr>
          <w:shd w:val="clear" w:color="auto" w:fill="FFFFFF"/>
        </w:rPr>
        <w:lastRenderedPageBreak/>
        <w:t>wyroby tytoniowe, pojemników z wymiennym wkładem niezawierającym nikotyny i urządzeń elektronicznych imitujących wyroby tytoniowe zawierających nikotynę.</w:t>
      </w:r>
    </w:p>
    <w:p w14:paraId="64176253" w14:textId="77777777" w:rsidR="004635D2" w:rsidRDefault="004635D2">
      <w:pPr>
        <w:ind w:left="34"/>
        <w:jc w:val="both"/>
        <w:rPr>
          <w:rFonts w:eastAsia="Calibri"/>
        </w:rPr>
      </w:pPr>
    </w:p>
    <w:p w14:paraId="7023E4BD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45. §</w:t>
      </w:r>
    </w:p>
    <w:p w14:paraId="2C0B260A" w14:textId="77777777" w:rsidR="004635D2" w:rsidRDefault="004635D2">
      <w:pPr>
        <w:jc w:val="both"/>
        <w:rPr>
          <w:rFonts w:eastAsia="Calibri"/>
        </w:rPr>
      </w:pPr>
    </w:p>
    <w:p w14:paraId="42BF1F61" w14:textId="77777777" w:rsidR="004635D2" w:rsidRDefault="005361EF">
      <w:pPr>
        <w:jc w:val="both"/>
        <w:rPr>
          <w:rFonts w:eastAsia="Calibri"/>
        </w:rPr>
      </w:pPr>
      <w:r>
        <w:t xml:space="preserve"> W ustawie Nvt.: </w:t>
      </w:r>
    </w:p>
    <w:p w14:paraId="3923AC99" w14:textId="77777777" w:rsidR="004635D2" w:rsidRDefault="005361EF">
      <w:pPr>
        <w:widowControl w:val="0"/>
      </w:pPr>
      <w:r>
        <w:t>a) W § 1 rozporządzenia: W § sekcji r) wyrazy „zawierające nikotynę” zastępuje się wyrazami „zawierające nikotynę w dowolnej postaci”,</w:t>
      </w:r>
    </w:p>
    <w:p w14:paraId="28A133B0" w14:textId="77777777" w:rsidR="004635D2" w:rsidRDefault="005361EF">
      <w:pPr>
        <w:widowControl w:val="0"/>
      </w:pPr>
      <w:r>
        <w:t>b) w § 1, § w artykule (s) wyrazy „niezawierające nikotyny” zastępuje się wyrazami „wyłącznie niezawierające nikotyny”,</w:t>
      </w:r>
    </w:p>
    <w:p w14:paraId="4B48B310" w14:textId="77777777" w:rsidR="004635D2" w:rsidRDefault="005361EF">
      <w:pPr>
        <w:widowControl w:val="0"/>
      </w:pPr>
      <w:r>
        <w:t>c) § 8, § ust. 3„Ustawa CIII z 1997 r. o szczególnych zasadach wprowadzania wyrobów akcyzowych do obrotu” zastępuje się wyrazami „Ustawa LXVIII z 2016 r. o podatku akcyzowym”,</w:t>
      </w:r>
    </w:p>
    <w:p w14:paraId="3F0A5BA2" w14:textId="77777777" w:rsidR="004635D2" w:rsidRDefault="005361EF">
      <w:pPr>
        <w:widowControl w:val="0"/>
      </w:pPr>
      <w:r>
        <w:t>(d) w sekcji 8 § artykuł 4c ust. a) wyrazy „pojemniki z wymiennym wkładem i produkty do palenia” zastępuje się wyrazami „pojemniki z wymiennym wkładem, pojemniki z wymiennym wkładem niezawierającym nikotyny, produkty zastępujące wyroby tytoniowe zawierające nikotynę i produkty do palenia”.</w:t>
      </w:r>
    </w:p>
    <w:p w14:paraId="0B6A2222" w14:textId="77777777" w:rsidR="004635D2" w:rsidRDefault="005361EF">
      <w:pPr>
        <w:jc w:val="both"/>
        <w:rPr>
          <w:rFonts w:eastAsia="Calibri"/>
        </w:rPr>
      </w:pPr>
      <w:r>
        <w:t xml:space="preserve">. </w:t>
      </w:r>
    </w:p>
    <w:p w14:paraId="01AC2262" w14:textId="77777777" w:rsidR="004635D2" w:rsidRDefault="004635D2">
      <w:pPr>
        <w:jc w:val="center"/>
        <w:rPr>
          <w:rFonts w:eastAsia="Calibri"/>
          <w:b/>
        </w:rPr>
      </w:pPr>
    </w:p>
    <w:p w14:paraId="43AFCDA3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46. §</w:t>
      </w:r>
    </w:p>
    <w:p w14:paraId="4A70BD5C" w14:textId="77777777" w:rsidR="004635D2" w:rsidRDefault="004635D2">
      <w:pPr>
        <w:rPr>
          <w:rFonts w:eastAsia="Calibri"/>
        </w:rPr>
      </w:pPr>
    </w:p>
    <w:p w14:paraId="621D466A" w14:textId="77777777" w:rsidR="004635D2" w:rsidRDefault="005361EF">
      <w:pPr>
        <w:rPr>
          <w:rFonts w:eastAsia="Calibri"/>
        </w:rPr>
      </w:pPr>
      <w:r>
        <w:t>Uchyla się następujące artykuły ustawy Nvt. (ustawy o ochronie osób niepalących):</w:t>
      </w:r>
    </w:p>
    <w:p w14:paraId="1823421A" w14:textId="733269F4" w:rsidR="004635D2" w:rsidRDefault="005361EF">
      <w:pPr>
        <w:rPr>
          <w:rFonts w:eastAsia="Calibri"/>
        </w:rPr>
      </w:pPr>
      <w:r>
        <w:t>a) 7/K–7/L. §a</w:t>
      </w:r>
    </w:p>
    <w:p w14:paraId="1BABA103" w14:textId="77777777" w:rsidR="004635D2" w:rsidRDefault="005361EF">
      <w:pPr>
        <w:rPr>
          <w:rFonts w:eastAsia="Calibri"/>
        </w:rPr>
      </w:pPr>
      <w:r>
        <w:t>b) w § 8 § artykuł 2,</w:t>
      </w:r>
    </w:p>
    <w:p w14:paraId="224CA118" w14:textId="77777777" w:rsidR="004635D2" w:rsidRDefault="005361EF">
      <w:pPr>
        <w:rPr>
          <w:rFonts w:eastAsia="Calibri"/>
        </w:rPr>
      </w:pPr>
      <w:r>
        <w:t>c) § 8, § ust. 4d, oraz</w:t>
      </w:r>
    </w:p>
    <w:p w14:paraId="70CCE79D" w14:textId="77777777" w:rsidR="004635D2" w:rsidRDefault="005361EF">
      <w:pPr>
        <w:spacing w:line="276" w:lineRule="auto"/>
        <w:jc w:val="both"/>
        <w:rPr>
          <w:rFonts w:eastAsia="Calibri"/>
        </w:rPr>
      </w:pPr>
      <w:r>
        <w:t xml:space="preserve">d) w sekcji 8 § art. 5 ust. </w:t>
      </w:r>
      <w:r>
        <w:rPr>
          <w:i/>
        </w:rPr>
        <w:t>k).</w:t>
      </w:r>
    </w:p>
    <w:sectPr w:rsidR="004635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89B2" w14:textId="77777777" w:rsidR="00CA3AE4" w:rsidRDefault="00CA3AE4">
      <w:r>
        <w:separator/>
      </w:r>
    </w:p>
  </w:endnote>
  <w:endnote w:type="continuationSeparator" w:id="0">
    <w:p w14:paraId="28F66F0E" w14:textId="77777777" w:rsidR="00CA3AE4" w:rsidRDefault="00CA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6477976"/>
      <w:docPartObj>
        <w:docPartGallery w:val="Page Numbers (Bottom of Page)"/>
        <w:docPartUnique/>
      </w:docPartObj>
    </w:sdtPr>
    <w:sdtEndPr/>
    <w:sdtContent>
      <w:p w14:paraId="59884867" w14:textId="77777777" w:rsidR="004635D2" w:rsidRDefault="005361EF">
        <w:pPr>
          <w:pStyle w:val="Footer"/>
          <w:jc w:val="right"/>
          <w:rPr>
            <w:sz w:val="20"/>
            <w:szCs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5C4D1A"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5DF5" w14:textId="77777777" w:rsidR="00CA3AE4" w:rsidRDefault="00CA3AE4">
      <w:r>
        <w:separator/>
      </w:r>
    </w:p>
  </w:footnote>
  <w:footnote w:type="continuationSeparator" w:id="0">
    <w:p w14:paraId="0D6371AD" w14:textId="77777777" w:rsidR="00CA3AE4" w:rsidRDefault="00CA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4F9FF" w14:textId="77777777" w:rsidR="004635D2" w:rsidRDefault="005361EF">
    <w:pPr>
      <w:pStyle w:val="Header"/>
      <w:jc w:val="center"/>
      <w:rPr>
        <w:sz w:val="20"/>
      </w:rPr>
    </w:pPr>
    <w:r>
      <w:rPr>
        <w:sz w:val="20"/>
      </w:rPr>
      <w:t>Rząd nie przedyskutował niniejsze propozycji, dlatego też nie można jej uznać za stanowisko rządu.</w:t>
    </w:r>
  </w:p>
  <w:p w14:paraId="3E97A193" w14:textId="77777777" w:rsidR="004635D2" w:rsidRDefault="0046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7914" w14:textId="77777777" w:rsidR="004635D2" w:rsidRDefault="004635D2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90A09"/>
    <w:multiLevelType w:val="multilevel"/>
    <w:tmpl w:val="4164F2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5D2"/>
    <w:rsid w:val="004635D2"/>
    <w:rsid w:val="005361EF"/>
    <w:rsid w:val="0058687C"/>
    <w:rsid w:val="005C4D1A"/>
    <w:rsid w:val="00CA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9E30"/>
  <w15:docId w15:val="{A77CCF9F-4123-4041-8FA6-FD55D084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next w:val="Normal"/>
    <w:link w:val="Heading1Char"/>
    <w:qFormat/>
    <w:rsid w:val="00A365D9"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365D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365D9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365D9"/>
    <w:pPr>
      <w:keepNext/>
      <w:numPr>
        <w:ilvl w:val="3"/>
        <w:numId w:val="1"/>
      </w:numPr>
      <w:tabs>
        <w:tab w:val="left" w:pos="5387"/>
      </w:tabs>
      <w:outlineLvl w:val="3"/>
    </w:pPr>
    <w:rPr>
      <w:bCs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A365D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65D9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A365D9"/>
    <w:pPr>
      <w:keepNext/>
      <w:numPr>
        <w:ilvl w:val="6"/>
        <w:numId w:val="1"/>
      </w:numPr>
      <w:ind w:right="-288" w:firstLine="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A365D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365D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365D9"/>
    <w:rPr>
      <w:rFonts w:ascii="Arial" w:eastAsia="Times New Roman" w:hAnsi="Arial" w:cs="Times New Roman"/>
      <w:b/>
      <w:bCs/>
      <w:kern w:val="2"/>
      <w:sz w:val="32"/>
      <w:szCs w:val="32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365D9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Heading3Char">
    <w:name w:val="Heading 3 Char"/>
    <w:basedOn w:val="DefaultParagraphFont"/>
    <w:link w:val="Heading3"/>
    <w:qFormat/>
    <w:rsid w:val="00A365D9"/>
    <w:rPr>
      <w:rFonts w:ascii="Times New Roman" w:eastAsia="Times New Roman" w:hAnsi="Times New Roman" w:cs="Times New Roman"/>
      <w:b/>
      <w:bCs/>
      <w:sz w:val="28"/>
      <w:szCs w:val="26"/>
      <w:lang w:eastAsia="hu-HU"/>
    </w:rPr>
  </w:style>
  <w:style w:type="character" w:customStyle="1" w:styleId="Heading4Char">
    <w:name w:val="Heading 4 Char"/>
    <w:basedOn w:val="DefaultParagraphFont"/>
    <w:link w:val="Heading4"/>
    <w:qFormat/>
    <w:rsid w:val="00A365D9"/>
    <w:rPr>
      <w:rFonts w:ascii="Times New Roman" w:eastAsia="Times New Roman" w:hAnsi="Times New Roman" w:cs="Times New Roman"/>
      <w:bCs/>
      <w:sz w:val="28"/>
      <w:szCs w:val="20"/>
      <w:lang w:eastAsia="hu-HU"/>
    </w:rPr>
  </w:style>
  <w:style w:type="character" w:customStyle="1" w:styleId="Heading5Char">
    <w:name w:val="Heading 5 Char"/>
    <w:basedOn w:val="DefaultParagraphFont"/>
    <w:link w:val="Heading5"/>
    <w:qFormat/>
    <w:rsid w:val="00A365D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Heading6Char">
    <w:name w:val="Heading 6 Char"/>
    <w:basedOn w:val="DefaultParagraphFont"/>
    <w:link w:val="Heading6"/>
    <w:qFormat/>
    <w:rsid w:val="00A365D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Heading7Char">
    <w:name w:val="Heading 7 Char"/>
    <w:basedOn w:val="DefaultParagraphFont"/>
    <w:link w:val="Heading7"/>
    <w:qFormat/>
    <w:rsid w:val="00A365D9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Heading8Char">
    <w:name w:val="Heading 8 Char"/>
    <w:basedOn w:val="DefaultParagraphFont"/>
    <w:link w:val="Heading8"/>
    <w:qFormat/>
    <w:rsid w:val="00A365D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qFormat/>
    <w:rsid w:val="00A365D9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istParagraphChar">
    <w:name w:val="List Paragraph Char"/>
    <w:link w:val="ListParagraph"/>
    <w:uiPriority w:val="34"/>
    <w:qFormat/>
    <w:locked/>
    <w:rsid w:val="00A365D9"/>
    <w:rPr>
      <w:rFonts w:ascii="Calibri" w:eastAsia="Calibri" w:hAnsi="Calibri" w:cs="Times New Roman"/>
    </w:rPr>
  </w:style>
  <w:style w:type="character" w:customStyle="1" w:styleId="Internet-hivatkozs">
    <w:name w:val="Internet-hivatkozás"/>
    <w:uiPriority w:val="99"/>
    <w:rsid w:val="00A365D9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365D9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angslyozs">
    <w:name w:val="Hangsúlyozás"/>
    <w:basedOn w:val="DefaultParagraphFont"/>
    <w:uiPriority w:val="20"/>
    <w:qFormat/>
    <w:rsid w:val="004D00A7"/>
    <w:rPr>
      <w:i/>
      <w:iCs/>
    </w:rPr>
  </w:style>
  <w:style w:type="character" w:styleId="CommentReference">
    <w:name w:val="annotation reference"/>
    <w:basedOn w:val="DefaultParagraphFont"/>
    <w:uiPriority w:val="99"/>
    <w:semiHidden/>
    <w:qFormat/>
    <w:rsid w:val="00B70A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0AA7"/>
    <w:rPr>
      <w:rFonts w:ascii="Bookman Old Style" w:eastAsia="Times New Roman" w:hAnsi="Bookman Old Style" w:cs="Bookman Old Style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0AA7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lfejChar">
    <w:name w:val="Élőfej Char"/>
    <w:basedOn w:val="DefaultParagraphFont"/>
    <w:uiPriority w:val="99"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DefaultParagraphFont"/>
    <w:uiPriority w:val="99"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613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BodyTextIndentChar">
    <w:name w:val="Body Text Indent Char"/>
    <w:basedOn w:val="DefaultParagraphFont"/>
    <w:link w:val="BodyTextIndent"/>
    <w:qFormat/>
    <w:rsid w:val="00045E9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Strong">
    <w:name w:val="Strong"/>
    <w:uiPriority w:val="22"/>
    <w:qFormat/>
    <w:rsid w:val="00045E9D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F26B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ekezdsalapbettpusa1">
    <w:name w:val="Bekezdés alapbetűtípusa1"/>
    <w:qFormat/>
    <w:rsid w:val="00CB2C44"/>
  </w:style>
  <w:style w:type="character" w:customStyle="1" w:styleId="Sorszmozs">
    <w:name w:val="Sorszámozás"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al"/>
    <w:qFormat/>
    <w:pPr>
      <w:suppressLineNumbers/>
    </w:pPr>
    <w:rPr>
      <w:rFonts w:cs="Arial"/>
    </w:rPr>
  </w:style>
  <w:style w:type="paragraph" w:customStyle="1" w:styleId="Iktatszm">
    <w:name w:val="Iktatószám"/>
    <w:basedOn w:val="Normal"/>
    <w:uiPriority w:val="99"/>
    <w:qFormat/>
    <w:rsid w:val="00A365D9"/>
    <w:pPr>
      <w:jc w:val="center"/>
    </w:pPr>
    <w:rPr>
      <w:b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A365D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qFormat/>
    <w:rsid w:val="00A365D9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B70AA7"/>
    <w:rPr>
      <w:rFonts w:ascii="Bookman Old Style" w:hAnsi="Bookman Old Style" w:cs="Bookman Old Style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0AA7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al"/>
    <w:qFormat/>
  </w:style>
  <w:style w:type="paragraph" w:styleId="Header">
    <w:name w:val="header"/>
    <w:basedOn w:val="Normal"/>
    <w:uiPriority w:val="99"/>
    <w:unhideWhenUsed/>
    <w:rsid w:val="00445B6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unhideWhenUsed/>
    <w:rsid w:val="00445B60"/>
    <w:pPr>
      <w:tabs>
        <w:tab w:val="center" w:pos="4536"/>
        <w:tab w:val="right" w:pos="9072"/>
      </w:tabs>
    </w:pPr>
  </w:style>
  <w:style w:type="paragraph" w:styleId="Revision">
    <w:name w:val="Revision"/>
    <w:uiPriority w:val="99"/>
    <w:semiHidden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qFormat/>
    <w:rsid w:val="006851EB"/>
    <w:pPr>
      <w:spacing w:beforeAutospacing="1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132E"/>
    <w:rPr>
      <w:rFonts w:ascii="Times New Roman" w:hAnsi="Times New Roman" w:cs="Times New Roman"/>
      <w:b/>
      <w:bCs/>
      <w:lang w:eastAsia="hu-HU"/>
    </w:rPr>
  </w:style>
  <w:style w:type="paragraph" w:styleId="BodyTextIndent">
    <w:name w:val="Body Text Indent"/>
    <w:basedOn w:val="Normal"/>
    <w:link w:val="BodyTextIndentChar"/>
    <w:rsid w:val="00045E9D"/>
    <w:pPr>
      <w:ind w:firstLine="567"/>
      <w:jc w:val="both"/>
    </w:pPr>
    <w:rPr>
      <w:sz w:val="28"/>
      <w:szCs w:val="20"/>
    </w:rPr>
  </w:style>
  <w:style w:type="paragraph" w:customStyle="1" w:styleId="cf0">
    <w:name w:val="cf0"/>
    <w:basedOn w:val="Normal"/>
    <w:qFormat/>
    <w:rsid w:val="008927D4"/>
    <w:pPr>
      <w:spacing w:beforeAutospacing="1" w:afterAutospacing="1"/>
    </w:pPr>
  </w:style>
  <w:style w:type="paragraph" w:customStyle="1" w:styleId="TextBody">
    <w:name w:val="Text Body"/>
    <w:basedOn w:val="Normal"/>
    <w:uiPriority w:val="99"/>
    <w:qFormat/>
    <w:rsid w:val="00286C00"/>
    <w:pPr>
      <w:widowControl w:val="0"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customStyle="1" w:styleId="Default">
    <w:name w:val="Default"/>
    <w:qFormat/>
    <w:rsid w:val="00B07BA6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26B04"/>
    <w:pPr>
      <w:spacing w:after="120" w:line="480" w:lineRule="auto"/>
    </w:pPr>
  </w:style>
  <w:style w:type="paragraph" w:customStyle="1" w:styleId="wordsection1">
    <w:name w:val="wordsection1"/>
    <w:basedOn w:val="Normal"/>
    <w:uiPriority w:val="99"/>
    <w:qFormat/>
    <w:rsid w:val="002C2472"/>
    <w:pPr>
      <w:spacing w:beforeAutospacing="1" w:afterAutospacing="1"/>
    </w:pPr>
    <w:rPr>
      <w:rFonts w:eastAsiaTheme="minorHAnsi"/>
    </w:rPr>
  </w:style>
  <w:style w:type="paragraph" w:customStyle="1" w:styleId="Standard">
    <w:name w:val="Standard"/>
    <w:qFormat/>
    <w:rsid w:val="00CB2C44"/>
    <w:pPr>
      <w:spacing w:after="160" w:line="252" w:lineRule="auto"/>
      <w:textAlignment w:val="baseline"/>
    </w:pPr>
    <w:rPr>
      <w:rFonts w:eastAsia="SimSun" w:cs="F"/>
      <w:kern w:val="2"/>
      <w:lang w:eastAsia="hu-HU"/>
    </w:rPr>
  </w:style>
  <w:style w:type="paragraph" w:customStyle="1" w:styleId="Bekezds">
    <w:name w:val="Bekezdés"/>
    <w:uiPriority w:val="99"/>
    <w:qFormat/>
    <w:rsid w:val="000B3E16"/>
    <w:pPr>
      <w:widowControl w:val="0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ableGrid">
    <w:name w:val="Table Grid"/>
    <w:basedOn w:val="TableNormal"/>
    <w:uiPriority w:val="59"/>
    <w:rsid w:val="0000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6CCD-264F-4DEB-9262-8546EA21D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949EB-1E4E-4917-8E44-96CD6FC53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0BF0-A569-43E6-A121-7B0F8B093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9ABDF-1029-48EA-B656-0D473EDF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Gröschl Ildikó</dc:creator>
  <cp:lastModifiedBy>Dimitra Loupi</cp:lastModifiedBy>
  <cp:revision>3</cp:revision>
  <cp:lastPrinted>2021-03-31T08:26:00Z</cp:lastPrinted>
  <dcterms:created xsi:type="dcterms:W3CDTF">2021-03-31T08:27:00Z</dcterms:created>
  <dcterms:modified xsi:type="dcterms:W3CDTF">2021-04-13T07:49:00Z</dcterms:modified>
  <dc:language>hu-HU</dc:language>
</cp:coreProperties>
</file>