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2F48F" w14:textId="77777777" w:rsidR="006C19EC" w:rsidRDefault="00FC378D" w:rsidP="002A3743">
      <w:pPr>
        <w:spacing w:after="0" w:line="320" w:lineRule="atLeast"/>
        <w:jc w:val="center"/>
        <w:rPr>
          <w:b/>
          <w:sz w:val="28"/>
        </w:rPr>
      </w:pPr>
      <w:r>
        <w:rPr>
          <w:b/>
          <w:sz w:val="28"/>
        </w:rPr>
        <w:t>Az állami médiaszerződés (MStV) 84. §-ának (8) bekezdése szerinti rendeletek végrehajtásának alapokmánya a magánajánlatok megtalálásának megkönnyítése érdekében</w:t>
      </w:r>
    </w:p>
    <w:p w14:paraId="562CFE12" w14:textId="77777777" w:rsidR="00FC378D" w:rsidRPr="00FC378D" w:rsidRDefault="00FC378D" w:rsidP="002A3743">
      <w:pPr>
        <w:spacing w:after="0" w:line="320" w:lineRule="atLeast"/>
        <w:jc w:val="center"/>
        <w:rPr>
          <w:b/>
          <w:sz w:val="28"/>
        </w:rPr>
      </w:pPr>
      <w:r>
        <w:rPr>
          <w:b/>
          <w:sz w:val="28"/>
        </w:rPr>
        <w:t>(Közértékekre vonatkozó alapokmány)</w:t>
      </w:r>
    </w:p>
    <w:p w14:paraId="171BD681" w14:textId="77777777" w:rsidR="00FC378D" w:rsidRDefault="00FC378D" w:rsidP="00164A49">
      <w:pPr>
        <w:spacing w:after="0" w:line="320" w:lineRule="atLeast"/>
        <w:rPr>
          <w:rFonts w:eastAsia="Times New Roman" w:cstheme="minorHAnsi"/>
          <w:b/>
          <w:sz w:val="28"/>
          <w:szCs w:val="28"/>
          <w:lang w:eastAsia="de-DE"/>
        </w:rPr>
      </w:pPr>
    </w:p>
    <w:p w14:paraId="2200BDCD" w14:textId="77777777" w:rsidR="00CE3778" w:rsidRDefault="00CE3778" w:rsidP="00164A49">
      <w:pPr>
        <w:spacing w:after="0" w:line="320" w:lineRule="atLeast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>Preambulum</w:t>
      </w:r>
    </w:p>
    <w:p w14:paraId="117E1806" w14:textId="77777777" w:rsidR="00CE3778" w:rsidRDefault="00CE3778" w:rsidP="00164A49">
      <w:pPr>
        <w:spacing w:after="0" w:line="320" w:lineRule="atLeast"/>
      </w:pPr>
    </w:p>
    <w:p w14:paraId="2D6C5AA6" w14:textId="77777777" w:rsidR="00164A49" w:rsidRDefault="00164A49" w:rsidP="00164A49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A megtalálhatóság egyre fontosabbá válik a tartalomajánlatok esetében – különösen az interneten. Az ajánlatok növekvő mennyisége és változatossága egyre nehezebbé teszi például a költségigényes újságírói ajánlatok számára az újrafinanszírozáshoz szükséges figyelem felkeltését.</w:t>
      </w:r>
    </w:p>
    <w:p w14:paraId="30DE5C2F" w14:textId="77777777" w:rsidR="009D766D" w:rsidRPr="00164A49" w:rsidRDefault="009D766D" w:rsidP="00164A49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5D8354A8" w14:textId="77777777" w:rsidR="00CE3778" w:rsidRPr="00164A49" w:rsidRDefault="00CE3778" w:rsidP="00164A49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 xml:space="preserve">Az állami médiaszerződésben meghatározott, a közvélemény kialakítása szempontjából különösen releváns felhasználói felületekre vonatkozó egyes ajánlatok megtalálását elősegítő mechanizmus két alapvető szabályozási célkitűzést követ. Ez közvetlen egyéni előnyökkel jár a kedvezményezett számára, ami a közvélemény egészét is érinti. A könnyű megtalálhatóság célja, hogy ösztönözze azokat a meglévő szereplőket, akik a közvélemény kialakításához kapcsolódó, releváns tartalmat kínálnak, és hogy ezt ez elköteleződést más szolgáltatók számára is vonzóvá tegyék. </w:t>
      </w:r>
    </w:p>
    <w:p w14:paraId="1253AC37" w14:textId="77777777" w:rsidR="00CE3778" w:rsidRDefault="00CE3778" w:rsidP="00124452">
      <w:pPr>
        <w:spacing w:after="0" w:line="320" w:lineRule="atLeast"/>
        <w:rPr>
          <w:rFonts w:eastAsia="Times New Roman" w:cstheme="minorHAnsi"/>
          <w:b/>
          <w:sz w:val="28"/>
          <w:szCs w:val="28"/>
          <w:lang w:eastAsia="de-DE"/>
        </w:rPr>
      </w:pPr>
    </w:p>
    <w:p w14:paraId="1BC19430" w14:textId="77777777" w:rsidR="00124452" w:rsidRDefault="00124452" w:rsidP="00124452">
      <w:pPr>
        <w:spacing w:after="0" w:line="320" w:lineRule="atLeast"/>
        <w:rPr>
          <w:rFonts w:eastAsia="Times New Roman" w:cstheme="minorHAnsi"/>
          <w:b/>
          <w:sz w:val="24"/>
          <w:szCs w:val="24"/>
          <w:lang w:eastAsia="de-DE"/>
        </w:rPr>
      </w:pPr>
    </w:p>
    <w:p w14:paraId="6C5EC6F5" w14:textId="77777777" w:rsidR="00560C7C" w:rsidRPr="00C03C27" w:rsidRDefault="00E407BC" w:rsidP="008A13E9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 xml:space="preserve">1. § </w:t>
      </w:r>
    </w:p>
    <w:p w14:paraId="0B0396D3" w14:textId="77777777" w:rsidR="00E407BC" w:rsidRPr="00E407BC" w:rsidRDefault="00E407BC" w:rsidP="008A13E9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>Cél</w:t>
      </w:r>
    </w:p>
    <w:p w14:paraId="23BDCCD5" w14:textId="77777777" w:rsidR="00E407BC" w:rsidRPr="00E407BC" w:rsidRDefault="00E407BC" w:rsidP="00F91BBA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4367D95A" w14:textId="77777777" w:rsidR="00E407BC" w:rsidRDefault="00E407BC" w:rsidP="00F91BBA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 xml:space="preserve">Az állami médiahatóságok az állami médiaszerződés (MStV) 84. § -ának (3) bekezdésének (2) albekezdésében és (4) bekezdésében meghatározottak szerint (meghatározási eljárás) az ajánlatok szolgáltatóit (a továbbiakban: ajánlattétel) az állami médiaszerződés (MStV) 84. cikkének (5) bekezdésével összhangban határozzák meg. </w:t>
      </w:r>
    </w:p>
    <w:p w14:paraId="020A2099" w14:textId="77777777" w:rsidR="00301916" w:rsidRDefault="00301916" w:rsidP="00F91BBA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59914B52" w14:textId="77777777" w:rsidR="00124452" w:rsidRPr="00E407BC" w:rsidRDefault="00124452" w:rsidP="00F91BBA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36037C68" w14:textId="77777777" w:rsidR="00560C7C" w:rsidRPr="00C03C27" w:rsidRDefault="00E407BC" w:rsidP="008A13E9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 xml:space="preserve">2. § </w:t>
      </w:r>
    </w:p>
    <w:p w14:paraId="3EC876AD" w14:textId="77777777" w:rsidR="00E407BC" w:rsidRPr="00C03C27" w:rsidRDefault="00E407BC" w:rsidP="008A13E9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>Jogosultság a kérelem benyújtására</w:t>
      </w:r>
    </w:p>
    <w:p w14:paraId="2B7D9CF8" w14:textId="77777777" w:rsidR="00E407BC" w:rsidRPr="00E407BC" w:rsidRDefault="00E407BC" w:rsidP="00F91BBA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0CFBB2EF" w14:textId="77777777" w:rsidR="00E20C43" w:rsidRDefault="00E20C43" w:rsidP="00F81EB4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 xml:space="preserve">Az alábbiak jogosultak a benyújtásra: </w:t>
      </w:r>
    </w:p>
    <w:p w14:paraId="2F0C3053" w14:textId="77777777" w:rsidR="00E20C43" w:rsidRDefault="00E20C43" w:rsidP="00F81EB4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01A6AE28" w14:textId="77777777" w:rsidR="00E20C43" w:rsidRDefault="00F36BA7" w:rsidP="00F81EB4">
      <w:pPr>
        <w:pStyle w:val="ListParagraph"/>
        <w:numPr>
          <w:ilvl w:val="0"/>
          <w:numId w:val="4"/>
        </w:num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Az állami médiaszerződés (MStV) 84. §-ának (3) bekezdésének (2) albekezdése értelmében olyan műsorszórási ajánlatok, ahol a műsorszórás olyan magánszolgáltatóktól származik, akik különösen hozzájárulnak a németországi vélemények és ajánlatok sokféleségéhez, vagy</w:t>
      </w:r>
    </w:p>
    <w:p w14:paraId="7273EB60" w14:textId="77777777" w:rsidR="009D766D" w:rsidRDefault="009D766D" w:rsidP="009D766D">
      <w:pPr>
        <w:pStyle w:val="ListParagraph"/>
        <w:spacing w:after="0" w:line="320" w:lineRule="atLeast"/>
        <w:ind w:left="360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6419C094" w14:textId="40D654DA" w:rsidR="00D769EE" w:rsidRDefault="00F36BA7" w:rsidP="00F81EB4">
      <w:pPr>
        <w:pStyle w:val="ListParagraph"/>
        <w:numPr>
          <w:ilvl w:val="0"/>
          <w:numId w:val="4"/>
        </w:num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 xml:space="preserve">az állami médiaszerződés (MStV) 84. §-ának (4) bekezdése értelmében a magánszolgáltatók által kínált, hasonló televíziós közvetítésű vagy az állami médiaszerződés (MStV) 2. §-a (2) bekezdése (14) albekezdésének b) pontja szerinti </w:t>
      </w:r>
      <w:r>
        <w:rPr>
          <w:sz w:val="24"/>
        </w:rPr>
        <w:lastRenderedPageBreak/>
        <w:t>ajánlatok, amelyek különösen hozzájárulnak a németországi vélemények és ajánlatok sokféleségéhez, vagy a közvetlen ellenőrzésükhöz használt szoftveralapú alkalmazásokhoz.</w:t>
      </w:r>
    </w:p>
    <w:p w14:paraId="20402B54" w14:textId="77777777" w:rsidR="0043398C" w:rsidRDefault="0043398C" w:rsidP="0043398C"/>
    <w:p w14:paraId="4CB87D96" w14:textId="340433B3" w:rsidR="00124452" w:rsidRPr="0043398C" w:rsidRDefault="00124452" w:rsidP="0043398C">
      <w:pPr>
        <w:ind w:left="3540" w:firstLine="708"/>
        <w:rPr>
          <w:rFonts w:eastAsia="Times New Roman" w:cstheme="minorHAnsi"/>
          <w:sz w:val="24"/>
          <w:szCs w:val="24"/>
        </w:rPr>
      </w:pPr>
      <w:r>
        <w:rPr>
          <w:b/>
          <w:sz w:val="28"/>
        </w:rPr>
        <w:t>3. §</w:t>
      </w:r>
    </w:p>
    <w:p w14:paraId="5CB6BB9B" w14:textId="77777777" w:rsidR="00124452" w:rsidRPr="00C03C27" w:rsidRDefault="00124452" w:rsidP="00124452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>Felelősség és pályázati felhívás</w:t>
      </w:r>
    </w:p>
    <w:p w14:paraId="69481A86" w14:textId="77777777" w:rsidR="00124452" w:rsidRDefault="00124452" w:rsidP="00124452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0E2E7221" w14:textId="496D0BE9" w:rsidR="00A42418" w:rsidRDefault="00225CB9" w:rsidP="00A42418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(1) A meghatározási eljárást az engedélyezési és felügyeleti bizottság (ZAK) végzi (az állami médiaszerződés 105. §-a (1) bekezdésének (9) albekezdése). Az összes állami médiahatóság közös ajánlattételi felhívást kezdeményez, amely figyelembe veszi a bizottsági elnökök értekezletének (GVK) véleményét a hang- és mozgóképajánlatok (videók) terén. Az eljárásért felelős állami médiahatóságot az ajánlattételi felhívásban határozzák meg.</w:t>
      </w:r>
    </w:p>
    <w:p w14:paraId="26DD2199" w14:textId="77777777" w:rsidR="00225CB9" w:rsidRDefault="00225CB9" w:rsidP="00124452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0C5EBA9C" w14:textId="776ECCB2" w:rsidR="00225CB9" w:rsidRDefault="00225CB9" w:rsidP="00225CB9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(2) Az ajánlattételi felhívás további, az eljárásra és a pályázatok benyújtására vonatkozó alapvető követelményekkel kapcsolatos szabályozásokat ír elő.</w:t>
      </w:r>
    </w:p>
    <w:p w14:paraId="2929A5DA" w14:textId="77777777" w:rsidR="00225CB9" w:rsidRDefault="00225CB9" w:rsidP="00124452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3DCC51FF" w14:textId="70AFCDCF" w:rsidR="00225CB9" w:rsidRDefault="00225CB9" w:rsidP="00124452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 xml:space="preserve">(3) Az ajánlattételi felhívást valamennyi állami médiahatóság megfelelő módon és a honlapon a „médiahatóságok” összefoglaló megnevezés alatt teszi közzé. </w:t>
      </w:r>
    </w:p>
    <w:p w14:paraId="62726725" w14:textId="77777777" w:rsidR="00124452" w:rsidRDefault="00124452" w:rsidP="00F91BBA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59EBE988" w14:textId="77777777" w:rsidR="0095583E" w:rsidRDefault="00225CB9" w:rsidP="00C03C27">
      <w:pPr>
        <w:spacing w:after="0" w:line="320" w:lineRule="atLeast"/>
        <w:rPr>
          <w:rFonts w:eastAsia="Times New Roman" w:cstheme="minorHAnsi"/>
          <w:sz w:val="24"/>
          <w:szCs w:val="24"/>
        </w:rPr>
      </w:pPr>
      <w:r>
        <w:rPr>
          <w:sz w:val="24"/>
        </w:rPr>
        <w:t>(4) Az ajánlattételi eljárás várhatóan 2021 szeptemberében kezdődik.</w:t>
      </w:r>
    </w:p>
    <w:p w14:paraId="4A6AE03F" w14:textId="77777777" w:rsidR="001B036F" w:rsidRDefault="001B036F" w:rsidP="00F91BBA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0129A290" w14:textId="77777777" w:rsidR="00537FB2" w:rsidRDefault="00537FB2" w:rsidP="00F91BBA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354E2157" w14:textId="77777777" w:rsidR="00537FB2" w:rsidRPr="000115F0" w:rsidRDefault="004B4D8D" w:rsidP="00537FB2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>4. §</w:t>
      </w:r>
    </w:p>
    <w:p w14:paraId="1161D4D6" w14:textId="77777777" w:rsidR="00537FB2" w:rsidRPr="000115F0" w:rsidRDefault="00537FB2" w:rsidP="00537FB2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>A kérelem benyújtása</w:t>
      </w:r>
    </w:p>
    <w:p w14:paraId="712EC6A1" w14:textId="77777777" w:rsidR="00537FB2" w:rsidRDefault="00537FB2" w:rsidP="00F91BBA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2A870F7B" w14:textId="77777777" w:rsidR="00537FB2" w:rsidRDefault="00537FB2" w:rsidP="00537FB2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 xml:space="preserve">(1) A kérelmeket írásban kell benyújtani az illetékes állami médiahatósághoz, az adott ajánlattételi felhívásban meghatározott határidőn belül. A kérelmeket olyan dokumentumoknak kell kísérniük, amelyek lehetővé teszik a vélemények sokféleségéhez való hozzájárulás, valamint az adott ajánlat vagy szoftveralapú alkalmazás ajánlatainak felülvizsgálatát, és legalább a következő információkat kell tartalmazniuk: </w:t>
      </w:r>
    </w:p>
    <w:p w14:paraId="1A699CA8" w14:textId="77777777" w:rsidR="00F36BA7" w:rsidRDefault="00F36BA7" w:rsidP="00537FB2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60AB8AA2" w14:textId="77777777" w:rsidR="00F36BA7" w:rsidRDefault="00F36BA7" w:rsidP="00AD53E0">
      <w:pPr>
        <w:pStyle w:val="ListParagraph"/>
        <w:numPr>
          <w:ilvl w:val="0"/>
          <w:numId w:val="6"/>
        </w:num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Olyan tényeket, amelyekből következik, hogy az ajánlat az állami médiaszerződés 84. §-ának (3) bekezdése alapján magáncélú műsorszolgáltatási ajánlat, vagy az állami médiaszerződés 84. §-ának (4) bekezdése szerinti, összehasonlítható magáncélú televíziós ajánlat, vagy a 2. § (2) bekezdése (14) albekezdése b) pontja szerinti ajánlat, vagy közvetlenül annak ellenőrzésére szolgáló szoftveralapú alkalmazás.</w:t>
      </w:r>
    </w:p>
    <w:p w14:paraId="2FF24C22" w14:textId="77777777" w:rsidR="00F36BA7" w:rsidRDefault="00F36BA7" w:rsidP="00F36BA7">
      <w:pPr>
        <w:pStyle w:val="ListParagraph"/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7D5F81AD" w14:textId="77777777" w:rsidR="00537FB2" w:rsidRDefault="009D766D" w:rsidP="00537FB2">
      <w:pPr>
        <w:pStyle w:val="ListParagraph"/>
        <w:numPr>
          <w:ilvl w:val="0"/>
          <w:numId w:val="6"/>
        </w:num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Az ajánlat tartalmának leírását, valamint annak magyarázatát, hogy az hogyan járul hozzá a németországi ajánlatok és vélemények sokféleségéhez.</w:t>
      </w:r>
    </w:p>
    <w:p w14:paraId="53FEB512" w14:textId="77777777" w:rsidR="009D766D" w:rsidRPr="009D766D" w:rsidRDefault="009D766D" w:rsidP="009D766D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6D754AAE" w14:textId="5CD6AA75" w:rsidR="00D769EE" w:rsidRDefault="00537FB2" w:rsidP="00537FB2">
      <w:pPr>
        <w:pStyle w:val="ListParagraph"/>
        <w:numPr>
          <w:ilvl w:val="0"/>
          <w:numId w:val="6"/>
        </w:num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Az állami médiaszerződés (MStV) 84. §-ának (5) bekezdése és a 7. §-a szerinti meghatározásban említett kritériumokra vonatkozó információkat.</w:t>
      </w:r>
    </w:p>
    <w:p w14:paraId="47BED891" w14:textId="262654F3" w:rsidR="00F36BA7" w:rsidRPr="00D769EE" w:rsidRDefault="00D769EE" w:rsidP="00D769EE">
      <w:pPr>
        <w:rPr>
          <w:rFonts w:eastAsia="Times New Roman" w:cstheme="minorHAnsi"/>
          <w:sz w:val="24"/>
          <w:szCs w:val="24"/>
        </w:rPr>
      </w:pPr>
      <w:r>
        <w:br w:type="page"/>
      </w:r>
    </w:p>
    <w:p w14:paraId="7F87071E" w14:textId="77777777" w:rsidR="004B4D8D" w:rsidRPr="009D766D" w:rsidRDefault="004B4D8D" w:rsidP="004B4D8D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lastRenderedPageBreak/>
        <w:t>5. §</w:t>
      </w:r>
    </w:p>
    <w:p w14:paraId="7A28FEEF" w14:textId="77777777" w:rsidR="004B4D8D" w:rsidRPr="009D766D" w:rsidRDefault="004B4D8D" w:rsidP="004B4D8D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>Eljárás</w:t>
      </w:r>
    </w:p>
    <w:p w14:paraId="11C90C8A" w14:textId="77777777" w:rsidR="004B4D8D" w:rsidRPr="009D766D" w:rsidRDefault="004B4D8D" w:rsidP="004B4D8D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68F2CB65" w14:textId="77777777" w:rsidR="004B4D8D" w:rsidRPr="009D766D" w:rsidRDefault="004B4D8D" w:rsidP="004B4D8D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(1) A beérkezett kérelmeket a felelős állami médiahatóság vizsgálja. Ellenőrzi, hogy az adott ajánlat vagy a megfelelő szoftveralapú alkalmazás meghatározására vonatkozó feltételek teljesülnek-e a 2., 7. és 8. §-nak megfelelően.</w:t>
      </w:r>
    </w:p>
    <w:p w14:paraId="4571C38C" w14:textId="77777777" w:rsidR="004B4D8D" w:rsidRPr="009D766D" w:rsidRDefault="004B4D8D" w:rsidP="004B4D8D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3867B43E" w14:textId="77777777" w:rsidR="004B4D8D" w:rsidRPr="009D766D" w:rsidRDefault="004B4D8D" w:rsidP="004B4D8D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(2) Az engedélyezési és felügyeleti bizottság (ZAK) határozat útján határozza meg, hogy az egyes ajánlatok vagy a megfelelő szoftveralapú alkalmazások esetében teljesülnek-e a feltételek.</w:t>
      </w:r>
    </w:p>
    <w:p w14:paraId="7D7A74F4" w14:textId="77777777" w:rsidR="004B4D8D" w:rsidRPr="009D766D" w:rsidRDefault="004B4D8D" w:rsidP="004B4D8D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5DE5AAF3" w14:textId="77777777" w:rsidR="004B4D8D" w:rsidRDefault="004B4D8D" w:rsidP="004B4D8D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 xml:space="preserve">(3) A hivatalos döntést a felelős állami médiahatóság hozza meg. E tekintetben az állami médiahatóságot az engedélyezési és felügyeleti bizottság (ZAK) határozatai kötik. </w:t>
      </w:r>
    </w:p>
    <w:p w14:paraId="4EDC2549" w14:textId="77777777" w:rsidR="007F62B2" w:rsidRDefault="007F62B2" w:rsidP="007F62B2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  <w:lang w:eastAsia="de-DE"/>
        </w:rPr>
      </w:pPr>
    </w:p>
    <w:p w14:paraId="6E8F48C5" w14:textId="77777777" w:rsidR="009D766D" w:rsidRDefault="009D766D" w:rsidP="007F62B2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  <w:lang w:eastAsia="de-DE"/>
        </w:rPr>
      </w:pPr>
    </w:p>
    <w:p w14:paraId="09E792F3" w14:textId="77777777" w:rsidR="007F62B2" w:rsidRPr="007F62B2" w:rsidRDefault="007F62B2" w:rsidP="007F62B2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>6. §</w:t>
      </w:r>
    </w:p>
    <w:p w14:paraId="13FD1E9D" w14:textId="77777777" w:rsidR="007F62B2" w:rsidRPr="007F62B2" w:rsidRDefault="007F62B2" w:rsidP="007F62B2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 xml:space="preserve">Az eljárás befejezése </w:t>
      </w:r>
    </w:p>
    <w:p w14:paraId="708C388F" w14:textId="77777777" w:rsidR="007F62B2" w:rsidRPr="00FC0C8B" w:rsidRDefault="007F62B2" w:rsidP="00FC0C8B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4E62C9BF" w14:textId="77777777" w:rsidR="007F62B2" w:rsidRPr="00FC0C8B" w:rsidRDefault="007F62B2" w:rsidP="00FC0C8B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(1) Az adott kérelemre vonatkozó határozatot közigazgatási eljárásban hozzák meg a kérelmező számára.</w:t>
      </w:r>
    </w:p>
    <w:p w14:paraId="3EE291B5" w14:textId="77777777" w:rsidR="007F62B2" w:rsidRPr="00FC0C8B" w:rsidRDefault="007F62B2" w:rsidP="00FC0C8B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14FCA71F" w14:textId="77777777" w:rsidR="007146F9" w:rsidRDefault="007F62B2" w:rsidP="00FC0C8B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 xml:space="preserve">(2) A döntések minden esetben a közigazgatási eljárásban bejelentett időponttól számított három évig érvényesek. </w:t>
      </w:r>
    </w:p>
    <w:p w14:paraId="3BA405FC" w14:textId="77777777" w:rsidR="007146F9" w:rsidRDefault="007146F9" w:rsidP="00FC0C8B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1E867774" w14:textId="77777777" w:rsidR="007146F9" w:rsidRDefault="007146F9" w:rsidP="00FC0C8B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 xml:space="preserve">(3) A kérelmezőnek haladéktalanul értesítenie kell a felelős állami médiahatóságot az ajánlatnak a kérelemről szóló határozat előtt vagy után bekövetkezett, illetve a 7. és 8. §-nak megfelelő meghatározás elengedhetetlen változásairól. </w:t>
      </w:r>
    </w:p>
    <w:p w14:paraId="27A16DFD" w14:textId="77777777" w:rsidR="007146F9" w:rsidRDefault="007146F9" w:rsidP="00FC0C8B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77055C5F" w14:textId="77777777" w:rsidR="007F62B2" w:rsidRDefault="007146F9" w:rsidP="00FC0C8B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(4) A felelős állami médiahatóság visszavonhatja a 6. § (1) bekezdése szerinti határozatot, ha az ajánlat későbbi lényeges változása következik be, amely szerint az ajánlat már nem felel meg a 7. és 8. §-nak.</w:t>
      </w:r>
    </w:p>
    <w:p w14:paraId="23B5A412" w14:textId="77777777" w:rsidR="007F62B2" w:rsidRDefault="007F62B2" w:rsidP="004B4D8D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0A640E40" w14:textId="77777777" w:rsidR="0001194D" w:rsidRDefault="0001194D" w:rsidP="00537FB2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613CD46C" w14:textId="77777777" w:rsidR="006672EC" w:rsidRPr="006672EC" w:rsidRDefault="006672EC" w:rsidP="006672EC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>7. §</w:t>
      </w:r>
    </w:p>
    <w:p w14:paraId="75AE2D97" w14:textId="77777777" w:rsidR="006672EC" w:rsidRPr="006672EC" w:rsidRDefault="006672EC" w:rsidP="006672EC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 xml:space="preserve">Meghatározási kritériumok </w:t>
      </w:r>
      <w:r>
        <w:rPr>
          <w:b/>
          <w:sz w:val="28"/>
        </w:rPr>
        <w:br/>
      </w:r>
    </w:p>
    <w:p w14:paraId="3617EB73" w14:textId="77777777" w:rsidR="004C219B" w:rsidRPr="00956BF6" w:rsidRDefault="006672EC" w:rsidP="00956BF6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Az ajánlatoknak az állami médiaszerződés 84. §-a (3) bekezdésének (2) albekezdése és (4) bekezdése szerinti meghatározásakor csak az állami médiaszerződés 84. §-ának (5) bekezdésében említett kritériumokat kell figyelembe venni.</w:t>
      </w:r>
    </w:p>
    <w:p w14:paraId="4EB05C57" w14:textId="77777777" w:rsidR="004C219B" w:rsidRPr="00956BF6" w:rsidRDefault="004C219B" w:rsidP="00956BF6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5ED34CF8" w14:textId="77777777" w:rsidR="006672EC" w:rsidRPr="006672EC" w:rsidRDefault="006672EC" w:rsidP="00956BF6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Hacsak az állami médiaszerződés másként nem rendelkezik,</w:t>
      </w:r>
    </w:p>
    <w:p w14:paraId="6B3CBE5A" w14:textId="77777777" w:rsidR="006672EC" w:rsidRPr="006672EC" w:rsidRDefault="006672EC" w:rsidP="00956BF6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145F70FE" w14:textId="77777777" w:rsidR="006672EC" w:rsidRDefault="006672EC" w:rsidP="00956BF6">
      <w:pPr>
        <w:pStyle w:val="ListParagraph"/>
        <w:numPr>
          <w:ilvl w:val="0"/>
          <w:numId w:val="9"/>
        </w:num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lastRenderedPageBreak/>
        <w:t>a politikai vagy kortárs eseményekről szóló híradás olyan újságírói és szerkesztői tartalom kínálata, amely a teljes ajánlat alapján a lehető legteljesebb keresztmetszetét mutatja be a közvélemény kialakulásához kapcsolódó politikai és kortárs társadalmi események alterületeinek, és amelynek középpontjában a tényleges események lefedése áll;</w:t>
      </w:r>
    </w:p>
    <w:p w14:paraId="2C7E8223" w14:textId="77777777" w:rsidR="009D766D" w:rsidRPr="00956BF6" w:rsidRDefault="009D766D" w:rsidP="009D766D">
      <w:pPr>
        <w:pStyle w:val="ListParagraph"/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0C534598" w14:textId="77777777" w:rsidR="006672EC" w:rsidRDefault="006672EC" w:rsidP="00956BF6">
      <w:pPr>
        <w:pStyle w:val="ListParagraph"/>
        <w:numPr>
          <w:ilvl w:val="0"/>
          <w:numId w:val="9"/>
        </w:num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 xml:space="preserve">az állami médiaszerződés (MStV) 2. § (2) bekezdésének (25) albekezdésében meghatározott regionális és helyi információ olyan információ, amely egyértelműen kapcsolódik a kulturálisan összefüggő és térben körülhatárolt, szintén transznacionális területekhez; </w:t>
      </w:r>
    </w:p>
    <w:p w14:paraId="71A199A1" w14:textId="77777777" w:rsidR="007C2419" w:rsidRPr="0050150A" w:rsidRDefault="007C2419" w:rsidP="0050150A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5F8FA548" w14:textId="77777777" w:rsidR="006672EC" w:rsidRDefault="006672EC" w:rsidP="00956BF6">
      <w:pPr>
        <w:pStyle w:val="ListParagraph"/>
        <w:numPr>
          <w:ilvl w:val="0"/>
          <w:numId w:val="9"/>
        </w:num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a házon belüli gyártási ajánlatok azok, amelyek előállítását és feldolgozását teljes egészében vagy főként a tartalomért felelős szolgáltató saját gyártási eszközeivel végzi és finanszírozza, vagy azokat a megfelelő újságírói és szerkesztői befolyással állítják elő. Azokat a legyártott tartalmakat, amelyeket egy gyártó vállalat számára állítottak elő, miután az utóbbi megrendelte őket, szintén házon belüli gyártásnak kell tekinteni;</w:t>
      </w:r>
    </w:p>
    <w:p w14:paraId="24C4954C" w14:textId="77777777" w:rsidR="009D766D" w:rsidRPr="00956BF6" w:rsidRDefault="009D766D" w:rsidP="009D766D">
      <w:pPr>
        <w:pStyle w:val="ListParagraph"/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24A04BCB" w14:textId="77777777" w:rsidR="00B124D7" w:rsidRDefault="00B124D7" w:rsidP="005C1407">
      <w:pPr>
        <w:pStyle w:val="ListParagraph"/>
        <w:numPr>
          <w:ilvl w:val="0"/>
          <w:numId w:val="9"/>
        </w:num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Akadálymentes ajánlatok azok, amelyek elérhetők és használhatók a fogyatékossággal élők számára, a számukra szokásos módon, a technika mindenkori állása szerint és a szükséges segédeszközök használatával, különös nehézségek nélkül és alapvetően külső segítség nélkül;</w:t>
      </w:r>
    </w:p>
    <w:p w14:paraId="348873A7" w14:textId="77777777" w:rsidR="009D766D" w:rsidRPr="009D766D" w:rsidRDefault="009D766D" w:rsidP="009D766D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71C99D64" w14:textId="77777777" w:rsidR="006672EC" w:rsidRDefault="006672EC" w:rsidP="00956BF6">
      <w:pPr>
        <w:pStyle w:val="ListParagraph"/>
        <w:numPr>
          <w:ilvl w:val="0"/>
          <w:numId w:val="9"/>
        </w:num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A képzett munkavállalók azok, akik a műsorgyártás során újságírói vagy médiatechnikai feladatuk szempontjából szakmai képzést vagy megfelelő tanfolyamot végeztek, vagy akik legalább öt év szakmai tapasztalatot tudnak bizonyítani. Az alárendelt kisegítő munka nem tartozik ide;</w:t>
      </w:r>
    </w:p>
    <w:p w14:paraId="5EA7E95B" w14:textId="77777777" w:rsidR="009D766D" w:rsidRPr="009D766D" w:rsidRDefault="009D766D" w:rsidP="009D766D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6AB034C7" w14:textId="77777777" w:rsidR="006672EC" w:rsidRDefault="00A42418" w:rsidP="00956BF6">
      <w:pPr>
        <w:pStyle w:val="ListParagraph"/>
        <w:numPr>
          <w:ilvl w:val="0"/>
          <w:numId w:val="9"/>
        </w:num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Az európai alkotások az állami médiahatóságoknak az állami médiaszerződés 77. §-a szerinti európai produkciókról szóló közös alapszabálya 3. §-ának (4) bekezdésében meghatározott alkotások, valamint a</w:t>
      </w:r>
    </w:p>
    <w:p w14:paraId="04E5A5A4" w14:textId="77777777" w:rsidR="009D766D" w:rsidRPr="009D766D" w:rsidRDefault="009D766D" w:rsidP="009D766D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791034E7" w14:textId="77777777" w:rsidR="006672EC" w:rsidRDefault="006672EC" w:rsidP="00956BF6">
      <w:pPr>
        <w:pStyle w:val="ListParagraph"/>
        <w:numPr>
          <w:ilvl w:val="0"/>
          <w:numId w:val="9"/>
        </w:num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fiatal célcsoportoknak szóló ajánlatok, amennyiben azok egyértelműen gyermekeket vagy 29 éves kor alatti fiatal felnőtteket céloznak meg. A következőket kell figyelembe venni:</w:t>
      </w:r>
    </w:p>
    <w:p w14:paraId="7DCA8830" w14:textId="77777777" w:rsidR="00D95527" w:rsidRDefault="00D95527" w:rsidP="00D95527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5DD78675" w14:textId="77777777" w:rsidR="006672EC" w:rsidRPr="00D95527" w:rsidRDefault="006672EC" w:rsidP="00D95527">
      <w:pPr>
        <w:pStyle w:val="ListParagraph"/>
        <w:numPr>
          <w:ilvl w:val="0"/>
          <w:numId w:val="12"/>
        </w:num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 xml:space="preserve">Az olyan ajánlatokat, amelyek az állami médiaszerződés 9. §-ának (1) bekezdése alapján rádióreklám vagy televíziós vásárlás útján nem szakíthatók meg, illetve az olyan ajánlatokat, amelyek a besorolandó tartalomhoz hasonló műsortartalom esetén nem szakíthatók meg rádióreklám vagy televíziós vásárlás útján, az állami médiaszerződés 9. §-ának (1) bekezdése alapján (gyermekeknek szóló ajánlatok); </w:t>
      </w:r>
    </w:p>
    <w:p w14:paraId="304E1B6F" w14:textId="77777777" w:rsidR="00D95527" w:rsidRPr="00D95527" w:rsidRDefault="00D95527" w:rsidP="00D95527">
      <w:pPr>
        <w:pStyle w:val="ListParagraph"/>
        <w:spacing w:after="0" w:line="320" w:lineRule="atLeast"/>
        <w:ind w:left="1468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3F7F3E80" w14:textId="6C37BB68" w:rsidR="006672EC" w:rsidRPr="000064CB" w:rsidRDefault="006672EC" w:rsidP="009D766D">
      <w:pPr>
        <w:pStyle w:val="ListParagraph"/>
        <w:numPr>
          <w:ilvl w:val="0"/>
          <w:numId w:val="12"/>
        </w:numPr>
        <w:spacing w:after="0" w:line="320" w:lineRule="atLeast"/>
        <w:jc w:val="both"/>
      </w:pPr>
      <w:r>
        <w:rPr>
          <w:sz w:val="24"/>
        </w:rPr>
        <w:t xml:space="preserve">Az olyan ajánlatokat, amelyek a tartalom, a forma és a műsoridő eseti alapon történő átfogó figyelembevétele alapján egyértelműen a 14-29 éves </w:t>
      </w:r>
      <w:r>
        <w:rPr>
          <w:sz w:val="24"/>
        </w:rPr>
        <w:lastRenderedPageBreak/>
        <w:t>célcsoportot célozzák meg (a serdülőknek és a fiatal felnőtteknek kínált ajánlatok), amennyiben azok az állami médiaszerződés (MStV) 2. § (2) bekezdésének (25) albekezdésében meghatározott információkra összpontosítanak.</w:t>
      </w:r>
    </w:p>
    <w:p w14:paraId="4F7BC33B" w14:textId="77777777" w:rsidR="000064CB" w:rsidRDefault="000064CB" w:rsidP="000064CB">
      <w:pPr>
        <w:pStyle w:val="ListParagraph"/>
      </w:pPr>
    </w:p>
    <w:p w14:paraId="449F9127" w14:textId="77777777" w:rsidR="00AA4B93" w:rsidRPr="006672EC" w:rsidRDefault="00AA4B93" w:rsidP="00AA4B93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>8. §</w:t>
      </w:r>
    </w:p>
    <w:p w14:paraId="389064A1" w14:textId="77777777" w:rsidR="00225CB9" w:rsidRDefault="00AA4B93" w:rsidP="00225CB9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>Alapvető meghatározási elvek</w:t>
      </w:r>
      <w:r>
        <w:rPr>
          <w:b/>
          <w:sz w:val="28"/>
        </w:rPr>
        <w:br/>
      </w:r>
    </w:p>
    <w:p w14:paraId="167137B4" w14:textId="77777777" w:rsidR="00225CB9" w:rsidRPr="00F81EB4" w:rsidRDefault="00225CB9" w:rsidP="00225CB9">
      <w:pPr>
        <w:spacing w:after="0" w:line="320" w:lineRule="atLeast"/>
        <w:rPr>
          <w:rFonts w:eastAsia="Times New Roman" w:cstheme="minorHAnsi"/>
          <w:b/>
          <w:sz w:val="28"/>
          <w:szCs w:val="28"/>
        </w:rPr>
      </w:pPr>
      <w:r>
        <w:rPr>
          <w:sz w:val="24"/>
        </w:rPr>
        <w:t>A meghatározás a következő alapelveken alapuló általános szempontok alapján történik:</w:t>
      </w:r>
    </w:p>
    <w:p w14:paraId="1072A53F" w14:textId="77777777" w:rsidR="00AA4B93" w:rsidRDefault="00225CB9" w:rsidP="00225CB9">
      <w:pPr>
        <w:pStyle w:val="ListParagraph"/>
        <w:tabs>
          <w:tab w:val="left" w:pos="4165"/>
        </w:tabs>
        <w:spacing w:after="0" w:line="320" w:lineRule="atLeast"/>
        <w:ind w:left="284"/>
        <w:rPr>
          <w:rFonts w:eastAsia="Times New Roman" w:cstheme="minorHAnsi"/>
          <w:sz w:val="24"/>
          <w:szCs w:val="24"/>
        </w:rPr>
      </w:pPr>
      <w:r>
        <w:rPr>
          <w:sz w:val="24"/>
        </w:rPr>
        <w:tab/>
      </w:r>
    </w:p>
    <w:p w14:paraId="193A25D9" w14:textId="77777777" w:rsidR="00AA4B93" w:rsidRDefault="00164A49" w:rsidP="00F81EB4">
      <w:pPr>
        <w:pStyle w:val="ListParagraph"/>
        <w:numPr>
          <w:ilvl w:val="0"/>
          <w:numId w:val="13"/>
        </w:numPr>
        <w:spacing w:after="0" w:line="320" w:lineRule="atLeast"/>
        <w:ind w:left="720"/>
        <w:rPr>
          <w:rFonts w:eastAsia="Times New Roman" w:cstheme="minorHAnsi"/>
          <w:sz w:val="24"/>
          <w:szCs w:val="24"/>
        </w:rPr>
      </w:pPr>
      <w:r>
        <w:rPr>
          <w:sz w:val="24"/>
        </w:rPr>
        <w:t>Azok az ajánlatok, amelyek alapvetően nem felelnek meg az állami médiaszerződés elismert újságírói elveinek és egyéb követelményeinek, nem alkalmasak arra, hogy jelentős mértékben hozzájáruljanak a vélemények és ajánlatok sokféleségéhez.</w:t>
      </w:r>
    </w:p>
    <w:p w14:paraId="66CAC601" w14:textId="77777777" w:rsidR="00AA4B93" w:rsidRDefault="00AA4B93" w:rsidP="00F81EB4">
      <w:pPr>
        <w:pStyle w:val="ListParagraph"/>
        <w:spacing w:after="0" w:line="320" w:lineRule="atLeast"/>
        <w:rPr>
          <w:rFonts w:eastAsia="Times New Roman" w:cstheme="minorHAnsi"/>
          <w:sz w:val="24"/>
          <w:szCs w:val="24"/>
          <w:lang w:eastAsia="de-DE"/>
        </w:rPr>
      </w:pPr>
    </w:p>
    <w:p w14:paraId="0C1AFBD8" w14:textId="77777777" w:rsidR="00AA4B93" w:rsidRDefault="00D95527" w:rsidP="00F81EB4">
      <w:pPr>
        <w:pStyle w:val="ListParagraph"/>
        <w:numPr>
          <w:ilvl w:val="0"/>
          <w:numId w:val="13"/>
        </w:numPr>
        <w:spacing w:after="0" w:line="320" w:lineRule="atLeast"/>
        <w:ind w:left="720"/>
        <w:rPr>
          <w:rFonts w:eastAsia="Times New Roman" w:cstheme="minorHAnsi"/>
          <w:sz w:val="24"/>
          <w:szCs w:val="24"/>
        </w:rPr>
      </w:pPr>
      <w:r>
        <w:rPr>
          <w:sz w:val="24"/>
        </w:rPr>
        <w:t>Amennyiben a vonatkozó jogszabályi követelmények a 7. §-ban meghatározott kritériumok szempontjából relevánsak, a meghatározás során csak azokat az intézkedéseket kell figyelembe venni, amelyek túlmutatnak a jogszabályban előírt projektek teljesítésén.</w:t>
      </w:r>
    </w:p>
    <w:p w14:paraId="023C3B07" w14:textId="77777777" w:rsidR="00AA4B93" w:rsidRPr="00AA4B93" w:rsidRDefault="00AA4B93" w:rsidP="00F81EB4">
      <w:pPr>
        <w:pStyle w:val="ListParagraph"/>
        <w:ind w:left="1156"/>
        <w:rPr>
          <w:rFonts w:eastAsia="Times New Roman" w:cstheme="minorHAnsi"/>
          <w:sz w:val="24"/>
          <w:szCs w:val="24"/>
          <w:lang w:eastAsia="de-DE"/>
        </w:rPr>
      </w:pPr>
    </w:p>
    <w:p w14:paraId="5BB13FCD" w14:textId="77777777" w:rsidR="00FD5182" w:rsidRPr="00D14EEB" w:rsidRDefault="00D14EEB" w:rsidP="009D766D">
      <w:pPr>
        <w:pStyle w:val="ListParagraph"/>
        <w:numPr>
          <w:ilvl w:val="0"/>
          <w:numId w:val="13"/>
        </w:numPr>
        <w:spacing w:after="0" w:line="320" w:lineRule="atLeast"/>
        <w:ind w:left="720"/>
        <w:rPr>
          <w:rFonts w:eastAsia="Times New Roman" w:cstheme="minorHAnsi"/>
          <w:sz w:val="24"/>
          <w:szCs w:val="24"/>
        </w:rPr>
      </w:pPr>
      <w:r>
        <w:rPr>
          <w:sz w:val="24"/>
        </w:rPr>
        <w:t xml:space="preserve">A vélemények és felajánlások sokféleségéhez való különleges hozzájárulás meghatározásakor előnyben kell részesíteni a politikai és kortárs események hírműsorainak időarányos elosztását, a regionális és helyi információk időarányos elosztását, valamint a fiatal célcsoportoknak nyújtott ajánlatok arányát. </w:t>
      </w:r>
      <w:r>
        <w:rPr>
          <w:sz w:val="24"/>
        </w:rPr>
        <w:br/>
      </w:r>
    </w:p>
    <w:p w14:paraId="39E98786" w14:textId="77777777" w:rsidR="00AA4B93" w:rsidRDefault="00AA4B93" w:rsidP="00F81EB4">
      <w:pPr>
        <w:pStyle w:val="ListParagraph"/>
        <w:numPr>
          <w:ilvl w:val="0"/>
          <w:numId w:val="13"/>
        </w:numPr>
        <w:spacing w:after="0" w:line="320" w:lineRule="atLeast"/>
        <w:ind w:left="720"/>
        <w:rPr>
          <w:rFonts w:eastAsia="Times New Roman" w:cstheme="minorHAnsi"/>
          <w:sz w:val="24"/>
          <w:szCs w:val="24"/>
        </w:rPr>
      </w:pPr>
      <w:r>
        <w:rPr>
          <w:sz w:val="24"/>
        </w:rPr>
        <w:t>Az állami médiaszerződés 84. § (3) bekezdésének (1) albekezdésében meghatározott műsorszórási ajánlatok esetében a 7. § (1), (2), (4) és (7) bekezdése szerinti kritériumok tekintetében figyelembe kell venni a közvetítés rendszerességét, az érintett műsorok programozásának idejét és időtartamát.</w:t>
      </w:r>
    </w:p>
    <w:p w14:paraId="4F00E74F" w14:textId="77777777" w:rsidR="00AA4B93" w:rsidRDefault="00AA4B93" w:rsidP="00F81EB4">
      <w:pPr>
        <w:pStyle w:val="ListParagraph"/>
        <w:spacing w:after="0" w:line="320" w:lineRule="atLeast"/>
        <w:rPr>
          <w:rFonts w:eastAsia="Times New Roman" w:cstheme="minorHAnsi"/>
          <w:sz w:val="24"/>
          <w:szCs w:val="24"/>
          <w:lang w:eastAsia="de-DE"/>
        </w:rPr>
      </w:pPr>
    </w:p>
    <w:p w14:paraId="70B6B469" w14:textId="77777777" w:rsidR="00AA4B93" w:rsidRDefault="00AA4B93" w:rsidP="00F81EB4">
      <w:pPr>
        <w:pStyle w:val="ListParagraph"/>
        <w:numPr>
          <w:ilvl w:val="0"/>
          <w:numId w:val="13"/>
        </w:numPr>
        <w:spacing w:after="0" w:line="320" w:lineRule="atLeast"/>
        <w:ind w:left="720"/>
        <w:rPr>
          <w:rFonts w:eastAsia="Times New Roman" w:cstheme="minorHAnsi"/>
          <w:sz w:val="24"/>
          <w:szCs w:val="24"/>
        </w:rPr>
      </w:pPr>
      <w:r>
        <w:rPr>
          <w:sz w:val="24"/>
        </w:rPr>
        <w:t>Az állami médiaszerződés 84. §-ának (4) bekezdésében meghatározott telemédia-ajánlatok esetében, a 7. § (1), (2), (4) és (7) bekezdése szerinti kritériumok tekintetében figyelembe kell venni az időszakos frissítést, az időtartamot vagy egyéb alkalmazási kört, valamint a telemédia-ajánlaton belüli elhelyezést és hozzáférhetőséget.</w:t>
      </w:r>
    </w:p>
    <w:p w14:paraId="2C3423DF" w14:textId="77777777" w:rsidR="00AA4B93" w:rsidRDefault="00AA4B93" w:rsidP="00F81EB4">
      <w:pPr>
        <w:pStyle w:val="ListParagraph"/>
        <w:spacing w:after="0" w:line="320" w:lineRule="atLeast"/>
        <w:rPr>
          <w:rFonts w:eastAsia="Times New Roman" w:cstheme="minorHAnsi"/>
          <w:sz w:val="24"/>
          <w:szCs w:val="24"/>
          <w:lang w:eastAsia="de-DE"/>
        </w:rPr>
      </w:pPr>
    </w:p>
    <w:p w14:paraId="6750E213" w14:textId="77777777" w:rsidR="007A7DA2" w:rsidRDefault="00D95527" w:rsidP="009D766D">
      <w:pPr>
        <w:pStyle w:val="ListParagraph"/>
        <w:numPr>
          <w:ilvl w:val="0"/>
          <w:numId w:val="13"/>
        </w:numPr>
        <w:spacing w:after="0" w:line="320" w:lineRule="atLeast"/>
        <w:ind w:left="720"/>
        <w:rPr>
          <w:rFonts w:eastAsia="Times New Roman" w:cstheme="minorHAnsi"/>
          <w:sz w:val="24"/>
          <w:szCs w:val="24"/>
        </w:rPr>
      </w:pPr>
      <w:r>
        <w:rPr>
          <w:sz w:val="24"/>
        </w:rPr>
        <w:t>A 7. § (5) bekezdésében meghatározott, képzett személyzet magasabb aránya meghatározásának részeként, amely pozitív hatással van a vélemények és ajánlatok sokféleségéhez való hozzájárulás sajátos mértékére, csak a képzett személyzetnek a gyakornoki személyzethez viszonyított arányát kell figyelembe venni, amelynek legalább három az egyhez aránynak kell lennie.</w:t>
      </w:r>
    </w:p>
    <w:p w14:paraId="24FDD85B" w14:textId="77777777" w:rsidR="00370B9E" w:rsidRDefault="00370B9E">
      <w:pPr>
        <w:rPr>
          <w:rFonts w:eastAsia="Times New Roman" w:cstheme="minorHAnsi"/>
          <w:sz w:val="24"/>
          <w:szCs w:val="24"/>
          <w:lang w:eastAsia="de-DE"/>
        </w:rPr>
      </w:pPr>
    </w:p>
    <w:p w14:paraId="7EE53ABD" w14:textId="77777777" w:rsidR="00370B9E" w:rsidRPr="000663C3" w:rsidRDefault="00370B9E" w:rsidP="00370B9E">
      <w:pPr>
        <w:spacing w:after="0" w:line="320" w:lineRule="atLeast"/>
        <w:jc w:val="center"/>
        <w:rPr>
          <w:rFonts w:ascii="Verdana" w:eastAsia="Times New Roman" w:hAnsi="Verdana" w:cs="Times New Roman"/>
          <w:b/>
          <w:sz w:val="20"/>
          <w:szCs w:val="20"/>
          <w:lang w:eastAsia="de-DE"/>
        </w:rPr>
      </w:pPr>
    </w:p>
    <w:p w14:paraId="3B0B4E16" w14:textId="77777777" w:rsidR="00370B9E" w:rsidRPr="002C7BC4" w:rsidRDefault="00370B9E" w:rsidP="00370B9E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>9. §</w:t>
      </w:r>
    </w:p>
    <w:p w14:paraId="3BBF6B59" w14:textId="77777777" w:rsidR="00370B9E" w:rsidRPr="002C7BC4" w:rsidRDefault="00373314" w:rsidP="00370B9E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lastRenderedPageBreak/>
        <w:t>Végrehajtás</w:t>
      </w:r>
    </w:p>
    <w:p w14:paraId="39860881" w14:textId="77777777" w:rsidR="00370B9E" w:rsidRPr="00B26619" w:rsidRDefault="00370B9E" w:rsidP="00370B9E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6601082A" w14:textId="1D798F15" w:rsidR="00BD0CDA" w:rsidRPr="00373314" w:rsidRDefault="00BD0CDA" w:rsidP="00BD0CDA">
      <w:pPr>
        <w:spacing w:after="0" w:line="320" w:lineRule="atLeast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(1) A meghatározási eljárás befejezését követően az állami médiahatóságok közzétesznek egy listát a mozgókép-ajánlatokról (videók) és egy listát az audioajánlatokról a honlapon, „a médiahatóságok” összesítő megnevezés alatt, a felhasználói felületek szolgáltatói általi végrehajtás céljából.</w:t>
      </w:r>
    </w:p>
    <w:p w14:paraId="50A32227" w14:textId="77777777" w:rsidR="00BD0CDA" w:rsidRPr="00373314" w:rsidRDefault="00BD0CDA" w:rsidP="00BD0CDA">
      <w:pPr>
        <w:spacing w:after="0" w:line="320" w:lineRule="atLeast"/>
        <w:jc w:val="both"/>
        <w:rPr>
          <w:rFonts w:ascii="Calibri" w:hAnsi="Calibri" w:cs="Calibri"/>
          <w:sz w:val="24"/>
          <w:szCs w:val="24"/>
        </w:rPr>
      </w:pPr>
    </w:p>
    <w:p w14:paraId="1D62056A" w14:textId="77777777" w:rsidR="00BF4691" w:rsidRDefault="00BF4691" w:rsidP="00BF4691">
      <w:pPr>
        <w:spacing w:after="0" w:line="320" w:lineRule="atLeast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(2) A felhasználó számára könnyen és tartósan lehetővé kell tenni, hogy azonosítsa a felelős állami médiahatóságok által a felhasználói felületeken meghatározott ajánlatok osztályozását és elrendezését.</w:t>
      </w:r>
    </w:p>
    <w:p w14:paraId="547685C7" w14:textId="77777777" w:rsidR="00373314" w:rsidRDefault="00373314" w:rsidP="00BD0CDA">
      <w:pPr>
        <w:spacing w:after="0" w:line="320" w:lineRule="atLeast"/>
        <w:jc w:val="both"/>
        <w:rPr>
          <w:rFonts w:ascii="Calibri" w:hAnsi="Calibri" w:cs="Calibri"/>
          <w:sz w:val="24"/>
          <w:szCs w:val="24"/>
        </w:rPr>
      </w:pPr>
    </w:p>
    <w:p w14:paraId="61F70E10" w14:textId="6962D927" w:rsidR="00BD1E12" w:rsidRPr="00373314" w:rsidRDefault="00BD0CDA" w:rsidP="00BD0CDA">
      <w:pPr>
        <w:spacing w:after="0" w:line="320" w:lineRule="atLeast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 xml:space="preserve">(3) Az engedélyezési és felügyeleti bizottság (ZAK) által a felelős állami médiahatóság irányító testületeként meghatározott listák sorrendje a 7. és 8. §-nak megfelelően meghatározott általános nézetből adódik. Amennyiben a felhasználói felület szolgáltatója az ajánlatok osztályozásában és elrendezésében egy sorrendet jelenít meg, az (1) bekezdéssel összhangban közzétett listákat kell alapul venni. </w:t>
      </w:r>
    </w:p>
    <w:p w14:paraId="5DE375CB" w14:textId="77777777" w:rsidR="00BD1E12" w:rsidRPr="00373314" w:rsidRDefault="00BD1E12" w:rsidP="00BD0CDA">
      <w:pPr>
        <w:spacing w:after="0" w:line="320" w:lineRule="atLeast"/>
        <w:jc w:val="both"/>
        <w:rPr>
          <w:rFonts w:ascii="Calibri" w:hAnsi="Calibri" w:cs="Calibri"/>
          <w:sz w:val="24"/>
          <w:szCs w:val="24"/>
        </w:rPr>
      </w:pPr>
    </w:p>
    <w:p w14:paraId="7A2AE1DB" w14:textId="77777777" w:rsidR="00370B9E" w:rsidRPr="00373314" w:rsidRDefault="00BD0CDA" w:rsidP="00BD0CDA">
      <w:pPr>
        <w:spacing w:after="0" w:line="320" w:lineRule="atLeast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(4) A felelős állami médiahatóság feladata, hogy a jogszabályban előírt hozzájárulás-finanszírozási programok szolgáltatóival, valamint a kapcsolódó telemédia-ajánlatokkal a bemutatási sorrend tekintetében megállapodásra jusson.</w:t>
      </w:r>
    </w:p>
    <w:p w14:paraId="5A278B17" w14:textId="77777777" w:rsidR="000D2934" w:rsidRDefault="000D2934">
      <w:pPr>
        <w:rPr>
          <w:rFonts w:eastAsia="Times New Roman" w:cstheme="minorHAnsi"/>
          <w:b/>
          <w:sz w:val="28"/>
          <w:szCs w:val="28"/>
          <w:u w:val="single"/>
          <w:lang w:eastAsia="de-DE"/>
        </w:rPr>
      </w:pPr>
    </w:p>
    <w:p w14:paraId="3A0FC700" w14:textId="77777777" w:rsidR="00E30CC3" w:rsidRDefault="00E30CC3" w:rsidP="00701D71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  <w:lang w:eastAsia="de-DE"/>
        </w:rPr>
      </w:pPr>
    </w:p>
    <w:p w14:paraId="0A521615" w14:textId="77777777" w:rsidR="00701D71" w:rsidRPr="002C7BC4" w:rsidRDefault="00701D71" w:rsidP="00701D71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>10. §</w:t>
      </w:r>
    </w:p>
    <w:p w14:paraId="0A25D742" w14:textId="77777777" w:rsidR="00701D71" w:rsidRPr="002C7BC4" w:rsidRDefault="00701D71" w:rsidP="00701D71">
      <w:pPr>
        <w:spacing w:after="0" w:line="320" w:lineRule="atLeast"/>
        <w:jc w:val="center"/>
        <w:rPr>
          <w:rFonts w:eastAsia="Times New Roman" w:cstheme="minorHAnsi"/>
          <w:b/>
          <w:sz w:val="28"/>
          <w:szCs w:val="28"/>
        </w:rPr>
      </w:pPr>
      <w:r>
        <w:rPr>
          <w:b/>
          <w:sz w:val="28"/>
        </w:rPr>
        <w:t>Hatálybalépés</w:t>
      </w:r>
    </w:p>
    <w:p w14:paraId="68BFB838" w14:textId="77777777" w:rsidR="00701D71" w:rsidRDefault="00701D71" w:rsidP="001F58C3">
      <w:pPr>
        <w:spacing w:after="0" w:line="320" w:lineRule="atLeast"/>
        <w:jc w:val="center"/>
        <w:rPr>
          <w:rFonts w:eastAsia="Times New Roman" w:cstheme="minorHAnsi"/>
          <w:b/>
          <w:sz w:val="24"/>
          <w:szCs w:val="24"/>
          <w:lang w:eastAsia="de-DE"/>
        </w:rPr>
      </w:pPr>
    </w:p>
    <w:p w14:paraId="1E0B33DB" w14:textId="44C5C1FA" w:rsidR="00701D71" w:rsidRPr="00701D71" w:rsidRDefault="00701D71" w:rsidP="00701D71">
      <w:pPr>
        <w:spacing w:after="0" w:line="320" w:lineRule="atLeast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Ez az alapokmány 2021. szeptember 1-től lép hatályba. Amennyiben a megfelelő alapokmányt 2021. augusztus 31-ig nem adja ki és nem teszi közzé az összes állami médiahatóság, ez az alapokmány lényegtelenné válik. Az állami médiahatóságok igazgatói értekezletének (DLM) elnöke a honlapon a „médiahatóságok” ernyőnév alatt közzéteszi, hogy az összes állami médiahatóság a 2. mondatban szereplő határidőn belül kiadta-e és közzétette-e a vonatkozó alapokmányokat.</w:t>
      </w:r>
      <w:r w:rsidR="000464CE">
        <w:rPr>
          <w:rStyle w:val="FootnoteReference"/>
          <w:rFonts w:eastAsia="Calibri" w:cstheme="minorHAnsi"/>
        </w:rPr>
        <w:footnoteReference w:id="1"/>
      </w:r>
      <w:r>
        <w:rPr>
          <w:sz w:val="24"/>
        </w:rPr>
        <w:t xml:space="preserve">  </w:t>
      </w:r>
    </w:p>
    <w:sectPr w:rsidR="00701D71" w:rsidRPr="00701D71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27A90" w14:textId="77777777" w:rsidR="00E73343" w:rsidRDefault="00E73343" w:rsidP="001D484A">
      <w:pPr>
        <w:spacing w:after="0" w:line="240" w:lineRule="auto"/>
      </w:pPr>
      <w:r>
        <w:separator/>
      </w:r>
    </w:p>
  </w:endnote>
  <w:endnote w:type="continuationSeparator" w:id="0">
    <w:p w14:paraId="09A115DF" w14:textId="77777777" w:rsidR="00E73343" w:rsidRDefault="00E73343" w:rsidP="001D4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4623777"/>
      <w:docPartObj>
        <w:docPartGallery w:val="Page Numbers (Bottom of Page)"/>
        <w:docPartUnique/>
      </w:docPartObj>
    </w:sdtPr>
    <w:sdtEndPr/>
    <w:sdtContent>
      <w:p w14:paraId="45379FFA" w14:textId="60C4D08E" w:rsidR="00AA4B93" w:rsidRDefault="00AA4B9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4CE">
          <w:t>6</w:t>
        </w:r>
        <w:r>
          <w:fldChar w:fldCharType="end"/>
        </w:r>
      </w:p>
    </w:sdtContent>
  </w:sdt>
  <w:p w14:paraId="02010CD8" w14:textId="77777777" w:rsidR="00AA4B93" w:rsidRDefault="00AA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CEAE4" w14:textId="77777777" w:rsidR="00E73343" w:rsidRDefault="00E73343" w:rsidP="001D484A">
      <w:pPr>
        <w:spacing w:after="0" w:line="240" w:lineRule="auto"/>
      </w:pPr>
      <w:r>
        <w:separator/>
      </w:r>
    </w:p>
  </w:footnote>
  <w:footnote w:type="continuationSeparator" w:id="0">
    <w:p w14:paraId="328FDAD3" w14:textId="77777777" w:rsidR="00E73343" w:rsidRDefault="00E73343" w:rsidP="001D484A">
      <w:pPr>
        <w:spacing w:after="0" w:line="240" w:lineRule="auto"/>
      </w:pPr>
      <w:r>
        <w:continuationSeparator/>
      </w:r>
    </w:p>
  </w:footnote>
  <w:footnote w:id="1">
    <w:p w14:paraId="7AC26A74" w14:textId="77777777" w:rsidR="000464CE" w:rsidRDefault="000464CE" w:rsidP="000464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/>
        </w:rPr>
        <w:t>Jelen dokumentum a műszaki szabályokkal és az információs társadalom szolgáltatásaira vonatkozó szabályokkal kapcsolatos információszolgáltatási eljárás megállapításáról szóló, 2015. szeptember 9-i (EU) 2015/1535 európai parlamenti és tanácsi irányelvben (HL L 241., 2015.9.17., 1. o.) foglaltak szerint bejelentés tárgyát képezte.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C3D25"/>
    <w:multiLevelType w:val="hybridMultilevel"/>
    <w:tmpl w:val="3C52601E"/>
    <w:lvl w:ilvl="0" w:tplc="040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0" w:hanging="360"/>
      </w:pPr>
    </w:lvl>
    <w:lvl w:ilvl="2" w:tplc="0407001B" w:tentative="1">
      <w:start w:val="1"/>
      <w:numFmt w:val="lowerRoman"/>
      <w:lvlText w:val="%3."/>
      <w:lvlJc w:val="right"/>
      <w:pPr>
        <w:ind w:left="2510" w:hanging="180"/>
      </w:pPr>
    </w:lvl>
    <w:lvl w:ilvl="3" w:tplc="0407000F" w:tentative="1">
      <w:start w:val="1"/>
      <w:numFmt w:val="decimal"/>
      <w:lvlText w:val="%4."/>
      <w:lvlJc w:val="left"/>
      <w:pPr>
        <w:ind w:left="3230" w:hanging="360"/>
      </w:pPr>
    </w:lvl>
    <w:lvl w:ilvl="4" w:tplc="04070019" w:tentative="1">
      <w:start w:val="1"/>
      <w:numFmt w:val="lowerLetter"/>
      <w:lvlText w:val="%5."/>
      <w:lvlJc w:val="left"/>
      <w:pPr>
        <w:ind w:left="3950" w:hanging="360"/>
      </w:pPr>
    </w:lvl>
    <w:lvl w:ilvl="5" w:tplc="0407001B" w:tentative="1">
      <w:start w:val="1"/>
      <w:numFmt w:val="lowerRoman"/>
      <w:lvlText w:val="%6."/>
      <w:lvlJc w:val="right"/>
      <w:pPr>
        <w:ind w:left="4670" w:hanging="180"/>
      </w:pPr>
    </w:lvl>
    <w:lvl w:ilvl="6" w:tplc="0407000F" w:tentative="1">
      <w:start w:val="1"/>
      <w:numFmt w:val="decimal"/>
      <w:lvlText w:val="%7."/>
      <w:lvlJc w:val="left"/>
      <w:pPr>
        <w:ind w:left="5390" w:hanging="360"/>
      </w:pPr>
    </w:lvl>
    <w:lvl w:ilvl="7" w:tplc="04070019" w:tentative="1">
      <w:start w:val="1"/>
      <w:numFmt w:val="lowerLetter"/>
      <w:lvlText w:val="%8."/>
      <w:lvlJc w:val="left"/>
      <w:pPr>
        <w:ind w:left="6110" w:hanging="360"/>
      </w:pPr>
    </w:lvl>
    <w:lvl w:ilvl="8" w:tplc="04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FB123FD"/>
    <w:multiLevelType w:val="hybridMultilevel"/>
    <w:tmpl w:val="D996F9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53237"/>
    <w:multiLevelType w:val="hybridMultilevel"/>
    <w:tmpl w:val="8E420D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F2A8C"/>
    <w:multiLevelType w:val="hybridMultilevel"/>
    <w:tmpl w:val="CB0E8C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A66C3"/>
    <w:multiLevelType w:val="hybridMultilevel"/>
    <w:tmpl w:val="8D068B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736CF"/>
    <w:multiLevelType w:val="hybridMultilevel"/>
    <w:tmpl w:val="DEA2AB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E08F4"/>
    <w:multiLevelType w:val="hybridMultilevel"/>
    <w:tmpl w:val="FE7EBEB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94E7D"/>
    <w:multiLevelType w:val="hybridMultilevel"/>
    <w:tmpl w:val="B59A5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65EF4"/>
    <w:multiLevelType w:val="hybridMultilevel"/>
    <w:tmpl w:val="0BBEF8FE"/>
    <w:lvl w:ilvl="0" w:tplc="040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3DBF16D1"/>
    <w:multiLevelType w:val="hybridMultilevel"/>
    <w:tmpl w:val="A5E4A5A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71CE8"/>
    <w:multiLevelType w:val="hybridMultilevel"/>
    <w:tmpl w:val="3EACC7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A1DA4"/>
    <w:multiLevelType w:val="hybridMultilevel"/>
    <w:tmpl w:val="962203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13D33"/>
    <w:multiLevelType w:val="hybridMultilevel"/>
    <w:tmpl w:val="3926B7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16750"/>
    <w:multiLevelType w:val="hybridMultilevel"/>
    <w:tmpl w:val="6554CCA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C96265"/>
    <w:multiLevelType w:val="hybridMultilevel"/>
    <w:tmpl w:val="BC6C22B2"/>
    <w:lvl w:ilvl="0" w:tplc="C9CC360C">
      <w:start w:val="1"/>
      <w:numFmt w:val="lowerLetter"/>
      <w:lvlText w:val="(%1)"/>
      <w:lvlJc w:val="left"/>
      <w:pPr>
        <w:ind w:left="1468" w:hanging="7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96C5C48"/>
    <w:multiLevelType w:val="hybridMultilevel"/>
    <w:tmpl w:val="05F035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E5198"/>
    <w:multiLevelType w:val="hybridMultilevel"/>
    <w:tmpl w:val="4CE0C6B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26EFD"/>
    <w:multiLevelType w:val="hybridMultilevel"/>
    <w:tmpl w:val="A2EA834C"/>
    <w:lvl w:ilvl="0" w:tplc="3E84DD34">
      <w:start w:val="1"/>
      <w:numFmt w:val="bullet"/>
      <w:lvlText w:val=""/>
      <w:lvlJc w:val="left"/>
      <w:pPr>
        <w:ind w:left="1080" w:hanging="360"/>
      </w:pPr>
      <w:rPr>
        <w:rFonts w:ascii="Wingdings" w:eastAsia="Calibri" w:hAnsi="Wingdings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3"/>
  </w:num>
  <w:num w:numId="5">
    <w:abstractNumId w:val="5"/>
  </w:num>
  <w:num w:numId="6">
    <w:abstractNumId w:val="1"/>
  </w:num>
  <w:num w:numId="7">
    <w:abstractNumId w:val="12"/>
  </w:num>
  <w:num w:numId="8">
    <w:abstractNumId w:val="10"/>
  </w:num>
  <w:num w:numId="9">
    <w:abstractNumId w:val="3"/>
  </w:num>
  <w:num w:numId="10">
    <w:abstractNumId w:val="6"/>
  </w:num>
  <w:num w:numId="11">
    <w:abstractNumId w:val="4"/>
  </w:num>
  <w:num w:numId="12">
    <w:abstractNumId w:val="14"/>
  </w:num>
  <w:num w:numId="13">
    <w:abstractNumId w:val="0"/>
  </w:num>
  <w:num w:numId="14">
    <w:abstractNumId w:val="17"/>
  </w:num>
  <w:num w:numId="15">
    <w:abstractNumId w:val="2"/>
  </w:num>
  <w:num w:numId="16">
    <w:abstractNumId w:val="16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7BC"/>
    <w:rsid w:val="000032DD"/>
    <w:rsid w:val="000064CB"/>
    <w:rsid w:val="000115F0"/>
    <w:rsid w:val="0001194D"/>
    <w:rsid w:val="00013261"/>
    <w:rsid w:val="0003101E"/>
    <w:rsid w:val="00037C5A"/>
    <w:rsid w:val="000464CE"/>
    <w:rsid w:val="00054978"/>
    <w:rsid w:val="000663C3"/>
    <w:rsid w:val="00067D79"/>
    <w:rsid w:val="000868B3"/>
    <w:rsid w:val="000A061C"/>
    <w:rsid w:val="000B207B"/>
    <w:rsid w:val="000C42A7"/>
    <w:rsid w:val="000C685E"/>
    <w:rsid w:val="000C720D"/>
    <w:rsid w:val="000D2934"/>
    <w:rsid w:val="000F173F"/>
    <w:rsid w:val="001041FB"/>
    <w:rsid w:val="00124452"/>
    <w:rsid w:val="00127AEC"/>
    <w:rsid w:val="00136A0D"/>
    <w:rsid w:val="001532C1"/>
    <w:rsid w:val="00153F2F"/>
    <w:rsid w:val="00164A49"/>
    <w:rsid w:val="00182BFA"/>
    <w:rsid w:val="00183169"/>
    <w:rsid w:val="0018318F"/>
    <w:rsid w:val="001835AF"/>
    <w:rsid w:val="001B036F"/>
    <w:rsid w:val="001D484A"/>
    <w:rsid w:val="001E5FFE"/>
    <w:rsid w:val="001F0CCE"/>
    <w:rsid w:val="001F58C3"/>
    <w:rsid w:val="001F6A76"/>
    <w:rsid w:val="002007EC"/>
    <w:rsid w:val="0021674B"/>
    <w:rsid w:val="0021723B"/>
    <w:rsid w:val="00220AC9"/>
    <w:rsid w:val="00225CB9"/>
    <w:rsid w:val="00230C4B"/>
    <w:rsid w:val="00250EC5"/>
    <w:rsid w:val="00270262"/>
    <w:rsid w:val="002709EF"/>
    <w:rsid w:val="00274CAF"/>
    <w:rsid w:val="0027771D"/>
    <w:rsid w:val="00282708"/>
    <w:rsid w:val="002A3743"/>
    <w:rsid w:val="002C7BC4"/>
    <w:rsid w:val="002D0476"/>
    <w:rsid w:val="002E2854"/>
    <w:rsid w:val="002E57B1"/>
    <w:rsid w:val="002F73C6"/>
    <w:rsid w:val="00301916"/>
    <w:rsid w:val="00370B9E"/>
    <w:rsid w:val="00373314"/>
    <w:rsid w:val="00381450"/>
    <w:rsid w:val="00393404"/>
    <w:rsid w:val="003B4C24"/>
    <w:rsid w:val="003F31B3"/>
    <w:rsid w:val="00416F29"/>
    <w:rsid w:val="00424F1A"/>
    <w:rsid w:val="004263E0"/>
    <w:rsid w:val="0043398C"/>
    <w:rsid w:val="004545BF"/>
    <w:rsid w:val="00465886"/>
    <w:rsid w:val="00472791"/>
    <w:rsid w:val="00477B8F"/>
    <w:rsid w:val="00482340"/>
    <w:rsid w:val="004919E2"/>
    <w:rsid w:val="004B4D8D"/>
    <w:rsid w:val="004C219B"/>
    <w:rsid w:val="004F1DC1"/>
    <w:rsid w:val="004F6A31"/>
    <w:rsid w:val="0050150A"/>
    <w:rsid w:val="005020AE"/>
    <w:rsid w:val="005219F8"/>
    <w:rsid w:val="00537F08"/>
    <w:rsid w:val="00537FB2"/>
    <w:rsid w:val="0054222E"/>
    <w:rsid w:val="00546FB9"/>
    <w:rsid w:val="00560C7C"/>
    <w:rsid w:val="005666A9"/>
    <w:rsid w:val="005700F4"/>
    <w:rsid w:val="00591CAB"/>
    <w:rsid w:val="005B768A"/>
    <w:rsid w:val="005C07B7"/>
    <w:rsid w:val="005C1407"/>
    <w:rsid w:val="005C179E"/>
    <w:rsid w:val="005D131C"/>
    <w:rsid w:val="005D3623"/>
    <w:rsid w:val="005E34EB"/>
    <w:rsid w:val="005E6E51"/>
    <w:rsid w:val="00612BF0"/>
    <w:rsid w:val="00612D2D"/>
    <w:rsid w:val="00625CBC"/>
    <w:rsid w:val="0064609D"/>
    <w:rsid w:val="00665EC3"/>
    <w:rsid w:val="006672EC"/>
    <w:rsid w:val="00681344"/>
    <w:rsid w:val="00681C35"/>
    <w:rsid w:val="006830D1"/>
    <w:rsid w:val="006B13C8"/>
    <w:rsid w:val="006C19EC"/>
    <w:rsid w:val="006D0727"/>
    <w:rsid w:val="006E5784"/>
    <w:rsid w:val="00701D71"/>
    <w:rsid w:val="0071358E"/>
    <w:rsid w:val="007146F9"/>
    <w:rsid w:val="0073115B"/>
    <w:rsid w:val="00737BD3"/>
    <w:rsid w:val="00744038"/>
    <w:rsid w:val="0076089E"/>
    <w:rsid w:val="00767050"/>
    <w:rsid w:val="00771C16"/>
    <w:rsid w:val="0077452B"/>
    <w:rsid w:val="0079430A"/>
    <w:rsid w:val="007A56A0"/>
    <w:rsid w:val="007A7AB9"/>
    <w:rsid w:val="007A7DA2"/>
    <w:rsid w:val="007C2419"/>
    <w:rsid w:val="007D2632"/>
    <w:rsid w:val="007F62B2"/>
    <w:rsid w:val="008122B0"/>
    <w:rsid w:val="00817EC0"/>
    <w:rsid w:val="00821AF0"/>
    <w:rsid w:val="00822470"/>
    <w:rsid w:val="008378E3"/>
    <w:rsid w:val="008A13E9"/>
    <w:rsid w:val="008B277B"/>
    <w:rsid w:val="008D1567"/>
    <w:rsid w:val="008D2E3F"/>
    <w:rsid w:val="008D2F24"/>
    <w:rsid w:val="008D31C2"/>
    <w:rsid w:val="008F276F"/>
    <w:rsid w:val="008F602E"/>
    <w:rsid w:val="008F7751"/>
    <w:rsid w:val="0090457B"/>
    <w:rsid w:val="009104B6"/>
    <w:rsid w:val="00915F82"/>
    <w:rsid w:val="009266F2"/>
    <w:rsid w:val="00931F42"/>
    <w:rsid w:val="0093532C"/>
    <w:rsid w:val="00950F48"/>
    <w:rsid w:val="0095583E"/>
    <w:rsid w:val="00956BF6"/>
    <w:rsid w:val="00981C56"/>
    <w:rsid w:val="009B6748"/>
    <w:rsid w:val="009D1DDC"/>
    <w:rsid w:val="009D5BA8"/>
    <w:rsid w:val="009D766D"/>
    <w:rsid w:val="009E37B9"/>
    <w:rsid w:val="009E565D"/>
    <w:rsid w:val="009F0A52"/>
    <w:rsid w:val="00A10DF9"/>
    <w:rsid w:val="00A2144C"/>
    <w:rsid w:val="00A219ED"/>
    <w:rsid w:val="00A27CC0"/>
    <w:rsid w:val="00A31150"/>
    <w:rsid w:val="00A42418"/>
    <w:rsid w:val="00A656FA"/>
    <w:rsid w:val="00A77BBA"/>
    <w:rsid w:val="00AA4B93"/>
    <w:rsid w:val="00AC0FD6"/>
    <w:rsid w:val="00AC0FF3"/>
    <w:rsid w:val="00AD53E0"/>
    <w:rsid w:val="00AF2822"/>
    <w:rsid w:val="00AF60B4"/>
    <w:rsid w:val="00B03274"/>
    <w:rsid w:val="00B11381"/>
    <w:rsid w:val="00B124D7"/>
    <w:rsid w:val="00B17513"/>
    <w:rsid w:val="00B24DEA"/>
    <w:rsid w:val="00B26619"/>
    <w:rsid w:val="00B669BA"/>
    <w:rsid w:val="00B736A7"/>
    <w:rsid w:val="00B82613"/>
    <w:rsid w:val="00B8563F"/>
    <w:rsid w:val="00BC306E"/>
    <w:rsid w:val="00BC3887"/>
    <w:rsid w:val="00BC72F5"/>
    <w:rsid w:val="00BD0CDA"/>
    <w:rsid w:val="00BD1E12"/>
    <w:rsid w:val="00BD6728"/>
    <w:rsid w:val="00BE2B40"/>
    <w:rsid w:val="00BF4691"/>
    <w:rsid w:val="00C03C27"/>
    <w:rsid w:val="00C040C9"/>
    <w:rsid w:val="00C13CF9"/>
    <w:rsid w:val="00C21B77"/>
    <w:rsid w:val="00C46A39"/>
    <w:rsid w:val="00C62E73"/>
    <w:rsid w:val="00C70EC0"/>
    <w:rsid w:val="00C87777"/>
    <w:rsid w:val="00CE3778"/>
    <w:rsid w:val="00CF6DBA"/>
    <w:rsid w:val="00D121FC"/>
    <w:rsid w:val="00D14EEB"/>
    <w:rsid w:val="00D175BD"/>
    <w:rsid w:val="00D363CB"/>
    <w:rsid w:val="00D51335"/>
    <w:rsid w:val="00D55BCA"/>
    <w:rsid w:val="00D769EE"/>
    <w:rsid w:val="00D864D5"/>
    <w:rsid w:val="00D909FE"/>
    <w:rsid w:val="00D95527"/>
    <w:rsid w:val="00DA0853"/>
    <w:rsid w:val="00DC31D8"/>
    <w:rsid w:val="00DC5338"/>
    <w:rsid w:val="00DD56B1"/>
    <w:rsid w:val="00DE6554"/>
    <w:rsid w:val="00E051D4"/>
    <w:rsid w:val="00E10192"/>
    <w:rsid w:val="00E20C43"/>
    <w:rsid w:val="00E24440"/>
    <w:rsid w:val="00E30CC3"/>
    <w:rsid w:val="00E407BC"/>
    <w:rsid w:val="00E45AD5"/>
    <w:rsid w:val="00E54B09"/>
    <w:rsid w:val="00E73343"/>
    <w:rsid w:val="00E80DAE"/>
    <w:rsid w:val="00E90A3C"/>
    <w:rsid w:val="00EA0BEA"/>
    <w:rsid w:val="00EA314A"/>
    <w:rsid w:val="00EE1CE0"/>
    <w:rsid w:val="00EE4979"/>
    <w:rsid w:val="00EE6BF4"/>
    <w:rsid w:val="00F21E4B"/>
    <w:rsid w:val="00F36BA7"/>
    <w:rsid w:val="00F54EBD"/>
    <w:rsid w:val="00F65566"/>
    <w:rsid w:val="00F7057B"/>
    <w:rsid w:val="00F81EB4"/>
    <w:rsid w:val="00F91BBA"/>
    <w:rsid w:val="00F94327"/>
    <w:rsid w:val="00FB3EAC"/>
    <w:rsid w:val="00FC0C8B"/>
    <w:rsid w:val="00FC378D"/>
    <w:rsid w:val="00FD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F4F25"/>
  <w15:chartTrackingRefBased/>
  <w15:docId w15:val="{2074EB3F-4E46-451F-932C-D60A7720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7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7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FB2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7FB2"/>
    <w:rPr>
      <w:rFonts w:ascii="Verdana" w:eastAsia="Times New Roman" w:hAnsi="Verdana" w:cs="Times New Roman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F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4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84A"/>
  </w:style>
  <w:style w:type="paragraph" w:styleId="Footer">
    <w:name w:val="footer"/>
    <w:basedOn w:val="Normal"/>
    <w:link w:val="FooterChar"/>
    <w:uiPriority w:val="99"/>
    <w:unhideWhenUsed/>
    <w:rsid w:val="001D4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8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9F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9FE"/>
    <w:rPr>
      <w:rFonts w:ascii="Verdana" w:eastAsia="Times New Roman" w:hAnsi="Verdana" w:cs="Times New Roman"/>
      <w:b/>
      <w:bCs/>
      <w:sz w:val="20"/>
      <w:szCs w:val="20"/>
      <w:lang w:eastAsia="de-DE"/>
    </w:rPr>
  </w:style>
  <w:style w:type="paragraph" w:styleId="Revision">
    <w:name w:val="Revision"/>
    <w:hidden/>
    <w:uiPriority w:val="99"/>
    <w:semiHidden/>
    <w:rsid w:val="00D363CB"/>
    <w:pPr>
      <w:spacing w:after="0" w:line="240" w:lineRule="auto"/>
    </w:pPr>
  </w:style>
  <w:style w:type="character" w:customStyle="1" w:styleId="highlight">
    <w:name w:val="highlight"/>
    <w:basedOn w:val="DefaultParagraphFont"/>
    <w:rsid w:val="00FC378D"/>
  </w:style>
  <w:style w:type="paragraph" w:customStyle="1" w:styleId="Default">
    <w:name w:val="Default"/>
    <w:rsid w:val="00FC37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046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ootnoteTextChar">
    <w:name w:val="Footnote Text Char"/>
    <w:basedOn w:val="DefaultParagraphFont"/>
    <w:link w:val="FootnoteText"/>
    <w:rsid w:val="000464CE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ootnoteReference">
    <w:name w:val="footnote reference"/>
    <w:basedOn w:val="DefaultParagraphFont"/>
    <w:rsid w:val="000464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02766-8010-482E-9ECD-1A43510C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Foersterling,Matthias Dr.</dc:creator>
  <cp:keywords/>
  <dc:description/>
  <cp:lastModifiedBy>Dimitris Dimitriadis</cp:lastModifiedBy>
  <cp:revision>6</cp:revision>
  <cp:lastPrinted>2021-01-25T10:29:00Z</cp:lastPrinted>
  <dcterms:created xsi:type="dcterms:W3CDTF">2021-04-01T05:34:00Z</dcterms:created>
  <dcterms:modified xsi:type="dcterms:W3CDTF">2021-04-13T16:00:00Z</dcterms:modified>
</cp:coreProperties>
</file>