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El Reglamento de la Agencia de Productos Médicos sobre medicamentos importados paralelos para uso humano;</w:t>
      </w:r>
    </w:p>
    <w:p w14:paraId="246EEEEE" w14:textId="6CA454AB" w:rsidR="00BB03EE" w:rsidRDefault="0086714A" w:rsidP="0086714A">
      <w:pPr>
        <w:pStyle w:val="HSLF-FS-Beslutsinfo"/>
      </w:pPr>
      <w:r>
        <w:t>aprobado el XX de 2021.</w:t>
      </w:r>
    </w:p>
    <w:p w14:paraId="4E241320" w14:textId="54548C3E" w:rsidR="004F4CCF" w:rsidRDefault="00433373" w:rsidP="0086714A">
      <w:pPr>
        <w:pStyle w:val="HSLF-FS-Brdtext"/>
      </w:pPr>
      <w:r>
        <w:t>En virtud del capítulo 9, artículo 11 de la Ordenanza sobre Medicamentos (2015:458), la Agencia de Productos Médicos establece</w:t>
      </w:r>
      <w:r w:rsidR="00943E19">
        <w:rPr>
          <w:rStyle w:val="FootnoteReference"/>
        </w:rPr>
        <w:footnoteReference w:id="1"/>
      </w:r>
      <w:r>
        <w:t xml:space="preserve"> lo siguiente.</w:t>
      </w:r>
    </w:p>
    <w:p w14:paraId="40282447" w14:textId="1A63E6DC" w:rsidR="004315EF" w:rsidRPr="003C3708" w:rsidRDefault="004315EF" w:rsidP="003C3708">
      <w:pPr>
        <w:pStyle w:val="HSLF-FS-Rubrik-2"/>
      </w:pPr>
      <w:r>
        <w:t>Ámbito de aplicación</w:t>
      </w:r>
    </w:p>
    <w:p w14:paraId="43B4D568" w14:textId="33FF8A54" w:rsidR="003C3708" w:rsidRPr="003C3708" w:rsidRDefault="00ED6DD8" w:rsidP="003C3708">
      <w:pPr>
        <w:pStyle w:val="HSLF-FS-Brdtext"/>
        <w:rPr>
          <w:sz w:val="24"/>
          <w:szCs w:val="24"/>
        </w:rPr>
      </w:pPr>
      <w:r>
        <w:rPr>
          <w:b/>
        </w:rPr>
        <w:t>Artículo 1</w:t>
      </w:r>
      <w:r>
        <w:t xml:space="preserve"> Esta normativa se aplica a la entrada de un medicamento importado paralelo para uso humano. </w:t>
      </w:r>
    </w:p>
    <w:p w14:paraId="0F413F36" w14:textId="73CF5F55" w:rsidR="003C3708" w:rsidRPr="00BE016C" w:rsidRDefault="003C3708" w:rsidP="00BE016C">
      <w:pPr>
        <w:pStyle w:val="HSLF-FS-Brdtextindragfrstaraden"/>
      </w:pPr>
      <w:r>
        <w:t>Estos Reglamentos no se aplican a los medicamentos de uso humano para los que la solicitud de autorización ha sido revisada de conformidad con el Reglamento (CE) n.º 726/2004 del Parlamento Europeo y del Consejo, de 31 de marzo de 2004, por el que se establecen procedimientos comunitarios de autorización y supervisión de los medicamentos de uso humano y veterinario y por el que se crea una Agencia Europea de Medicamentos.</w:t>
      </w:r>
    </w:p>
    <w:p w14:paraId="4A80A3E8" w14:textId="02D1B0F7" w:rsidR="003C3708" w:rsidRPr="003C3708" w:rsidRDefault="003C3708" w:rsidP="00C96192">
      <w:pPr>
        <w:pStyle w:val="HSLF-FS-Rubrik-2"/>
        <w:rPr>
          <w:bCs/>
        </w:rPr>
      </w:pPr>
      <w:r>
        <w:t>Definiciones</w:t>
      </w:r>
    </w:p>
    <w:p w14:paraId="0A72EFEB" w14:textId="5E3C0889" w:rsidR="00940C6F" w:rsidRDefault="00940C6F" w:rsidP="003C3708">
      <w:pPr>
        <w:pStyle w:val="HSLF-FS-Brdtextindragfrstaraden"/>
        <w:ind w:firstLine="0"/>
      </w:pPr>
      <w:r>
        <w:rPr>
          <w:b/>
        </w:rPr>
        <w:t>Artículo 2</w:t>
      </w:r>
      <w:r>
        <w:t xml:space="preserve"> Los términos y conceptos utilizados en la Ley de Medicamentos</w:t>
      </w:r>
    </w:p>
    <w:p w14:paraId="04DC6BA2" w14:textId="77777777" w:rsidR="00940C6F" w:rsidRDefault="00940C6F" w:rsidP="003C3708">
      <w:pPr>
        <w:pStyle w:val="HSLF-FS-Brdtextindragfrstaraden"/>
        <w:ind w:firstLine="0"/>
      </w:pPr>
      <w:r>
        <w:t xml:space="preserve">(2015:315) tienen los mismos significados en estos reglamentos. </w:t>
      </w:r>
    </w:p>
    <w:p w14:paraId="1D091889" w14:textId="083F2529" w:rsidR="003C3708" w:rsidRPr="00BE016C" w:rsidRDefault="00940C6F" w:rsidP="00BE016C">
      <w:pPr>
        <w:pStyle w:val="HSLF-FS-Brdtextindragfrstaraden"/>
      </w:pPr>
      <w:r>
        <w:t>A los efectos del presente Reglamento, se aplicarán las siguientes definiciones:</w:t>
      </w:r>
    </w:p>
    <w:p w14:paraId="4386FD47" w14:textId="64D64BCA" w:rsidR="00940C6F" w:rsidRPr="00BE016C" w:rsidRDefault="00940C6F" w:rsidP="007C2C81">
      <w:pPr>
        <w:pStyle w:val="HSLF-FS-Brdtextindragfrstaraden"/>
      </w:pPr>
      <w:r>
        <w:rPr>
          <w:i/>
        </w:rPr>
        <w:lastRenderedPageBreak/>
        <w:t>importación paralela</w:t>
      </w:r>
      <w:r>
        <w:t xml:space="preserve"> entrada a Suecia desde un país del Espacio Económico Europeo (EEE) de un medicamento de uso humano autorizado para su venta en Suecia y en el país de salida, pero la entrada es gestionada por una entidad distinta del fabricante o titular de la autorización de comercialización,</w:t>
      </w:r>
    </w:p>
    <w:p w14:paraId="19F16786" w14:textId="6540C502" w:rsidR="00940C6F" w:rsidRPr="00BE016C" w:rsidRDefault="00940C6F" w:rsidP="007C2C81">
      <w:pPr>
        <w:pStyle w:val="HSLF-FS-Brdtextindragfrstaraden"/>
      </w:pPr>
      <w:r>
        <w:rPr>
          <w:i/>
        </w:rPr>
        <w:t>importador paralelo</w:t>
      </w:r>
      <w:r>
        <w:t xml:space="preserve"> titular de la autorización de comercialización de un medicamento importado paralelo para uso humano, </w:t>
      </w:r>
    </w:p>
    <w:p w14:paraId="4A759F7F" w14:textId="2F131841" w:rsidR="00F34CB6" w:rsidRPr="00BE016C" w:rsidRDefault="00940C6F" w:rsidP="007C2C81">
      <w:pPr>
        <w:pStyle w:val="HSLF-FS-Brdtextindragfrstaraden"/>
      </w:pPr>
      <w:r>
        <w:rPr>
          <w:i/>
        </w:rPr>
        <w:t>medicamento importado directamente para uso humano</w:t>
      </w:r>
      <w:r>
        <w:t xml:space="preserve"> el medicamento al que se refiere el medicamento importado paralelo para uso humano en la solicitud. </w:t>
      </w:r>
    </w:p>
    <w:p w14:paraId="5F711D83" w14:textId="64AA579B" w:rsidR="00FA0F3C" w:rsidRDefault="00646823" w:rsidP="00FA0F3C">
      <w:pPr>
        <w:pStyle w:val="HSLF-FS-Rubrik-2"/>
      </w:pPr>
      <w:r>
        <w:t>Autorización</w:t>
      </w:r>
    </w:p>
    <w:p w14:paraId="3C655A84" w14:textId="3F878C50" w:rsidR="007732D0" w:rsidRPr="007732D0" w:rsidRDefault="00C445C5" w:rsidP="007732D0">
      <w:pPr>
        <w:pStyle w:val="HSLF-FS-Brdtext"/>
      </w:pPr>
      <w:r>
        <w:rPr>
          <w:b/>
        </w:rPr>
        <w:t xml:space="preserve">Artículo 3 </w:t>
      </w:r>
      <w:r>
        <w:t xml:space="preserve">Un medicamento importado paralelo para uso humano no podrá comercializarse hasta que se haya concedido la autorización. </w:t>
      </w:r>
    </w:p>
    <w:p w14:paraId="51E8069F" w14:textId="6EC36889" w:rsidR="00646823" w:rsidRDefault="00C445C5" w:rsidP="00BE016C">
      <w:pPr>
        <w:pStyle w:val="HSLF-FS-Brdtextindragfrstaraden"/>
      </w:pPr>
      <w:r>
        <w:t xml:space="preserve">La autorización de comercialización de un medicamento importado paralelo de uso humano es válida durante cinco años. Después de la solicitud, la autorización puede prorrogarse indefinidamente. Lo que se indique en la solicitud de renovación en el capítulo 4, artículo 17, de la Ley de Medicamentos (2015:315) se aplicará a dicha solicitud.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Artículo 4</w:t>
      </w:r>
      <w:r>
        <w:t xml:space="preserve"> Para obtener la autorización de comercialización de medicamentos importados paralelos para uso humano, se deberá cumplir lo siguiente: </w:t>
      </w:r>
    </w:p>
    <w:p w14:paraId="78F2E1FC" w14:textId="11663A88" w:rsidR="00D8693F" w:rsidRDefault="007C2C81" w:rsidP="007C2C81">
      <w:pPr>
        <w:pStyle w:val="HSLF-FS-Brdtextindragfrstaraden"/>
      </w:pPr>
      <w:r>
        <w:t>1. el medicamento directamente importado para uso humano ya esté autorizado para su comercialización en Suecia cuando la Agencia de Productos Médicos reciba la solicitud,</w:t>
      </w:r>
    </w:p>
    <w:p w14:paraId="6F54A6D9" w14:textId="772D8B99" w:rsidR="00D8693F" w:rsidRDefault="007C2C81" w:rsidP="007C2C81">
      <w:pPr>
        <w:pStyle w:val="HSLF-FS-Brdtextindragfrstaraden"/>
      </w:pPr>
      <w:r>
        <w:t xml:space="preserve">2. el medicamento importado paralelo para uso humano tenga autorización de comercialización en el país de salida, </w:t>
      </w:r>
    </w:p>
    <w:p w14:paraId="7CAAA569" w14:textId="069A8D5A" w:rsidR="00D8693F" w:rsidRDefault="007C2C81" w:rsidP="007C2C81">
      <w:pPr>
        <w:pStyle w:val="HSLF-FS-Brdtextindragfrstaraden"/>
      </w:pPr>
      <w:r>
        <w:t xml:space="preserve">3. el país de salida sea un Estado miembro del EEE, y </w:t>
      </w:r>
    </w:p>
    <w:p w14:paraId="1E03DBE1" w14:textId="558CD31C" w:rsidR="00D57B04" w:rsidRDefault="007C2C81" w:rsidP="007C2C81">
      <w:pPr>
        <w:pStyle w:val="HSLF-FS-Brdtextindragfrstaraden"/>
      </w:pPr>
      <w:r>
        <w:t>4. el medicamento importado paralelo para uso humano sea suficientemente similar al medicamento importado directamente para uso humano.</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Artículo 5</w:t>
      </w:r>
      <w:r>
        <w:t xml:space="preserve"> Una solicitud de autorización de comercialización para medicamentos importados paralelos de uso humano incluirá: </w:t>
      </w:r>
    </w:p>
    <w:p w14:paraId="44DA9400" w14:textId="1FC51AA4" w:rsidR="00993A39" w:rsidRDefault="007C2C81" w:rsidP="007C2C81">
      <w:pPr>
        <w:pStyle w:val="HSLF-FS-Brdtextindragfrstaraden"/>
      </w:pPr>
      <w:r>
        <w:t xml:space="preserve">1. la información y la documentación especificadas en el anexo del Reglamento, </w:t>
      </w:r>
    </w:p>
    <w:p w14:paraId="419C2964" w14:textId="77A3603F" w:rsidR="00D8693F" w:rsidRPr="00993A39" w:rsidRDefault="007C2C81" w:rsidP="007C2C81">
      <w:pPr>
        <w:pStyle w:val="HSLF-FS-Brdtextindragfrstaraden"/>
      </w:pPr>
      <w:r>
        <w:t xml:space="preserve">2. el etiquetado propuesto de los envases primarios, </w:t>
      </w:r>
    </w:p>
    <w:p w14:paraId="7C0BA453" w14:textId="560BF230" w:rsidR="00D8693F" w:rsidRPr="00993A39" w:rsidRDefault="007C2C81" w:rsidP="007C2C81">
      <w:pPr>
        <w:pStyle w:val="HSLF-FS-Brdtextindragfrstaraden"/>
      </w:pPr>
      <w:r>
        <w:t xml:space="preserve">3. prospecto propuesto, y </w:t>
      </w:r>
    </w:p>
    <w:p w14:paraId="0CFEA5D0" w14:textId="209D1807" w:rsidR="00BE016C" w:rsidRDefault="007C2C81" w:rsidP="007C2C81">
      <w:pPr>
        <w:pStyle w:val="HSLF-FS-Brdtextindragfrstaraden"/>
      </w:pPr>
      <w:r>
        <w:t xml:space="preserve">4. una copia de todos los embalajes/envases y tamaños de envase, procedentes del país de salida, destinada a su entrada en Suecia. </w:t>
      </w:r>
    </w:p>
    <w:p w14:paraId="096B4409" w14:textId="6ECA526F" w:rsidR="00993A39" w:rsidRDefault="00D8693F" w:rsidP="00BE016C">
      <w:pPr>
        <w:pStyle w:val="HSLF-FS-Brdtextindragfrstaraden"/>
      </w:pPr>
      <w:r>
        <w:t xml:space="preserve">Se requieren solicitudes separadas para cada país de salida. </w:t>
      </w:r>
    </w:p>
    <w:p w14:paraId="26E87D79" w14:textId="76BBD1B2" w:rsidR="00D8693F" w:rsidRPr="00993A39" w:rsidRDefault="00D8693F" w:rsidP="00BE016C">
      <w:pPr>
        <w:pStyle w:val="HSLF-FS-Brdtextindragfrstaraden"/>
      </w:pPr>
      <w:r>
        <w:lastRenderedPageBreak/>
        <w:t xml:space="preserve">La Agencia de Productos Médicos revisa las solicitudes de autorización de comercialización de medicamentos importados paralelos de uso humano una vez pagada la tasa de solicitud. </w:t>
      </w:r>
    </w:p>
    <w:p w14:paraId="18053560" w14:textId="5EF14C14" w:rsidR="00993A39" w:rsidRPr="00993A39" w:rsidRDefault="00993A39" w:rsidP="00993A39">
      <w:pPr>
        <w:pStyle w:val="HSLF-FS-Rubrik-2"/>
      </w:pPr>
      <w:r>
        <w:t>Solicitud para productos biológicos humanos</w:t>
      </w:r>
    </w:p>
    <w:p w14:paraId="7D23B598" w14:textId="2162C899" w:rsidR="00D8693F" w:rsidRDefault="00993A39" w:rsidP="00993A39">
      <w:pPr>
        <w:pStyle w:val="HSLF-FS-Brdtext"/>
      </w:pPr>
      <w:r>
        <w:rPr>
          <w:b/>
        </w:rPr>
        <w:t xml:space="preserve">Artículo 6 </w:t>
      </w:r>
      <w:r>
        <w:t>Además de lo especificado en el artículo 5, la concesión de la autorización de comercialización de medicamentos importados paralelos para uso humano fabricados a partir de sangre o plasma de seres humanos requiere documentación sobre materiales de partida, trazabilidad y sistemas para notificar acontecimientos graves relacionados con posibles riesgos de contagio. Dicha documentación también puede solicitarse cuando la solicitud se refiere a otros biológicos humanos.</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Artículo 7 </w:t>
      </w:r>
      <w:r>
        <w:t>Los documentos de solicitud conforme a los artículos 5 y 6 se redactarán en sueco o inglés.</w:t>
      </w:r>
    </w:p>
    <w:p w14:paraId="1CBA2373" w14:textId="2BEEACD9" w:rsidR="00C96192" w:rsidRPr="00C96192" w:rsidRDefault="00C96192" w:rsidP="00C96192">
      <w:pPr>
        <w:pStyle w:val="HSLF-FS-Rubrik-2"/>
      </w:pPr>
      <w:r>
        <w:t xml:space="preserve">Notificación </w:t>
      </w:r>
    </w:p>
    <w:p w14:paraId="4CA2F203" w14:textId="6C843A2C" w:rsidR="00C96192" w:rsidRDefault="00C96192" w:rsidP="003E763F">
      <w:pPr>
        <w:pStyle w:val="HSLF-FS-Brdtextindragfrstaraden"/>
        <w:spacing w:line="240" w:lineRule="auto"/>
        <w:ind w:firstLine="0"/>
        <w:rPr>
          <w:b/>
          <w:sz w:val="23"/>
          <w:szCs w:val="23"/>
        </w:rPr>
      </w:pPr>
      <w:r>
        <w:rPr>
          <w:b/>
        </w:rPr>
        <w:t>Artículo 8</w:t>
      </w:r>
      <w:r>
        <w:t xml:space="preserve"> Aquellos que tengan la intención de importar paralelamente un medicamento de uso humano notificarán su intención al titular de la autorización de comercialización del medicamento importado directo para uso humano. La notificación tendrá lugar antes de que el medicamento importado paralelo para uso humano se comercialice en Suecia.</w:t>
      </w:r>
    </w:p>
    <w:p w14:paraId="3BBDD876" w14:textId="1E41FBDB" w:rsidR="00C96192" w:rsidRDefault="00C96192" w:rsidP="00C96192">
      <w:pPr>
        <w:pStyle w:val="HSLF-FS-Rubrik-2"/>
      </w:pPr>
      <w:r>
        <w:t>Notificación específica para las importaciones paralelas procedentes de determinados países</w:t>
      </w:r>
    </w:p>
    <w:p w14:paraId="271E0127" w14:textId="0744D18F" w:rsidR="00C96192" w:rsidRDefault="00C96192" w:rsidP="003E763F">
      <w:pPr>
        <w:pStyle w:val="HSLF-FS-Brdtextindragfrstaraden"/>
        <w:spacing w:line="240" w:lineRule="auto"/>
        <w:ind w:firstLine="0"/>
        <w:rPr>
          <w:b/>
          <w:sz w:val="23"/>
          <w:szCs w:val="23"/>
        </w:rPr>
      </w:pPr>
      <w:r>
        <w:rPr>
          <w:b/>
        </w:rPr>
        <w:t>Artículo 9</w:t>
      </w:r>
      <w:r>
        <w:t xml:space="preserve"> Si el importador paralelo tiene la intención de importar medicamentos para uso humano de Bulgaria, Estonia, Croacia, Letonia, Lituania, Polonia, Rumanía, Eslovaquia, Eslovenia, la República Checa o Hungría y el medicamento directamente importado para uso humano está protegido por patentes o por un certificado de protección adicional (SPC), el titular de la patente o beneficiario de la patente o RCP será notificado a más tardar 30 días antes de la presentación de la solicitud a la Agencia de Productos Médicos. La notificación tendrá lugar a menos que se haya previsto la misma posibilidad de protección de patentes o RCP para el medicamento de uso humano en el país de salida que para el medicamento importado directo para uso humano en el momento de su solicitud de autorización. </w:t>
      </w:r>
    </w:p>
    <w:p w14:paraId="4EBBEDAE" w14:textId="77777777" w:rsidR="00C96192" w:rsidRPr="00C96192" w:rsidRDefault="00C96192" w:rsidP="00C96192">
      <w:pPr>
        <w:pStyle w:val="HSLF-FS-Rubrik-2"/>
      </w:pPr>
      <w:r>
        <w:lastRenderedPageBreak/>
        <w:t xml:space="preserve">Tasas </w:t>
      </w:r>
    </w:p>
    <w:p w14:paraId="5F02B637" w14:textId="6289BF54" w:rsidR="00C96192" w:rsidRDefault="00C96192" w:rsidP="003E763F">
      <w:pPr>
        <w:pStyle w:val="HSLF-FS-Brdtextindragfrstaraden"/>
        <w:spacing w:line="240" w:lineRule="auto"/>
        <w:ind w:firstLine="0"/>
        <w:rPr>
          <w:b/>
          <w:sz w:val="23"/>
          <w:szCs w:val="23"/>
        </w:rPr>
      </w:pPr>
      <w:r>
        <w:rPr>
          <w:b/>
        </w:rPr>
        <w:t>Artículo 10</w:t>
      </w:r>
      <w:r>
        <w:t xml:space="preserve"> En el Reglamento (2010:1167) sobre las tasas por el control estatal de los medicamentos se encuentran disposiciones sobre las tasas.</w:t>
      </w:r>
    </w:p>
    <w:p w14:paraId="5E4625DC" w14:textId="77777777" w:rsidR="008E0BB7" w:rsidRDefault="008E0BB7" w:rsidP="008E0BB7">
      <w:pPr>
        <w:pStyle w:val="HSLF-FS-Rubrik-2"/>
      </w:pPr>
      <w:r>
        <w:t xml:space="preserve">Resúmenes de las características del producto </w:t>
      </w:r>
    </w:p>
    <w:p w14:paraId="4879FB44" w14:textId="69BB98B3" w:rsidR="008E0BB7" w:rsidRDefault="008E0BB7" w:rsidP="003E763F">
      <w:pPr>
        <w:pStyle w:val="HSLF-FS-Brdtextindragfrstaraden"/>
        <w:spacing w:line="240" w:lineRule="auto"/>
        <w:ind w:firstLine="0"/>
      </w:pPr>
      <w:r>
        <w:rPr>
          <w:b/>
        </w:rPr>
        <w:t>Artículo 11</w:t>
      </w:r>
      <w:r>
        <w:t xml:space="preserve"> El resumen de las características del medicamento importado directo para uso humano también es válido, </w:t>
      </w:r>
      <w:r>
        <w:rPr>
          <w:i/>
          <w:iCs/>
        </w:rPr>
        <w:t>mutatis mutandis</w:t>
      </w:r>
      <w:r>
        <w:t xml:space="preserve">, para el medicamento importado paralelo para uso humano. </w:t>
      </w:r>
    </w:p>
    <w:p w14:paraId="0262828E" w14:textId="6DA76E30" w:rsidR="008E0BB7" w:rsidRDefault="008E0BB7" w:rsidP="006828FD">
      <w:pPr>
        <w:pStyle w:val="HSLF-FS-Brdtextindragfrstaraden"/>
      </w:pPr>
      <w:r>
        <w:t xml:space="preserve">Si el medicamento importado directo para uso humano ya no está autorizado para su comercialización en Suecia y carece de un resumen de las características del producto, el importador paralelo presentará una solicitud para cambiar a otro resumen adecuado de las características del producto. </w:t>
      </w:r>
    </w:p>
    <w:p w14:paraId="64CC7F95" w14:textId="4B4B24CF" w:rsidR="00013C90" w:rsidRDefault="008E0BB7" w:rsidP="009C696F">
      <w:pPr>
        <w:pStyle w:val="HSLF-FS-Brdtextindragfrstaraden"/>
      </w:pPr>
      <w:r>
        <w:t xml:space="preserve">Si no existe un resumen adecuado de las características del producto con arreglo al párrafo segundo, el importador paralelo presentará un resumen de las características del producto en sueco para el medicamento importado paralelo de uso humano. Cuando se elabore un resumen de las características del producto, se formateará con arreglo al [Reglamento de la Agencia de Productos Médicos (HSLF-FS </w:t>
      </w:r>
      <w:proofErr w:type="gramStart"/>
      <w:r>
        <w:t>2021:xx</w:t>
      </w:r>
      <w:proofErr w:type="gramEnd"/>
      <w:r>
        <w:t>) sobre la autorización de comercialización de medicamentos de uso humano].</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Etiquetado y prospecto</w:t>
      </w:r>
    </w:p>
    <w:p w14:paraId="0C51A248" w14:textId="3B7E3855" w:rsidR="008E0BB7" w:rsidRPr="00FB7D99" w:rsidRDefault="008E0BB7" w:rsidP="003E763F">
      <w:pPr>
        <w:pStyle w:val="HSLF-FS-Brdtextindragfrstaraden"/>
        <w:spacing w:line="240" w:lineRule="auto"/>
        <w:ind w:firstLine="0"/>
        <w:rPr>
          <w:b/>
          <w:sz w:val="23"/>
          <w:szCs w:val="23"/>
        </w:rPr>
      </w:pPr>
      <w:r>
        <w:rPr>
          <w:b/>
        </w:rPr>
        <w:t>Artículo 12</w:t>
      </w:r>
      <w:r>
        <w:t xml:space="preserve"> El etiquetado y el nombre se ajustarán al [Reglamento de la Agencia de Productos Médicos (HSLF-FS </w:t>
      </w:r>
      <w:proofErr w:type="gramStart"/>
      <w:r>
        <w:t>2021:xx</w:t>
      </w:r>
      <w:proofErr w:type="gramEnd"/>
      <w:r>
        <w:t>) sobre etiquetado y prospectos de medicamentos de uso humano]. Además, se observará lo siguiente.</w:t>
      </w:r>
    </w:p>
    <w:p w14:paraId="4B08A15A" w14:textId="77777777" w:rsidR="003F4B7D" w:rsidRDefault="003F4B7D" w:rsidP="003F4B7D">
      <w:pPr>
        <w:pStyle w:val="HSLF-FS-Brdtextindragfrstaraden"/>
      </w:pPr>
      <w:r>
        <w:t xml:space="preserve">1. Los envases inmediatos y exteriores llevarán los nombres y direcciones del fabricante, del importador paralelo y del </w:t>
      </w:r>
      <w:proofErr w:type="spellStart"/>
      <w:r>
        <w:t>reenvasador</w:t>
      </w:r>
      <w:proofErr w:type="spellEnd"/>
      <w:r>
        <w:t xml:space="preserve">. En lugar del nombre y la dirección del fabricante, se puede indicar un nombre relevante. </w:t>
      </w:r>
    </w:p>
    <w:p w14:paraId="40E0DA30" w14:textId="0F35B829" w:rsidR="00FB7D99" w:rsidRDefault="003F4B7D" w:rsidP="003F4B7D">
      <w:pPr>
        <w:pStyle w:val="HSLF-FS-Brdtextindragfrstaraden"/>
      </w:pPr>
      <w:r>
        <w:t xml:space="preserve">2. Si el medicamento importado paralelo para uso humano se desvía en cualquier aspecto del medicamento importado directo para uso humano, el embalaje exterior se etiquetará con el texto correspondiente. </w:t>
      </w:r>
    </w:p>
    <w:p w14:paraId="476EACF4" w14:textId="7E57E8A4" w:rsidR="00FB7D99" w:rsidRDefault="008E0BB7" w:rsidP="006828FD">
      <w:pPr>
        <w:pStyle w:val="HSLF-FS-Brdtextindragfrstaraden"/>
      </w:pPr>
      <w:r>
        <w:t xml:space="preserve">Con excepción del punto 1 del párrafo primero, los envases primarios en forma de </w:t>
      </w:r>
      <w:proofErr w:type="spellStart"/>
      <w:r>
        <w:t>blísters</w:t>
      </w:r>
      <w:proofErr w:type="spellEnd"/>
      <w:r>
        <w:t xml:space="preserve"> y otros pequeños envases primarios solo pueden llevar la información especificada en los apartados 3 a 4 [HSLF-FS </w:t>
      </w:r>
      <w:proofErr w:type="gramStart"/>
      <w:r>
        <w:t>2021:xx</w:t>
      </w:r>
      <w:proofErr w:type="gramEnd"/>
      <w:r>
        <w:t xml:space="preserve">] y el nombre del importador paralelo. </w:t>
      </w:r>
    </w:p>
    <w:p w14:paraId="48B7FB75" w14:textId="6CEE253F" w:rsidR="008E0BB7" w:rsidRPr="00FB7D99" w:rsidRDefault="008E0BB7" w:rsidP="006828FD">
      <w:pPr>
        <w:pStyle w:val="HSLF-FS-Brdtextindragfrstaraden"/>
      </w:pPr>
      <w:r>
        <w:t>El embalaje podrá llevar texto extranjero si el contenido del texto no entra en conflicto con el que figura en la etiqueta en sueco.</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lastRenderedPageBreak/>
        <w:t>Artículo 13</w:t>
      </w:r>
      <w:r>
        <w:t xml:space="preserve"> El prospecto deberá formatearse de acuerdo con el [Reglamento de la Agencia de Productos Médicos (HSLF-FS </w:t>
      </w:r>
      <w:proofErr w:type="gramStart"/>
      <w:r>
        <w:t>2021:xx</w:t>
      </w:r>
      <w:proofErr w:type="gramEnd"/>
      <w:r>
        <w:t xml:space="preserve">) sobre el etiquetado y los prospectos de medicamentos de uso humano]. El contenido del prospecto seguirá el prospecto del medicamento importado directo para uso humano, pero se adaptará para el medicamento importado paralelo para uso humano. </w:t>
      </w:r>
    </w:p>
    <w:p w14:paraId="320F43CC" w14:textId="18B3DC58" w:rsidR="008E0BB7" w:rsidRDefault="00FB7D99" w:rsidP="00290C54">
      <w:pPr>
        <w:pStyle w:val="HSLF-FS-Brdtextindragfrstaraden"/>
        <w:rPr>
          <w:b/>
          <w:sz w:val="23"/>
          <w:szCs w:val="23"/>
        </w:rPr>
      </w:pPr>
      <w:r>
        <w:t xml:space="preserve">Además del nombre y la dirección del fabricante, en el prospecto también se incluirán los nombres y direcciones del importador paralelo y del </w:t>
      </w:r>
      <w:proofErr w:type="spellStart"/>
      <w:r>
        <w:t>reenvasador</w:t>
      </w:r>
      <w:proofErr w:type="spellEnd"/>
      <w:r>
        <w:t>. En lugar del nombre y la dirección del fabricante, se puede indicar un nombre relevante.</w:t>
      </w:r>
    </w:p>
    <w:p w14:paraId="2AAFFEDA" w14:textId="7B80763D" w:rsidR="00FB7D99" w:rsidRPr="00FB7D99" w:rsidRDefault="00290C54" w:rsidP="000A25FC">
      <w:pPr>
        <w:pStyle w:val="HSLF-FS-Rubrik-2"/>
      </w:pPr>
      <w:r>
        <w:t xml:space="preserve">El nombre del medicamento de uso humano </w:t>
      </w:r>
    </w:p>
    <w:p w14:paraId="7D3512EF" w14:textId="6DC83553" w:rsidR="008E0BB7" w:rsidRDefault="00FB7D99" w:rsidP="003E763F">
      <w:pPr>
        <w:pStyle w:val="HSLF-FS-Brdtextindragfrstaraden"/>
        <w:spacing w:line="240" w:lineRule="auto"/>
        <w:ind w:firstLine="0"/>
        <w:rPr>
          <w:b/>
          <w:sz w:val="23"/>
          <w:szCs w:val="23"/>
        </w:rPr>
      </w:pPr>
      <w:r>
        <w:rPr>
          <w:b/>
        </w:rPr>
        <w:t>Artículo</w:t>
      </w:r>
      <w:r>
        <w:t xml:space="preserve"> </w:t>
      </w:r>
      <w:r>
        <w:rPr>
          <w:b/>
        </w:rPr>
        <w:t xml:space="preserve">14 </w:t>
      </w:r>
      <w:r>
        <w:t xml:space="preserve">Además de lo que se indica con respecto al nombre del medicamento de uso humano en artículo 1 [el Reglamento de la Agencia de Productos Médicos (HSLF-FS </w:t>
      </w:r>
      <w:proofErr w:type="gramStart"/>
      <w:r>
        <w:t>2021:xx</w:t>
      </w:r>
      <w:proofErr w:type="gramEnd"/>
      <w:r>
        <w:t xml:space="preserve">) sobre etiquetado y prospectos de medicamentos de uso humano] el medicamento importado paralelo para uso humano puede tener el mismo nombre que el medicamento importado directamente para uso humano. </w:t>
      </w:r>
    </w:p>
    <w:p w14:paraId="794E867C" w14:textId="77777777" w:rsidR="000A25FC" w:rsidRPr="000A25FC" w:rsidRDefault="000A25FC" w:rsidP="000A25FC">
      <w:pPr>
        <w:pStyle w:val="HSLF-FS-Rubrik-2"/>
      </w:pPr>
      <w:r>
        <w:t xml:space="preserve">Período de validez y almacenamiento </w:t>
      </w:r>
    </w:p>
    <w:p w14:paraId="0710B930" w14:textId="7F9BD9E7" w:rsidR="000A25FC" w:rsidRDefault="000A25FC" w:rsidP="003E763F">
      <w:pPr>
        <w:pStyle w:val="HSLF-FS-Brdtextindragfrstaraden"/>
        <w:spacing w:line="240" w:lineRule="auto"/>
        <w:ind w:firstLine="0"/>
      </w:pPr>
      <w:r>
        <w:rPr>
          <w:b/>
        </w:rPr>
        <w:t>Artículo 15</w:t>
      </w:r>
      <w:r>
        <w:t xml:space="preserve"> Un medicamento importado paralelo para uso humano tendrá el mismo período de validez que el medicamento para uso humano en el país de salida, a menos que las condiciones en el caso concreto decidan lo contrario. Se indicará el período de validez de los envases no abiertos y, en su caso, de los envases abiertos. Si el medicamento de uso humano ha de ser completado por las farmacias, se indicará siempre el período de validez del envase abierto. </w:t>
      </w:r>
    </w:p>
    <w:p w14:paraId="44C7A83A" w14:textId="67503CB7" w:rsidR="000A25FC" w:rsidRPr="00290C54" w:rsidRDefault="000A25FC" w:rsidP="00290C54">
      <w:pPr>
        <w:pStyle w:val="HSLF-FS-Brdtextindragfrstaraden"/>
      </w:pPr>
      <w:r>
        <w:t xml:space="preserve">En los casos en que se abra un embalaje/envasado secundario durante el </w:t>
      </w:r>
      <w:proofErr w:type="spellStart"/>
      <w:r>
        <w:t>reenvasado</w:t>
      </w:r>
      <w:proofErr w:type="spellEnd"/>
      <w:r>
        <w:t xml:space="preserve"> y ello afecte a la estabilidad del medicamento para uso humano, deberá documentarse e indicarse el período de validez del nuevo envase. </w:t>
      </w:r>
    </w:p>
    <w:p w14:paraId="249CDA8A" w14:textId="377748F5" w:rsidR="008E0BB7" w:rsidRPr="00290C54" w:rsidRDefault="000A25FC" w:rsidP="00290C54">
      <w:pPr>
        <w:pStyle w:val="HSLF-FS-Brdtextindragfrstaraden"/>
      </w:pPr>
      <w:r>
        <w:t>El medicamento importado paralelo para uso humano tendrá las mismas instrucciones de almacenamiento que el medicamento importado directo para uso humano, a menos que las condiciones en el caso concreto dicten lo contrario.</w:t>
      </w:r>
    </w:p>
    <w:p w14:paraId="7DE657BA" w14:textId="77777777" w:rsidR="000A25FC" w:rsidRDefault="000A25FC" w:rsidP="000A25FC">
      <w:pPr>
        <w:pStyle w:val="HSLF-FS-Rubrik-2"/>
      </w:pPr>
      <w:r>
        <w:t xml:space="preserve">Notificación de los efectos secundarios </w:t>
      </w:r>
    </w:p>
    <w:p w14:paraId="104B7DFF" w14:textId="024946B8" w:rsidR="000A25FC" w:rsidRDefault="000A25FC" w:rsidP="003E763F">
      <w:pPr>
        <w:pStyle w:val="HSLF-FS-Brdtextindragfrstaraden"/>
        <w:spacing w:line="240" w:lineRule="auto"/>
        <w:ind w:firstLine="0"/>
      </w:pPr>
      <w:r>
        <w:rPr>
          <w:b/>
        </w:rPr>
        <w:t>Artículo 16</w:t>
      </w:r>
      <w:r>
        <w:t xml:space="preserve"> El importador paralelo notificará todos los efectos secundarios sospechosos relacionados con el medicamento importado paralelo para uso humano a la entidad con autorización de comercialización en Suecia para el medicamento importado directo para uso humano. </w:t>
      </w:r>
    </w:p>
    <w:p w14:paraId="24B618C9" w14:textId="4D8E993E" w:rsidR="008F3292" w:rsidRPr="00290C54" w:rsidRDefault="000A25FC" w:rsidP="00290C54">
      <w:pPr>
        <w:pStyle w:val="HSLF-FS-Brdtextindragfrstaraden"/>
      </w:pPr>
      <w:r>
        <w:lastRenderedPageBreak/>
        <w:t xml:space="preserve">En cambio, el informe de efectos secundarios se enviará a la entidad con autorización de comercialización en el país de salida del medicamento de uso humano si </w:t>
      </w:r>
    </w:p>
    <w:p w14:paraId="4371C89C" w14:textId="0C7F327B" w:rsidR="000A25FC" w:rsidRDefault="003F4B7D" w:rsidP="003F4B7D">
      <w:pPr>
        <w:pStyle w:val="HSLF-FS-Brdtextindragfrstaraden"/>
      </w:pPr>
      <w:r>
        <w:t xml:space="preserve">– la entidad con autorización de comercialización del medicamento importado directo para uso humano no dispone también de autorización de comercialización en el país de salida del medicamento para uso humano, o </w:t>
      </w:r>
    </w:p>
    <w:p w14:paraId="06143F8F" w14:textId="06C05CA6" w:rsidR="000A25FC" w:rsidRDefault="003F4B7D" w:rsidP="003F4B7D">
      <w:pPr>
        <w:pStyle w:val="HSLF-FS-Brdtextindragfrstaraden"/>
      </w:pPr>
      <w:r>
        <w:t xml:space="preserve">– el medicamento importado directo para uso humano ya no está autorizado para su comercialización en Suecia. </w:t>
      </w:r>
    </w:p>
    <w:p w14:paraId="24DE6638" w14:textId="24E9A8A4" w:rsidR="000A25FC" w:rsidRDefault="000A25FC" w:rsidP="00290C54">
      <w:pPr>
        <w:pStyle w:val="HSLF-FS-Brdtextindragfrstaraden"/>
      </w:pPr>
      <w:r>
        <w:t xml:space="preserve">Los efectos adversos sospechosos se notificarán lo antes posible después de que el importador paralelo haya tenido conocimiento de dicha información. En el plazo de siete días se enviará un informe de efectos secundarios a un destinatario de Suecia. El informe de efectos secundarios a un destinatario en otro país se traducirá al inglés, u otro idioma que el destinatario entienda, y se enviará en un plazo de diez días. Si el destinatario del informe de efectos secundarios solicita información complementaria, el importador paralelo siempre la facilitará. </w:t>
      </w:r>
    </w:p>
    <w:p w14:paraId="5C8B5B90" w14:textId="26F662AA" w:rsidR="008F3292" w:rsidRDefault="008F3292" w:rsidP="008F3292">
      <w:pPr>
        <w:pStyle w:val="HSLF-FS-Rubrik-2"/>
      </w:pPr>
      <w:r>
        <w:t xml:space="preserve">Autorización de fabricación y buenas prácticas de fabricación </w:t>
      </w:r>
    </w:p>
    <w:p w14:paraId="0F97AC9B" w14:textId="11B01259" w:rsidR="006E4323" w:rsidRPr="007C0355" w:rsidRDefault="008F3292" w:rsidP="003E763F">
      <w:pPr>
        <w:pStyle w:val="HSLF-FS-Brdtextindragfrstaraden"/>
        <w:spacing w:line="240" w:lineRule="auto"/>
        <w:ind w:firstLine="0"/>
      </w:pPr>
      <w:r>
        <w:rPr>
          <w:b/>
        </w:rPr>
        <w:t>Artículo 17</w:t>
      </w:r>
      <w:r>
        <w:t xml:space="preserve"> </w:t>
      </w:r>
      <w:proofErr w:type="spellStart"/>
      <w:r>
        <w:t>Reembalaje</w:t>
      </w:r>
      <w:proofErr w:type="spellEnd"/>
      <w:r>
        <w:t xml:space="preserve"> o </w:t>
      </w:r>
      <w:proofErr w:type="spellStart"/>
      <w:r>
        <w:t>reetiquetado</w:t>
      </w:r>
      <w:proofErr w:type="spellEnd"/>
      <w:r>
        <w:t xml:space="preserve"> requiere una autorización especial de fabricación expedida en un Estado dentro del Espacio Económico Europeo. Las disposiciones al respecto pueden encontrarse en el [Reglamento de la Agencia de Productos Médicos (HSLF-FS </w:t>
      </w:r>
      <w:proofErr w:type="gramStart"/>
      <w:r>
        <w:t>2021:xx</w:t>
      </w:r>
      <w:proofErr w:type="gramEnd"/>
      <w:r>
        <w:t xml:space="preserve">) sobre la autorización para la fabricación e importación de medicamentos]. </w:t>
      </w:r>
    </w:p>
    <w:p w14:paraId="02B2FF9E" w14:textId="55E1DF14" w:rsidR="008F3292" w:rsidRDefault="008F3292" w:rsidP="006E4323">
      <w:pPr>
        <w:pStyle w:val="HSLF-FS-Brdtextindragfrstaraden"/>
      </w:pPr>
      <w:r>
        <w:t xml:space="preserve">El </w:t>
      </w:r>
      <w:proofErr w:type="spellStart"/>
      <w:r>
        <w:t>reembalaje</w:t>
      </w:r>
      <w:proofErr w:type="spellEnd"/>
      <w:r>
        <w:t xml:space="preserve"> y el </w:t>
      </w:r>
      <w:proofErr w:type="spellStart"/>
      <w:r>
        <w:t>reetiquetado</w:t>
      </w:r>
      <w:proofErr w:type="spellEnd"/>
      <w:r>
        <w:t xml:space="preserve"> se realizarán de conformidad con el Reglamento de la Agencia de Productos Médicos (LVFS 2004:6) sobre buenas prácticas de fabricación y de manera que no se vea afectada la naturaleza original del medicamento de uso humano. </w:t>
      </w:r>
    </w:p>
    <w:p w14:paraId="0A73CF5B" w14:textId="77777777" w:rsidR="008F3292" w:rsidRDefault="008F3292" w:rsidP="008F3292">
      <w:pPr>
        <w:pStyle w:val="HSLF-FS-Rubrik-2"/>
      </w:pPr>
      <w:r>
        <w:t xml:space="preserve">Venta al por mayor </w:t>
      </w:r>
    </w:p>
    <w:p w14:paraId="0F4425C6" w14:textId="2B113FB5" w:rsidR="008F3292" w:rsidRPr="007123B4" w:rsidRDefault="008F3292" w:rsidP="007123B4">
      <w:pPr>
        <w:pStyle w:val="HSLF-FS-Brdtextindragfrstaraden"/>
        <w:spacing w:line="240" w:lineRule="auto"/>
        <w:ind w:firstLine="0"/>
        <w:rPr>
          <w:b/>
          <w:sz w:val="23"/>
          <w:szCs w:val="23"/>
        </w:rPr>
      </w:pPr>
      <w:r>
        <w:rPr>
          <w:b/>
        </w:rPr>
        <w:t>Artículo 18</w:t>
      </w:r>
      <w:r>
        <w:t xml:space="preserve"> De acuerdo con el capítulo 3, artículo 1 de la Ley (2009:366) sobre el comercio de medicamentos, el comercio al por mayor de medicamentos solo puede llevarse a cabo a aquellos que estén autorizados. Pueden encontrarse disposiciones adicionales en el [Reglamento de la Agencia de Productos Médicos (HSLF-FS </w:t>
      </w:r>
      <w:proofErr w:type="gramStart"/>
      <w:r>
        <w:t>2021:xx</w:t>
      </w:r>
      <w:proofErr w:type="gramEnd"/>
      <w:r>
        <w:t xml:space="preserve">) sobre el comercio al por mayor de medicamentos]. </w:t>
      </w:r>
    </w:p>
    <w:p w14:paraId="360AECBE" w14:textId="0C72E25D" w:rsidR="007123B4" w:rsidRPr="007123B4" w:rsidRDefault="009316D3" w:rsidP="007123B4">
      <w:pPr>
        <w:pStyle w:val="HSLF-FS-Rubrik-2"/>
      </w:pPr>
      <w:r>
        <w:lastRenderedPageBreak/>
        <w:t xml:space="preserve">Medicamentos narcóticos de uso humano </w:t>
      </w:r>
    </w:p>
    <w:p w14:paraId="4031F41B" w14:textId="10107744" w:rsidR="007123B4" w:rsidRDefault="007123B4" w:rsidP="007123B4">
      <w:pPr>
        <w:pStyle w:val="HSLF-FS-Brdtext"/>
      </w:pPr>
      <w:r>
        <w:rPr>
          <w:b/>
        </w:rPr>
        <w:t>Artículo 19</w:t>
      </w:r>
      <w:r>
        <w:t xml:space="preserve"> El Reglamento de la Agencia de Productos Médicos (LVFS 2011:9) sobre el control de estupefacientes contiene disposiciones sobre el manejo de medicamentos narcóticos.</w:t>
      </w:r>
    </w:p>
    <w:p w14:paraId="17F65349" w14:textId="2066661A" w:rsidR="007123B4" w:rsidRDefault="007123B4" w:rsidP="007123B4">
      <w:pPr>
        <w:pStyle w:val="HSLF-FS-Rubrik-2"/>
      </w:pPr>
      <w:r>
        <w:t xml:space="preserve">Venta de vacunas y hemoderivados importados paralelos para uso humano </w:t>
      </w:r>
    </w:p>
    <w:p w14:paraId="2AFF90DC" w14:textId="54B5CB77" w:rsidR="008F3292" w:rsidRPr="007123B4" w:rsidRDefault="007123B4" w:rsidP="007123B4">
      <w:pPr>
        <w:pStyle w:val="HSLF-FS-Brdtextindragfrstaraden"/>
        <w:ind w:firstLine="0"/>
      </w:pPr>
      <w:r>
        <w:rPr>
          <w:b/>
        </w:rPr>
        <w:t>Artículo 20</w:t>
      </w:r>
      <w:r>
        <w:t xml:space="preserve"> El Reglamento de la Agencia de Productos Médicos (HSLF-FS 2015:14) sobre la comercialización de lotes de producción de vacunas y hemoderivados para uso humano contiene disposiciones sobre lotes de producción de vacunas y hemoderivados para uso humano que deben venderse en el mercado sueco. </w:t>
      </w:r>
    </w:p>
    <w:p w14:paraId="2CA1CC04" w14:textId="7FD4BDCA" w:rsidR="007123B4" w:rsidRDefault="007123B4" w:rsidP="007123B4">
      <w:pPr>
        <w:pStyle w:val="HSLF-FS-Rubrik-2"/>
      </w:pPr>
      <w:r>
        <w:t>Cambios y revocaciones</w:t>
      </w:r>
    </w:p>
    <w:p w14:paraId="5663B19E" w14:textId="659FBF44" w:rsidR="000A25FC" w:rsidRDefault="007123B4" w:rsidP="003E763F">
      <w:pPr>
        <w:pStyle w:val="HSLF-FS-Brdtextindragfrstaraden"/>
        <w:spacing w:line="240" w:lineRule="auto"/>
        <w:ind w:firstLine="0"/>
        <w:rPr>
          <w:b/>
          <w:sz w:val="23"/>
          <w:szCs w:val="23"/>
        </w:rPr>
      </w:pPr>
      <w:r>
        <w:rPr>
          <w:b/>
        </w:rPr>
        <w:t>Artículo 21</w:t>
      </w:r>
      <w:r>
        <w:t xml:space="preserve"> El importador paralelo deberá mantenerse informado de cualquier cambio en el medicamento de uso humano aprobado en el país de salida o en el medicamento importado directamente para uso humano que pueda ser de importancia para la autorización de comercialización del medicamento importado paralelo para uso humano. El importador paralelo mantendrá informado a la Agencia de Productos Médicos de tales cambios.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Artículo 22</w:t>
      </w:r>
      <w:r>
        <w:t xml:space="preserve"> El importador paralelo solicitará los cambios necesarios en la autorización de comercialización del medicamento importado paralelo para uso humano. </w:t>
      </w:r>
    </w:p>
    <w:p w14:paraId="4910B7CC" w14:textId="6F5BCDE4" w:rsidR="007123B4" w:rsidRDefault="007123B4" w:rsidP="007123B4">
      <w:pPr>
        <w:pStyle w:val="HSLF-FS-Brdtextindragfrstaraden"/>
      </w:pPr>
      <w:r>
        <w:t xml:space="preserve">En caso de cambios significativos en la autorización en el país de salida, el medicamento importado paralelo modificado para uso humano no podrá venderse hasta que la Agencia de Productos Médicos haya autorizado los cambios correspondientes.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t xml:space="preserve">Artículo 23 </w:t>
      </w:r>
      <w:r>
        <w:t xml:space="preserve">Si se revoca la autorización de comercialización del medicamento importado paralelo para uso humano en el país de salida o para el medicamento importado directo para uso humano en Suecia por razones de calidad, efecto o seguridad, también se revocará la autorización de comercialización del medicamento importado paralelo para uso humano. </w:t>
      </w:r>
    </w:p>
    <w:p w14:paraId="1F883E64" w14:textId="518B5776" w:rsidR="007123B4" w:rsidRDefault="0091535B" w:rsidP="007C0355">
      <w:pPr>
        <w:pStyle w:val="HSLF-FS-Brdtextindragfrstaraden"/>
      </w:pPr>
      <w:r>
        <w:t xml:space="preserve">La autorización de comercialización de medicamentos importados paralelos para uso humano podrá revocarse de conformidad con el capítulo 11, artículo 2, de la Ley de Medicamentos (2015:315), incluso en casos distintos de los indicados en el apartado uno. </w:t>
      </w:r>
    </w:p>
    <w:p w14:paraId="55C307F2" w14:textId="77777777" w:rsidR="007E61A7" w:rsidRDefault="007E61A7" w:rsidP="007E61A7">
      <w:pPr>
        <w:pStyle w:val="HSLF-FS-Rubrik-2"/>
      </w:pPr>
      <w:r>
        <w:lastRenderedPageBreak/>
        <w:t xml:space="preserve">Dispensación </w:t>
      </w:r>
    </w:p>
    <w:p w14:paraId="089664DD" w14:textId="02B58EA2" w:rsidR="00153F3E" w:rsidRDefault="007E61A7" w:rsidP="003E763F">
      <w:pPr>
        <w:pStyle w:val="HSLF-FS-Brdtextindragfrstaraden"/>
        <w:spacing w:line="240" w:lineRule="auto"/>
        <w:ind w:firstLine="0"/>
      </w:pPr>
      <w:r>
        <w:rPr>
          <w:b/>
        </w:rPr>
        <w:t>Artículo 24</w:t>
      </w:r>
      <w:r>
        <w:t xml:space="preserve"> La Agencia de Productos Médicos puede, si hay razones particulares, emitir una exención (dispensación) de las disposiciones de estas regulaciones. No obstante, no podrán concederse exenciones si ello entraña el incumplimiento de las obligaciones de Suecia en virtud del Derecho de la UE.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El presente Reglamento entrará en vigor 28 de enero de 2022.</w:t>
      </w:r>
    </w:p>
    <w:p w14:paraId="33DB6D78" w14:textId="77777777" w:rsidR="00735042" w:rsidRDefault="00735042" w:rsidP="00735042">
      <w:pPr>
        <w:pStyle w:val="HSLF-FS-Brdtextindragfrstaraden"/>
      </w:pPr>
      <w:r>
        <w:t>2. El reglamento deroga el Reglamento de la Agencia de Productos Médicos (LVFS 2012:19) sobre medicamentos importados paralelos.</w:t>
      </w:r>
    </w:p>
    <w:p w14:paraId="0EAC64C7" w14:textId="4D1C2588" w:rsidR="00420658" w:rsidRPr="00420658" w:rsidRDefault="00735042" w:rsidP="00735042">
      <w:pPr>
        <w:pStyle w:val="HSLF-FS-Brdtextindragfrstaraden"/>
      </w:pPr>
      <w:r>
        <w:t>3. Las autorizaciones expedidas en virtud del Reglamento de la Agencia de Productos Médicos (LVFS 2012:19) sobre medicamentos importados paralelos serán válidas como autorizaciones de conformidad con la nueva normativa.</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Agencia de Productos Médicos</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proofErr w:type="spellStart"/>
      <w:r>
        <w:t>Joakim</w:t>
      </w:r>
      <w:proofErr w:type="spellEnd"/>
      <w:r>
        <w:t xml:space="preserve"> </w:t>
      </w:r>
      <w:proofErr w:type="spellStart"/>
      <w:r>
        <w:t>Brandberg</w:t>
      </w:r>
      <w:proofErr w:type="spellEnd"/>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Anexo</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Las solicitudes de autorización de comercialización de medicamentos importados paralelos de uso humano irán acompañadas de la siguiente información y documentación: </w:t>
      </w:r>
    </w:p>
    <w:p w14:paraId="514029D8" w14:textId="09560852" w:rsidR="007E61A7" w:rsidRDefault="00F11B34" w:rsidP="00F11B34">
      <w:pPr>
        <w:pStyle w:val="HSLF-FS-Brdtextindragfrstaraden"/>
      </w:pPr>
      <w:r>
        <w:t xml:space="preserve">1. Nombre o nombre comercial y dirección postal del solicitante, así como información de contacto de una persona de contacto designada para la solicitud. </w:t>
      </w:r>
    </w:p>
    <w:p w14:paraId="78C7D29E" w14:textId="45857F42" w:rsidR="007E61A7" w:rsidRDefault="00F11B34" w:rsidP="00F11B34">
      <w:pPr>
        <w:pStyle w:val="HSLF-FS-Brdtextindragfrstaraden"/>
      </w:pPr>
      <w:r>
        <w:t xml:space="preserve">2. Nombre y dirección postal de los representantes locales. </w:t>
      </w:r>
    </w:p>
    <w:p w14:paraId="6E6F4A97" w14:textId="6CCF807F" w:rsidR="007E61A7" w:rsidRDefault="00F11B34" w:rsidP="00F11B34">
      <w:pPr>
        <w:pStyle w:val="HSLF-FS-Brdtextindragfrstaraden"/>
      </w:pPr>
      <w:r>
        <w:t xml:space="preserve">3. El nombre del medicamento para uso humano, forma farmacéutica, concentración y vías de administración. </w:t>
      </w:r>
    </w:p>
    <w:p w14:paraId="55C449F3" w14:textId="57258547" w:rsidR="007E61A7" w:rsidRDefault="00F11B34" w:rsidP="00F11B34">
      <w:pPr>
        <w:pStyle w:val="HSLF-FS-Brdtextindragfrstaraden"/>
      </w:pPr>
      <w:r>
        <w:t xml:space="preserve">4. El país del EEE del que saldrá el medicamento de uso humano. </w:t>
      </w:r>
    </w:p>
    <w:p w14:paraId="085E440B" w14:textId="39BE4E98" w:rsidR="007E61A7" w:rsidRDefault="00F11B34" w:rsidP="00F11B34">
      <w:pPr>
        <w:pStyle w:val="HSLF-FS-Brdtextindragfrstaraden"/>
      </w:pPr>
      <w:r>
        <w:t xml:space="preserve">5. Información de que se ha facilitado o se facilitará la notificación de conformidad con el artículo 8 del reglamento. </w:t>
      </w:r>
    </w:p>
    <w:p w14:paraId="75DF96D8" w14:textId="03425D6C" w:rsidR="007E61A7" w:rsidRDefault="00F11B34" w:rsidP="00F11B34">
      <w:pPr>
        <w:pStyle w:val="HSLF-FS-Brdtextindragfrstaraden"/>
      </w:pPr>
      <w:r>
        <w:t xml:space="preserve">6. Información sobre la notificación de conformidad con el artículo 9 del reglamento y sobre si dicha notificación ya ha tenido lugar. </w:t>
      </w:r>
    </w:p>
    <w:p w14:paraId="3BDB4718" w14:textId="71F61822" w:rsidR="007E61A7" w:rsidRDefault="00F11B34" w:rsidP="00F11B34">
      <w:pPr>
        <w:pStyle w:val="HSLF-FS-Brdtextindragfrstaraden"/>
      </w:pPr>
      <w:r>
        <w:t xml:space="preserve">7. El nombre, la forma farmacéutica y la concentración del medicamento de uso humano en el país de salida y el número de autorización de comercialización en el país de salida. </w:t>
      </w:r>
    </w:p>
    <w:p w14:paraId="3E0A7832" w14:textId="2EC413BE" w:rsidR="007E61A7" w:rsidRDefault="00F11B34" w:rsidP="00F11B34">
      <w:pPr>
        <w:pStyle w:val="HSLF-FS-Brdtextindragfrstaraden"/>
      </w:pPr>
      <w:r>
        <w:t xml:space="preserve">8. El nombre y la dirección del titular de la autorización de comercialización en el país de salida e información correspondiente al fabricante. </w:t>
      </w:r>
    </w:p>
    <w:p w14:paraId="714DF124" w14:textId="5C59A4CB" w:rsidR="007E61A7" w:rsidRDefault="00F11B34" w:rsidP="00F11B34">
      <w:pPr>
        <w:pStyle w:val="HSLF-FS-Brdtextindragfrstaraden"/>
      </w:pPr>
      <w:r>
        <w:t xml:space="preserve">9. Nombre, forma farmacéutica, concentración y número de autorización de comercialización del medicamento importado directo para uso humano. </w:t>
      </w:r>
    </w:p>
    <w:p w14:paraId="7BBE27A8" w14:textId="53BFAAF9" w:rsidR="007E61A7" w:rsidRDefault="00F11B34" w:rsidP="00F11B34">
      <w:pPr>
        <w:pStyle w:val="HSLF-FS-Brdtextindragfrstaraden"/>
      </w:pPr>
      <w:r>
        <w:t xml:space="preserve">10. El nombre y la dirección del titular de la autorización de comercialización del medicamento importado directo para uso humano. </w:t>
      </w:r>
    </w:p>
    <w:p w14:paraId="4546F84D" w14:textId="1045E18F" w:rsidR="007E61A7" w:rsidRDefault="00F11B34" w:rsidP="00F11B34">
      <w:pPr>
        <w:pStyle w:val="HSLF-FS-Brdtextindragfrstaraden"/>
      </w:pPr>
      <w:r>
        <w:t xml:space="preserve">11. Descripción de las diferencias entre el medicamento importado directamente para uso humano y el medicamento importado paralelo para uso humano. </w:t>
      </w:r>
    </w:p>
    <w:p w14:paraId="64BE3E65" w14:textId="77DB415E" w:rsidR="007E61A7" w:rsidRDefault="00F11B34" w:rsidP="00F11B34">
      <w:pPr>
        <w:pStyle w:val="HSLF-FS-Brdtextindragfrstaraden"/>
      </w:pPr>
      <w:r>
        <w:t xml:space="preserve">12. Una descripción detallada de cómo se debe hacer el </w:t>
      </w:r>
      <w:proofErr w:type="spellStart"/>
      <w:r>
        <w:t>reetiquetado</w:t>
      </w:r>
      <w:proofErr w:type="spellEnd"/>
      <w:r>
        <w:t xml:space="preserve"> o el </w:t>
      </w:r>
      <w:proofErr w:type="spellStart"/>
      <w:r>
        <w:t>reenvasado</w:t>
      </w:r>
      <w:proofErr w:type="spellEnd"/>
      <w:r>
        <w:t xml:space="preserve"> del medicamento de uso humano. </w:t>
      </w:r>
    </w:p>
    <w:p w14:paraId="6DAFAC5B" w14:textId="6A68B83B" w:rsidR="007E61A7" w:rsidRDefault="00F11B34" w:rsidP="00F11B34">
      <w:pPr>
        <w:pStyle w:val="HSLF-FS-Brdtextindragfrstaraden"/>
      </w:pPr>
      <w:r>
        <w:t xml:space="preserve">13. Información sobre instrucciones y controles de calidad para la recepción, almacenamiento, </w:t>
      </w:r>
      <w:proofErr w:type="spellStart"/>
      <w:r>
        <w:t>reembalaje</w:t>
      </w:r>
      <w:proofErr w:type="spellEnd"/>
      <w:r>
        <w:t xml:space="preserve">, liberación y transporte de medicamentos importados paralelos para uso humano y sistemas de retirada. </w:t>
      </w:r>
    </w:p>
    <w:p w14:paraId="5F99D126" w14:textId="472C485B" w:rsidR="00642B0F" w:rsidRDefault="00F11B34" w:rsidP="00F11B34">
      <w:pPr>
        <w:pStyle w:val="HSLF-FS-Brdtextindragfrstaraden"/>
      </w:pPr>
      <w:r>
        <w:t xml:space="preserve">14. Nombre, dirección y autorización de fabricación y, en su caso, acuerdo escrito para la empresa o empresas que realizan el </w:t>
      </w:r>
      <w:proofErr w:type="spellStart"/>
      <w:r>
        <w:t>reenvasado</w:t>
      </w:r>
      <w:proofErr w:type="spellEnd"/>
      <w:r>
        <w:t>/</w:t>
      </w:r>
      <w:proofErr w:type="spellStart"/>
      <w:r>
        <w:t>reetiquetado</w:t>
      </w:r>
      <w:proofErr w:type="spellEnd"/>
      <w:r>
        <w:t xml:space="preserve">. </w:t>
      </w:r>
    </w:p>
    <w:p w14:paraId="42B81F88" w14:textId="6A3D8C3C" w:rsidR="00642B0F" w:rsidRDefault="00F11B34" w:rsidP="00F11B34">
      <w:pPr>
        <w:pStyle w:val="HSLF-FS-Brdtextindragfrstaraden"/>
      </w:pPr>
      <w:r>
        <w:t xml:space="preserve">15. Información de embalaje para el medicamento importado paralelo de uso humano en forma de tamaños de envase y envases/contenedores farmacéuticos. </w:t>
      </w:r>
    </w:p>
    <w:p w14:paraId="0E3D4B52" w14:textId="2275E4B1" w:rsidR="007E61A7" w:rsidRPr="007E61A7" w:rsidRDefault="00F11B34" w:rsidP="00F11B34">
      <w:pPr>
        <w:pStyle w:val="HSLF-FS-Brdtextindragfrstaraden"/>
      </w:pPr>
      <w:r>
        <w:t xml:space="preserve">16. Período de validez (para envases no abiertos y abiertos) y, en su caso, el período de validez tras la finalización del medicamento importado paralelo para uso humano y las instrucciones correspondientes </w:t>
      </w:r>
      <w:r>
        <w:lastRenderedPageBreak/>
        <w:t>para el almacenamiento del medicamento importado paralelo para uso humano.</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 puede descargarse o solicitarse por:</w:t>
      </w:r>
    </w:p>
    <w:p w14:paraId="2228B341" w14:textId="77777777" w:rsidR="00577C10" w:rsidRPr="00054DAD" w:rsidRDefault="00577C10" w:rsidP="00B9475C">
      <w:pPr>
        <w:pStyle w:val="HSLF-FS-Bestllningsinformation"/>
      </w:pPr>
      <w:r>
        <w:t>Internet: www.xxxxxxxxxxxxx.xx</w:t>
      </w:r>
    </w:p>
    <w:p w14:paraId="0E71970A" w14:textId="77777777" w:rsidR="00577C10" w:rsidRPr="00054DAD" w:rsidRDefault="00577C10" w:rsidP="00B9475C">
      <w:pPr>
        <w:pStyle w:val="HSLF-FS-Bestllningsinformation"/>
      </w:pPr>
      <w:r>
        <w:t>e-mail: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Contacto</w:t>
      </w:r>
      <w:r>
        <w:br/>
      </w:r>
      <w:proofErr w:type="spellStart"/>
      <w:r>
        <w:t>Xxxxxxxxxxx</w:t>
      </w:r>
      <w:proofErr w:type="spellEnd"/>
      <w:r>
        <w:br/>
        <w:t>Dirección</w:t>
      </w:r>
      <w:r>
        <w:br/>
        <w:t xml:space="preserve">Teléfono: </w:t>
      </w:r>
      <w:proofErr w:type="spellStart"/>
      <w:r>
        <w:t>xx</w:t>
      </w:r>
      <w:proofErr w:type="spellEnd"/>
      <w:r>
        <w:t xml:space="preserve"> </w:t>
      </w:r>
      <w:proofErr w:type="spellStart"/>
      <w:r>
        <w:t>xxxxxxxxx</w:t>
      </w:r>
      <w:proofErr w:type="spellEnd"/>
      <w:r>
        <w:t xml:space="preserve"> Fax: </w:t>
      </w:r>
      <w:proofErr w:type="spellStart"/>
      <w:r>
        <w:t>xx</w:t>
      </w:r>
      <w:proofErr w:type="spellEnd"/>
      <w:r>
        <w:t xml:space="preserve"> </w:t>
      </w:r>
      <w:proofErr w:type="spellStart"/>
      <w:r>
        <w:t>xxxxxxxxx</w:t>
      </w:r>
      <w:proofErr w:type="spellEnd"/>
    </w:p>
    <w:p w14:paraId="2548EFCB" w14:textId="77777777" w:rsidR="00673671" w:rsidRPr="006D4EB8" w:rsidRDefault="00673671" w:rsidP="00B9475C">
      <w:pPr>
        <w:pStyle w:val="HSLF-FS-Kontaktinformation"/>
        <w:rPr>
          <w:lang w:val="pt-PT"/>
        </w:rPr>
      </w:pPr>
      <w:r w:rsidRPr="006D4EB8">
        <w:rPr>
          <w:lang w:val="pt-PT"/>
        </w:rPr>
        <w:t>e-mail: xxxxxxxx@xxxxxxx.xx</w:t>
      </w:r>
    </w:p>
    <w:p w14:paraId="7A240DDE" w14:textId="77777777" w:rsidR="00E44C93" w:rsidRPr="006D4EB8" w:rsidRDefault="00673671" w:rsidP="00B9475C">
      <w:pPr>
        <w:pStyle w:val="HSLF-FS-Kontaktinformation"/>
        <w:rPr>
          <w:lang w:val="pt-PT"/>
        </w:rPr>
      </w:pPr>
      <w:r w:rsidRPr="006D4EB8">
        <w:rPr>
          <w:lang w:val="pt-PT"/>
        </w:rPr>
        <w:t>Internet: www.xxxxxxxxxxxxx.xx</w:t>
      </w:r>
    </w:p>
    <w:p w14:paraId="5434F6A8" w14:textId="77777777" w:rsidR="00673671" w:rsidRPr="00964D75" w:rsidRDefault="00673671" w:rsidP="00673671">
      <w:pPr>
        <w:pStyle w:val="HSLF-FS-Brdtextindragfrstaraden"/>
        <w:rPr>
          <w:lang w:val="pt-PT"/>
        </w:rPr>
      </w:pPr>
    </w:p>
    <w:p w14:paraId="05DED749" w14:textId="60FC851A" w:rsidR="00876360" w:rsidRPr="00E44C93" w:rsidRDefault="00B8133C" w:rsidP="00615514">
      <w:pPr>
        <w:pStyle w:val="HSLF-FS-Tryckort"/>
      </w:pPr>
      <w:r>
        <w:t>Sitio de impresión: Imprenta y año de publicación</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5772" w14:textId="77777777" w:rsidR="00803879" w:rsidRDefault="00803879" w:rsidP="00290019">
      <w:r>
        <w:separator/>
      </w:r>
    </w:p>
  </w:endnote>
  <w:endnote w:type="continuationSeparator" w:id="0">
    <w:p w14:paraId="43FE8D48" w14:textId="77777777" w:rsidR="00803879" w:rsidRDefault="0080387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proofErr w:type="spellStart"/>
    <w:r>
      <w:t>fgfdgfgd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7CA8" w14:textId="77777777" w:rsidR="00803879" w:rsidRDefault="00803879" w:rsidP="00290019">
      <w:r>
        <w:separator/>
      </w:r>
    </w:p>
  </w:footnote>
  <w:footnote w:type="continuationSeparator" w:id="0">
    <w:p w14:paraId="6D36430F" w14:textId="77777777" w:rsidR="00803879" w:rsidRDefault="00803879" w:rsidP="00290019">
      <w:r>
        <w:continuationSeparator/>
      </w:r>
    </w:p>
  </w:footnote>
  <w:footnote w:id="1">
    <w:p w14:paraId="46E18692" w14:textId="77777777" w:rsidR="00A97DE9" w:rsidRDefault="00943E19" w:rsidP="00A97DE9">
      <w:pPr>
        <w:pStyle w:val="FootnoteText"/>
      </w:pPr>
      <w:r>
        <w:rPr>
          <w:rStyle w:val="FootnoteReference"/>
        </w:rPr>
        <w:footnoteRef/>
      </w:r>
      <w:r>
        <w:t xml:space="preserve"> La notificación se ha presentado de conformidad con la Directiva (UE) </w:t>
      </w:r>
    </w:p>
    <w:p w14:paraId="54F464C2" w14:textId="77777777" w:rsidR="00A97DE9" w:rsidRDefault="00A97DE9" w:rsidP="00A97DE9">
      <w:pPr>
        <w:pStyle w:val="FootnoteText"/>
      </w:pPr>
      <w:r>
        <w:t xml:space="preserve">2015/1535 del Parlamento Europeo y del Consejo, de 9 de septiembre de 2015, por la que se establece un procedimiento de información en el ámbito de los reglamentos técnicos y de las normas sobre </w:t>
      </w:r>
    </w:p>
    <w:p w14:paraId="4A95157E" w14:textId="38F0D4D8" w:rsidR="00943E19" w:rsidRDefault="00A97DE9" w:rsidP="00A97DE9">
      <w:pPr>
        <w:pStyle w:val="FootnoteText"/>
      </w:pPr>
      <w:r>
        <w:t xml:space="preserve">Servicios de la sociedad de la información.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803879">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PROYECTO"/>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HSLF-FS</w:t>
                    </w:r>
                    <w:r>
                      <w:br/>
                      <w:t>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803879"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PROYECTO"/>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HSLF-FS</w:t>
                    </w:r>
                    <w:r>
                      <w:br/>
                      <w:t>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803879"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PROYECTO"/>
          <w10:wrap anchorx="margin" anchory="margin"/>
        </v:shape>
      </w:pict>
    </w:r>
    <w:r w:rsidR="00964D75">
      <w:t>Código común de Leyes relativas a la asistencia sanitaria, la asistencia médica, los servicios sociales, los medicamentos, la salud pública, etc.</w:t>
    </w:r>
  </w:p>
  <w:p w14:paraId="1EDBB6C7" w14:textId="494BE33E" w:rsidR="00DB331A" w:rsidRPr="006D4EB8" w:rsidRDefault="004D7ACB" w:rsidP="004641D8">
    <w:pPr>
      <w:pStyle w:val="HSLF-FS-Dokmentinformation"/>
      <w:rPr>
        <w:sz w:val="14"/>
        <w:szCs w:val="14"/>
      </w:rPr>
    </w:pPr>
    <w:r>
      <w:rPr>
        <w:noProof/>
      </w:rPr>
      <mc:AlternateContent>
        <mc:Choice Requires="wps">
          <w:drawing>
            <wp:anchor distT="0" distB="0" distL="114300" distR="114300" simplePos="0" relativeHeight="251666432" behindDoc="0" locked="0" layoutInCell="1" allowOverlap="1" wp14:anchorId="40A7A495" wp14:editId="449C48D2">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 xml:space="preserve">Publicado el </w:t>
                          </w:r>
                          <w:proofErr w:type="spellStart"/>
                          <w:r>
                            <w:t>xx</w:t>
                          </w:r>
                          <w:proofErr w:type="spellEnd"/>
                          <w:r>
                            <w:t xml:space="preserve"> de julio de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 xml:space="preserve">Publicado el </w:t>
                    </w:r>
                    <w:proofErr w:type="spellStart"/>
                    <w:r>
                      <w:t>xx</w:t>
                    </w:r>
                    <w:proofErr w:type="spellEnd"/>
                    <w:r>
                      <w:t xml:space="preserve"> de julio de 20xx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563615C" wp14:editId="2B4B34BA">
              <wp:simplePos x="0" y="0"/>
              <wp:positionH relativeFrom="column">
                <wp:posOffset>3810</wp:posOffset>
              </wp:positionH>
              <wp:positionV relativeFrom="paragraph">
                <wp:posOffset>501015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CD1E69"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" strokecolor="black [3213]"/>
          </w:pict>
        </mc:Fallback>
      </mc:AlternateContent>
    </w:r>
    <w:r>
      <w:t>I</w:t>
    </w:r>
    <w:r w:rsidRPr="006D4EB8">
      <w:rPr>
        <w:sz w:val="14"/>
        <w:szCs w:val="14"/>
      </w:rPr>
      <w:t xml:space="preserve">SSN </w:t>
    </w:r>
    <w:proofErr w:type="spellStart"/>
    <w:r w:rsidRPr="006D4EB8">
      <w:rPr>
        <w:sz w:val="14"/>
        <w:szCs w:val="14"/>
      </w:rPr>
      <w:t>xxx-xxxx</w:t>
    </w:r>
    <w:proofErr w:type="spellEnd"/>
    <w:r w:rsidRPr="006D4EB8">
      <w:rPr>
        <w:sz w:val="14"/>
        <w:szCs w:val="14"/>
      </w:rPr>
      <w:t xml:space="preserve">, número de artículo </w:t>
    </w:r>
    <w:proofErr w:type="spellStart"/>
    <w:r w:rsidRPr="006D4EB8">
      <w:rPr>
        <w:sz w:val="14"/>
        <w:szCs w:val="14"/>
      </w:rPr>
      <w:t>xxxxxxx</w:t>
    </w:r>
    <w:proofErr w:type="spellEnd"/>
    <w:r w:rsidRPr="006D4EB8">
      <w:rPr>
        <w:sz w:val="14"/>
        <w:szCs w:val="14"/>
      </w:rPr>
      <w:br/>
      <w:t xml:space="preserve">Editor: Jefe del Departamento Jurídico – </w:t>
    </w:r>
    <w:proofErr w:type="spellStart"/>
    <w:r w:rsidRPr="006D4EB8">
      <w:rPr>
        <w:sz w:val="14"/>
        <w:szCs w:val="14"/>
      </w:rPr>
      <w:t>Pär</w:t>
    </w:r>
    <w:proofErr w:type="spellEnd"/>
    <w:r w:rsidRPr="006D4EB8">
      <w:rPr>
        <w:sz w:val="14"/>
        <w:szCs w:val="14"/>
      </w:rPr>
      <w:t xml:space="preserve"> </w:t>
    </w:r>
    <w:proofErr w:type="spellStart"/>
    <w:r w:rsidRPr="006D4EB8">
      <w:rPr>
        <w:sz w:val="14"/>
        <w:szCs w:val="14"/>
      </w:rPr>
      <w:t>Ödman</w:t>
    </w:r>
    <w:proofErr w:type="spellEnd"/>
    <w:r w:rsidRPr="006D4EB8">
      <w:rPr>
        <w:sz w:val="14"/>
        <w:szCs w:val="14"/>
      </w:rPr>
      <w:t>, Consejo nacional de salud y bienestar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D4EB8"/>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3879"/>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4</TotalTime>
  <Pages>1</Pages>
  <Words>2612</Words>
  <Characters>14893</Characters>
  <Application>Microsoft Office Word</Application>
  <DocSecurity>0</DocSecurity>
  <Lines>124</Lines>
  <Paragraphs>34</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7</cp:revision>
  <cp:lastPrinted>2013-04-29T08:38:00Z</cp:lastPrinted>
  <dcterms:created xsi:type="dcterms:W3CDTF">2021-06-28T07:31:00Z</dcterms:created>
  <dcterms:modified xsi:type="dcterms:W3CDTF">2021-07-05T15:18:00Z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