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A" w:rsidRPr="00814C17" w:rsidRDefault="00B75DCA" w:rsidP="00B75DCA">
      <w:pPr>
        <w:spacing w:after="120"/>
        <w:jc w:val="center"/>
        <w:rPr>
          <w:rFonts w:ascii="Courier New" w:hAnsi="Courier New"/>
          <w:sz w:val="20"/>
          <w:szCs w:val="20"/>
        </w:rPr>
      </w:pPr>
      <w:r>
        <w:rPr>
          <w:rFonts w:ascii="Courier New" w:hAnsi="Courier New"/>
          <w:sz w:val="20"/>
        </w:rPr>
        <w:t xml:space="preserve">1. </w:t>
      </w:r>
      <w:r>
        <w:rPr>
          <w:rFonts w:ascii="Courier New" w:hAnsi="Courier New"/>
          <w:sz w:val="20"/>
        </w:rPr>
        <w:t>------IND- 2019 0372 HR- ES- ------ 20190802 --- --- PROJET</w:t>
      </w:r>
    </w:p>
    <w:p w:rsidR="00DC54F9" w:rsidRPr="00990420" w:rsidRDefault="00DC54F9" w:rsidP="00DC54F9">
      <w:pPr>
        <w:spacing w:before="100" w:beforeAutospacing="1" w:after="225" w:line="336" w:lineRule="atLeast"/>
        <w:jc w:val="center"/>
        <w:rPr>
          <w:rFonts w:ascii="Times New Roman" w:eastAsia="Times New Roman" w:hAnsi="Times New Roman" w:cs="Times New Roman"/>
          <w:bCs/>
          <w:caps/>
          <w:sz w:val="32"/>
          <w:szCs w:val="32"/>
        </w:rPr>
      </w:pPr>
      <w:r>
        <w:rPr>
          <w:rFonts w:ascii="Times New Roman" w:hAnsi="Times New Roman"/>
          <w:caps/>
          <w:sz w:val="32"/>
        </w:rPr>
        <w:t>EL GOBIERNO DE LA REPÚBLICA DE CROACIA</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De conformidad con el artículo 53, apartado 4, de la Ley sobre la gestión sostenible de residuos (Boletín Oficial de la República de Croacia n.º 94/13), en su sesión de 10 de septiembre de 2015, el Gobierno de la República de Croacia adoptó lo siguiente:</w:t>
      </w:r>
    </w:p>
    <w:p w:rsidR="00DC54F9" w:rsidRPr="00990420" w:rsidRDefault="00DC54F9" w:rsidP="00DC54F9">
      <w:pPr>
        <w:spacing w:before="100" w:beforeAutospacing="1" w:after="225" w:line="336" w:lineRule="atLeast"/>
        <w:jc w:val="center"/>
        <w:rPr>
          <w:rFonts w:ascii="Times New Roman" w:eastAsia="Times New Roman" w:hAnsi="Times New Roman" w:cs="Times New Roman"/>
          <w:bCs/>
          <w:sz w:val="32"/>
          <w:szCs w:val="32"/>
        </w:rPr>
      </w:pPr>
      <w:r>
        <w:rPr>
          <w:rFonts w:ascii="Times New Roman" w:hAnsi="Times New Roman"/>
          <w:sz w:val="32"/>
        </w:rPr>
        <w:t>ORDENANZA</w:t>
      </w:r>
    </w:p>
    <w:p w:rsidR="00DC54F9" w:rsidRPr="00990420" w:rsidRDefault="00DC54F9" w:rsidP="00DC54F9">
      <w:pPr>
        <w:spacing w:before="100" w:beforeAutospacing="1" w:after="225" w:line="336" w:lineRule="atLeast"/>
        <w:jc w:val="center"/>
        <w:rPr>
          <w:rFonts w:ascii="Times New Roman" w:eastAsia="Times New Roman" w:hAnsi="Times New Roman" w:cs="Times New Roman"/>
          <w:bCs/>
          <w:sz w:val="28"/>
          <w:szCs w:val="28"/>
        </w:rPr>
      </w:pPr>
      <w:r>
        <w:rPr>
          <w:rFonts w:ascii="Times New Roman" w:hAnsi="Times New Roman"/>
          <w:sz w:val="28"/>
        </w:rPr>
        <w:t>SOBRE LA GESTIÓN DE RESIDUOS DE ENVASES</w:t>
      </w:r>
    </w:p>
    <w:p w:rsidR="00DC54F9" w:rsidRPr="00990420" w:rsidRDefault="00DC54F9" w:rsidP="00DC54F9">
      <w:pPr>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1.</w:t>
      </w:r>
    </w:p>
    <w:p w:rsidR="00DC54F9" w:rsidRPr="00990420" w:rsidRDefault="00092C52"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1. La presente Ordenanza prescribe la forma de cumplir las obligaciones de alcanzar los objetivos establecidos con respecto a la gestión de residuos de envases, el procedimiento de cálculo y el importe de la tasa de gestión de residuos de envases, el importe del depósito reembolsable y el método para calcular los costes del depósito reembolsable.</w:t>
      </w:r>
    </w:p>
    <w:p w:rsidR="003158D1" w:rsidRPr="00990420" w:rsidRDefault="003158D1" w:rsidP="003E2C83">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b/>
          <w:sz w:val="24"/>
        </w:rPr>
        <w:t>2. Esta Ordenanza se establece teniendo debidamente en cuenta el procedimiento de notificación estipulado en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2.</w:t>
      </w:r>
    </w:p>
    <w:p w:rsidR="00DC54F9" w:rsidRPr="00990420" w:rsidRDefault="00DC54F9" w:rsidP="00990420">
      <w:pPr>
        <w:keepNext/>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A los efectos de la presente Ordenanza, se entenderá por:</w:t>
      </w:r>
    </w:p>
    <w:p w:rsidR="00DC54F9" w:rsidRPr="00990420" w:rsidRDefault="00DC54F9" w:rsidP="00DC54F9">
      <w:pPr>
        <w:spacing w:before="100" w:beforeAutospacing="1" w:after="225" w:line="336" w:lineRule="atLeast"/>
        <w:jc w:val="both"/>
        <w:rPr>
          <w:rFonts w:ascii="Times New Roman" w:eastAsia="Times New Roman" w:hAnsi="Times New Roman" w:cs="Times New Roman"/>
          <w:b/>
          <w:strike/>
          <w:sz w:val="24"/>
          <w:szCs w:val="24"/>
        </w:rPr>
      </w:pPr>
      <w:r>
        <w:rPr>
          <w:rFonts w:ascii="Times New Roman" w:hAnsi="Times New Roman"/>
          <w:b/>
          <w:strike/>
          <w:sz w:val="24"/>
        </w:rPr>
        <w:t xml:space="preserve">1) </w:t>
      </w:r>
      <w:r>
        <w:rPr>
          <w:rFonts w:ascii="Times New Roman" w:hAnsi="Times New Roman"/>
          <w:b/>
          <w:i/>
          <w:strike/>
          <w:sz w:val="24"/>
        </w:rPr>
        <w:t>Agencia</w:t>
      </w:r>
      <w:r>
        <w:rPr>
          <w:rFonts w:ascii="Times New Roman" w:hAnsi="Times New Roman"/>
          <w:b/>
          <w:strike/>
          <w:sz w:val="24"/>
        </w:rPr>
        <w:t>: la Agencia croata para el medioambiente y la naturaleza;</w:t>
      </w:r>
    </w:p>
    <w:p w:rsidR="00DC54F9" w:rsidRPr="00990420" w:rsidRDefault="00D850E7"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b/>
          <w:sz w:val="24"/>
        </w:rPr>
        <w:t>1</w:t>
      </w:r>
      <w:r>
        <w:rPr>
          <w:rFonts w:ascii="Times New Roman" w:hAnsi="Times New Roman"/>
          <w:sz w:val="24"/>
        </w:rPr>
        <w:t xml:space="preserve">) </w:t>
      </w:r>
      <w:r>
        <w:rPr>
          <w:rFonts w:ascii="Times New Roman" w:hAnsi="Times New Roman"/>
          <w:i/>
          <w:sz w:val="24"/>
        </w:rPr>
        <w:t>Fondo</w:t>
      </w:r>
      <w:r>
        <w:rPr>
          <w:rFonts w:ascii="Times New Roman" w:hAnsi="Times New Roman"/>
          <w:sz w:val="24"/>
        </w:rPr>
        <w:t>: el Fondo de eficiencia energética y protección del medioambiente;</w:t>
      </w:r>
    </w:p>
    <w:p w:rsidR="00DC54F9" w:rsidRPr="00990420" w:rsidRDefault="00D850E7"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b/>
          <w:sz w:val="24"/>
        </w:rPr>
        <w:t>2</w:t>
      </w:r>
      <w:r>
        <w:rPr>
          <w:rFonts w:ascii="Times New Roman" w:hAnsi="Times New Roman"/>
          <w:sz w:val="24"/>
        </w:rPr>
        <w:t xml:space="preserve">) </w:t>
      </w:r>
      <w:r>
        <w:rPr>
          <w:rFonts w:ascii="Times New Roman" w:hAnsi="Times New Roman"/>
          <w:i/>
          <w:sz w:val="24"/>
        </w:rPr>
        <w:t>gestión de residuos de envases</w:t>
      </w:r>
      <w:r>
        <w:rPr>
          <w:rFonts w:ascii="Times New Roman" w:hAnsi="Times New Roman"/>
          <w:sz w:val="24"/>
        </w:rPr>
        <w:t>: la recogida, el transporte, la recuperación, la eliminación y cualquier otro tipo de tratamiento de residuos de envases, incluida la supervisión de tales operaciones y el mantenimiento posterior de los vertederos, así como las medidas adoptadas por el agente o el comerciante de residuos de envases;</w:t>
      </w:r>
    </w:p>
    <w:p w:rsidR="00DC54F9" w:rsidRPr="00990420" w:rsidRDefault="00D850E7"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b/>
          <w:sz w:val="24"/>
        </w:rPr>
        <w:t>3</w:t>
      </w:r>
      <w:r>
        <w:rPr>
          <w:rFonts w:ascii="Times New Roman" w:hAnsi="Times New Roman"/>
          <w:sz w:val="24"/>
        </w:rPr>
        <w:t xml:space="preserve">) </w:t>
      </w:r>
      <w:r>
        <w:rPr>
          <w:rFonts w:ascii="Times New Roman" w:hAnsi="Times New Roman"/>
          <w:i/>
          <w:sz w:val="24"/>
        </w:rPr>
        <w:t>tasa de gestión de residuos de envases</w:t>
      </w:r>
      <w:r>
        <w:rPr>
          <w:rFonts w:ascii="Times New Roman" w:hAnsi="Times New Roman"/>
          <w:sz w:val="24"/>
        </w:rPr>
        <w:t xml:space="preserve"> (en adelante, «tasa de gestión»): el importe pagado por los productores para cubrir los costes de la recogida y el tratamiento de los residuos de envases cubiertos por el sistema gestionado por el Fondo;</w:t>
      </w:r>
    </w:p>
    <w:p w:rsidR="00DC54F9" w:rsidRPr="00990420" w:rsidRDefault="00D850E7"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b/>
          <w:sz w:val="24"/>
        </w:rPr>
        <w:t>4</w:t>
      </w:r>
      <w:r>
        <w:rPr>
          <w:rFonts w:ascii="Times New Roman" w:hAnsi="Times New Roman"/>
          <w:sz w:val="24"/>
        </w:rPr>
        <w:t xml:space="preserve">) </w:t>
      </w:r>
      <w:r>
        <w:rPr>
          <w:rFonts w:ascii="Times New Roman" w:hAnsi="Times New Roman"/>
          <w:i/>
          <w:sz w:val="24"/>
        </w:rPr>
        <w:t>Ministerio</w:t>
      </w:r>
      <w:r>
        <w:rPr>
          <w:rFonts w:ascii="Times New Roman" w:hAnsi="Times New Roman"/>
          <w:sz w:val="24"/>
        </w:rPr>
        <w:t>: el Ministerio de Protección del Medio Ambiente;</w:t>
      </w:r>
    </w:p>
    <w:p w:rsidR="00EA1710" w:rsidRPr="00990420" w:rsidRDefault="00EA1710" w:rsidP="00DC54F9">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b/>
          <w:sz w:val="24"/>
        </w:rPr>
        <w:t xml:space="preserve">5) </w:t>
      </w:r>
      <w:r>
        <w:rPr>
          <w:rFonts w:ascii="Times New Roman" w:hAnsi="Times New Roman"/>
          <w:b/>
          <w:i/>
          <w:sz w:val="24"/>
        </w:rPr>
        <w:t>bebida</w:t>
      </w:r>
      <w:r>
        <w:rPr>
          <w:rFonts w:ascii="Times New Roman" w:hAnsi="Times New Roman"/>
          <w:b/>
          <w:sz w:val="24"/>
        </w:rPr>
        <w:t>: bebidas alcohólicas; bebidas no alcohólicas; aguas de mesa, minerales y de manantial; siropes de frutas; leche y productos lácteos líquidos; y otros productos líquidos a base de frutas u otros productos a base de frutas; así como cualquier otro aditivo que, envasado con la base líquida, constituya una unidad integrante del envase primario;</w:t>
      </w:r>
    </w:p>
    <w:p w:rsidR="00DC54F9" w:rsidRPr="00990420" w:rsidRDefault="00EA1710"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b/>
          <w:sz w:val="24"/>
        </w:rPr>
        <w:t>6</w:t>
      </w:r>
      <w:r>
        <w:rPr>
          <w:rFonts w:ascii="Times New Roman" w:hAnsi="Times New Roman"/>
          <w:sz w:val="24"/>
        </w:rPr>
        <w:t xml:space="preserve">) </w:t>
      </w:r>
      <w:r>
        <w:rPr>
          <w:rFonts w:ascii="Times New Roman" w:hAnsi="Times New Roman"/>
          <w:i/>
          <w:sz w:val="24"/>
        </w:rPr>
        <w:t>Normas</w:t>
      </w:r>
      <w:r>
        <w:rPr>
          <w:rFonts w:ascii="Times New Roman" w:hAnsi="Times New Roman"/>
          <w:sz w:val="24"/>
        </w:rPr>
        <w:t>: las Normas sobre los envases y los residuos de envases;</w:t>
      </w:r>
    </w:p>
    <w:p w:rsidR="00EA1710" w:rsidRPr="00990420" w:rsidRDefault="00EA1710" w:rsidP="00DC54F9">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b/>
          <w:sz w:val="24"/>
        </w:rPr>
        <w:t xml:space="preserve">7) </w:t>
      </w:r>
      <w:r>
        <w:rPr>
          <w:rFonts w:ascii="Times New Roman" w:hAnsi="Times New Roman"/>
          <w:b/>
          <w:i/>
          <w:sz w:val="24"/>
        </w:rPr>
        <w:t>productor e importador de productos</w:t>
      </w:r>
      <w:r>
        <w:rPr>
          <w:rFonts w:ascii="Times New Roman" w:hAnsi="Times New Roman"/>
          <w:b/>
          <w:sz w:val="24"/>
        </w:rPr>
        <w:t>: (en adelante, «productor») una entidad jurídica o una persona física, es decir, un artesano o una persona física que desarrolla, produce, procesa, vende, introduce o importa, o introduce en el mercado de la República de Croacia productos envasados;</w:t>
      </w:r>
    </w:p>
    <w:p w:rsidR="00DC54F9" w:rsidRPr="00990420" w:rsidRDefault="00704747"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b/>
          <w:sz w:val="24"/>
        </w:rPr>
        <w:t>8</w:t>
      </w:r>
      <w:r>
        <w:rPr>
          <w:rFonts w:ascii="Times New Roman" w:hAnsi="Times New Roman"/>
          <w:sz w:val="24"/>
        </w:rPr>
        <w:t xml:space="preserve">) </w:t>
      </w:r>
      <w:r>
        <w:rPr>
          <w:rFonts w:ascii="Times New Roman" w:hAnsi="Times New Roman"/>
          <w:i/>
          <w:sz w:val="24"/>
        </w:rPr>
        <w:t>Ley</w:t>
      </w:r>
      <w:r>
        <w:rPr>
          <w:rFonts w:ascii="Times New Roman" w:hAnsi="Times New Roman"/>
          <w:sz w:val="24"/>
        </w:rPr>
        <w:t>: la Ley sobre la gestión sostenible de residuos.</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r>
        <w:rPr>
          <w:rFonts w:ascii="Times New Roman" w:hAnsi="Times New Roman"/>
          <w:i/>
          <w:sz w:val="24"/>
        </w:rPr>
        <w:t>Método para alcanzar el objetivo establecido</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3.</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1. Los productores de productos envasados cumplirán la obligación de alcanzar el objetivo relativo a la gestión de residuos de envases establecido en las Normas mediante el pago de la tasa de gestión en favor del Fondo.</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2. Tras el pago de la tasa de gestión, el Fondo asumirá la obligación de cumplir el objetivo del productor.</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r>
        <w:rPr>
          <w:rFonts w:ascii="Times New Roman" w:hAnsi="Times New Roman"/>
          <w:i/>
          <w:sz w:val="24"/>
        </w:rPr>
        <w:t>Tasa de gestión</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4.</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1. La tasa de gestión se calculará multiplicando la tasa unitaria (JN) por la cantidad de material de envasado introducido en el mercado croata por el productor durante el período de cálculo.</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2. La tasa unitaria se calculará a través de la siguiente fórmula:</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JN = GSS x TS</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donde:</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JN: tasa unitaria expresada en HRK por tonelada,</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GSS: tasa anual de recogida determinada por el Fondo en colaboración con la Agencia, de conformidad con la Ley, por tipos de material de envasado,</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 xml:space="preserve">TS: el coste de recogida de los residuos de envases que se calcula para cada tipo de material de envasado y que constituye la suma de todos los costes de gestión: el precio del servicio de recogida determinado en el contrato para la prestación del servicio de recogida de residuos de envases basado en un concurso público de conformidad con la Ley, expresado en HRK por tonelada, el coste de recogida y envasado de los residuos de envases cubiertos por el sistema de depósito y retorno, ya sea de forma manual o mecánica, expresado en HRK por unidad de residuos de envases, el coste de recogida de </w:t>
      </w:r>
      <w:r>
        <w:rPr>
          <w:rFonts w:ascii="Times New Roman" w:hAnsi="Times New Roman"/>
          <w:b/>
          <w:sz w:val="24"/>
        </w:rPr>
        <w:t>residuos de papel y cartón, metal, vidrio, plástico y textiles</w:t>
      </w:r>
      <w:r>
        <w:rPr>
          <w:rFonts w:ascii="Times New Roman" w:hAnsi="Times New Roman"/>
          <w:sz w:val="24"/>
        </w:rPr>
        <w:t xml:space="preserve"> del proveedor del servicio de recogida de residuos municipales mixtos, expresado en HRK por tonelada, y el coste de eliminación, expresado en HRK por tonelada, en función del tratamiento de los distintos tipos de residuos de envases, según lo dispuesto por las Normas y el valor del material de residuos de envases.</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3. La tasa unitaria prevista en el apartado 2 de este artículo para el año civil en curso será calculada por el Fondo, por tipos de material de envasado, a más tardar el 15 de febrero del año en curso.</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4. Sobre la base del cálculo indicado en el apartado 3 de este artículo, el Ministro de Protección del Medio Ambiente decidirá el importe de la tasa unitaria.</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r>
        <w:rPr>
          <w:rFonts w:ascii="Times New Roman" w:hAnsi="Times New Roman"/>
          <w:i/>
          <w:sz w:val="24"/>
        </w:rPr>
        <w:t>Depósito reembolsable</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5.</w:t>
      </w:r>
    </w:p>
    <w:p w:rsidR="00DC54F9" w:rsidRPr="00990420" w:rsidRDefault="00DC54F9" w:rsidP="00DC54F9">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sz w:val="24"/>
        </w:rPr>
        <w:t xml:space="preserve">El depósito reembolsable será de 0,50 HRK por unidad de envase de bebidas. </w:t>
      </w:r>
      <w:r>
        <w:rPr>
          <w:rFonts w:ascii="Times New Roman" w:hAnsi="Times New Roman"/>
          <w:b/>
          <w:sz w:val="24"/>
        </w:rPr>
        <w:t>El importe del depósito reembolsable no estará sujeto a impuestos.</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6.</w:t>
      </w:r>
    </w:p>
    <w:p w:rsidR="00016B16" w:rsidRPr="00990420" w:rsidRDefault="00016B16" w:rsidP="00016B16">
      <w:pPr>
        <w:spacing w:after="120" w:line="240" w:lineRule="auto"/>
        <w:ind w:firstLine="284"/>
        <w:jc w:val="both"/>
        <w:textAlignment w:val="baseline"/>
        <w:rPr>
          <w:rFonts w:ascii="Times New Roman" w:eastAsia="Times New Roman" w:hAnsi="Times New Roman" w:cs="Times New Roman"/>
          <w:b/>
          <w:sz w:val="24"/>
          <w:szCs w:val="24"/>
        </w:rPr>
      </w:pPr>
      <w:r>
        <w:rPr>
          <w:rFonts w:ascii="Times New Roman" w:hAnsi="Times New Roman"/>
          <w:b/>
          <w:sz w:val="24"/>
        </w:rPr>
        <w:t>1. El productor pagará el depósito reembolsable previsto en el artículo 5 de esta Ordenanza al Fondo cuando introduzca en el mercado bebidas en envases cubiertos por el sistema de depósito y retorno.</w:t>
      </w:r>
    </w:p>
    <w:p w:rsidR="00016B16" w:rsidRPr="00990420" w:rsidRDefault="00016B16" w:rsidP="00016B16">
      <w:pPr>
        <w:spacing w:after="120" w:line="240" w:lineRule="auto"/>
        <w:ind w:firstLine="284"/>
        <w:jc w:val="both"/>
        <w:textAlignment w:val="baseline"/>
        <w:rPr>
          <w:rFonts w:ascii="Times New Roman" w:eastAsia="Times New Roman" w:hAnsi="Times New Roman" w:cs="Times New Roman"/>
          <w:b/>
          <w:sz w:val="24"/>
          <w:szCs w:val="24"/>
        </w:rPr>
      </w:pPr>
      <w:r>
        <w:rPr>
          <w:rFonts w:ascii="Times New Roman" w:hAnsi="Times New Roman"/>
          <w:b/>
          <w:sz w:val="24"/>
        </w:rPr>
        <w:t>2. La obligación mencionada en el apartado 1 de esta artículo se calculará trimestralmente, de acuerdo con las Normas.</w:t>
      </w:r>
    </w:p>
    <w:p w:rsidR="00016B16" w:rsidRPr="00990420" w:rsidRDefault="00016B16" w:rsidP="00016B16">
      <w:pPr>
        <w:spacing w:after="120" w:line="240" w:lineRule="auto"/>
        <w:ind w:firstLine="284"/>
        <w:jc w:val="both"/>
        <w:textAlignment w:val="baseline"/>
        <w:rPr>
          <w:rFonts w:ascii="Times New Roman" w:eastAsia="Times New Roman" w:hAnsi="Times New Roman" w:cs="Times New Roman"/>
          <w:b/>
          <w:sz w:val="24"/>
          <w:szCs w:val="24"/>
        </w:rPr>
      </w:pPr>
      <w:r>
        <w:rPr>
          <w:rFonts w:ascii="Times New Roman" w:hAnsi="Times New Roman"/>
          <w:b/>
          <w:sz w:val="24"/>
        </w:rPr>
        <w:t>3. Al hacerse cargo de los envases de residuos de bebidas cubiertos por el sistema de depósito y retorno, el vendedor y el gestor de la planta de reciclaje pagarán al consumidor (titular) el importe del depósito reembolsable a que se refiere el artículo 5 de la presente Ordenanza.</w:t>
      </w:r>
    </w:p>
    <w:p w:rsidR="00016B16" w:rsidRPr="00990420" w:rsidRDefault="00016B16" w:rsidP="00990420">
      <w:pPr>
        <w:keepNext/>
        <w:spacing w:after="120" w:line="240" w:lineRule="auto"/>
        <w:ind w:firstLine="284"/>
        <w:jc w:val="both"/>
        <w:textAlignment w:val="baseline"/>
        <w:rPr>
          <w:rFonts w:ascii="Times New Roman" w:eastAsia="Times New Roman" w:hAnsi="Times New Roman" w:cs="Times New Roman"/>
          <w:b/>
          <w:sz w:val="24"/>
          <w:szCs w:val="24"/>
        </w:rPr>
      </w:pPr>
      <w:r>
        <w:rPr>
          <w:rFonts w:ascii="Times New Roman" w:hAnsi="Times New Roman"/>
          <w:b/>
          <w:sz w:val="24"/>
        </w:rPr>
        <w:t>4. El Fondo devolverá al vendedor y al gestor de la planta de reciclaje el importe del depósito reembolsable pagado al consumidor, así como los siguientes costes de recogida y entrega de residuos de envases de bebidas al recolector:</w:t>
      </w:r>
    </w:p>
    <w:p w:rsidR="00016B16" w:rsidRPr="00990420" w:rsidRDefault="00016B16" w:rsidP="00990420">
      <w:pPr>
        <w:keepNext/>
        <w:spacing w:after="120" w:line="240" w:lineRule="auto"/>
        <w:ind w:firstLine="284"/>
        <w:jc w:val="both"/>
        <w:textAlignment w:val="baseline"/>
        <w:rPr>
          <w:rFonts w:ascii="Times New Roman" w:eastAsia="Times New Roman" w:hAnsi="Times New Roman" w:cs="Times New Roman"/>
          <w:b/>
          <w:sz w:val="24"/>
          <w:szCs w:val="24"/>
        </w:rPr>
      </w:pPr>
      <w:r>
        <w:rPr>
          <w:rFonts w:ascii="Times New Roman" w:hAnsi="Times New Roman"/>
          <w:b/>
          <w:sz w:val="24"/>
        </w:rPr>
        <w:t>1) para la recogida manual de residuos de envases de bebidas:</w:t>
      </w:r>
    </w:p>
    <w:p w:rsidR="00016B16" w:rsidRPr="00990420" w:rsidRDefault="00016B16" w:rsidP="00990420">
      <w:pPr>
        <w:pStyle w:val="ListParagraph"/>
        <w:numPr>
          <w:ilvl w:val="0"/>
          <w:numId w:val="2"/>
        </w:numPr>
        <w:spacing w:after="120" w:line="240" w:lineRule="auto"/>
        <w:jc w:val="both"/>
        <w:textAlignment w:val="baseline"/>
        <w:rPr>
          <w:rFonts w:ascii="Times New Roman" w:eastAsia="Times New Roman" w:hAnsi="Times New Roman" w:cs="Times New Roman"/>
          <w:b/>
          <w:sz w:val="24"/>
          <w:szCs w:val="24"/>
        </w:rPr>
      </w:pPr>
      <w:r>
        <w:rPr>
          <w:rFonts w:ascii="Times New Roman" w:hAnsi="Times New Roman"/>
          <w:b/>
          <w:sz w:val="24"/>
        </w:rPr>
        <w:t>0,08 HRK (IVA incluido) por unidad de residuos de envases para 2019,</w:t>
      </w:r>
    </w:p>
    <w:p w:rsidR="00016B16" w:rsidRPr="00990420" w:rsidRDefault="00016B16" w:rsidP="00990420">
      <w:pPr>
        <w:pStyle w:val="ListParagraph"/>
        <w:numPr>
          <w:ilvl w:val="0"/>
          <w:numId w:val="2"/>
        </w:numPr>
        <w:spacing w:after="120" w:line="240" w:lineRule="auto"/>
        <w:jc w:val="both"/>
        <w:textAlignment w:val="baseline"/>
        <w:rPr>
          <w:rFonts w:ascii="Times New Roman" w:eastAsia="Times New Roman" w:hAnsi="Times New Roman" w:cs="Times New Roman"/>
          <w:b/>
          <w:sz w:val="24"/>
          <w:szCs w:val="24"/>
        </w:rPr>
      </w:pPr>
      <w:r>
        <w:rPr>
          <w:rFonts w:ascii="Times New Roman" w:hAnsi="Times New Roman"/>
          <w:b/>
          <w:sz w:val="24"/>
        </w:rPr>
        <w:t>0,06 HRK (IVA incluido) por unidad de residuos de envases para 2020,</w:t>
      </w:r>
    </w:p>
    <w:p w:rsidR="00016B16" w:rsidRPr="00990420" w:rsidRDefault="00016B16" w:rsidP="00990420">
      <w:pPr>
        <w:pStyle w:val="ListParagraph"/>
        <w:numPr>
          <w:ilvl w:val="0"/>
          <w:numId w:val="2"/>
        </w:numPr>
        <w:spacing w:after="120" w:line="240" w:lineRule="auto"/>
        <w:jc w:val="both"/>
        <w:textAlignment w:val="baseline"/>
        <w:rPr>
          <w:rFonts w:ascii="Times New Roman" w:eastAsia="Times New Roman" w:hAnsi="Times New Roman" w:cs="Times New Roman"/>
          <w:b/>
          <w:sz w:val="24"/>
          <w:szCs w:val="24"/>
        </w:rPr>
      </w:pPr>
      <w:r>
        <w:rPr>
          <w:rFonts w:ascii="Times New Roman" w:hAnsi="Times New Roman"/>
          <w:b/>
          <w:sz w:val="24"/>
        </w:rPr>
        <w:t>0,05 HRK (IVA incluido) por unidad de residuos de envases para 2021 y en adelante;</w:t>
      </w:r>
    </w:p>
    <w:p w:rsidR="00016B16" w:rsidRPr="00990420" w:rsidRDefault="00016B16" w:rsidP="00990420">
      <w:pPr>
        <w:keepNext/>
        <w:spacing w:after="120" w:line="240" w:lineRule="auto"/>
        <w:ind w:firstLine="284"/>
        <w:rPr>
          <w:rFonts w:ascii="Times New Roman" w:eastAsia="Calibri" w:hAnsi="Times New Roman" w:cs="Times New Roman"/>
          <w:b/>
          <w:sz w:val="24"/>
          <w:szCs w:val="24"/>
        </w:rPr>
      </w:pPr>
      <w:r>
        <w:rPr>
          <w:rFonts w:ascii="Times New Roman" w:hAnsi="Times New Roman"/>
          <w:b/>
          <w:sz w:val="24"/>
        </w:rPr>
        <w:t>2) para la recogida mecánica de residuos de envases de bebidas:</w:t>
      </w:r>
    </w:p>
    <w:p w:rsidR="00016B16" w:rsidRPr="00990420" w:rsidRDefault="00016B16" w:rsidP="00990420">
      <w:pPr>
        <w:pStyle w:val="ListParagraph"/>
        <w:numPr>
          <w:ilvl w:val="0"/>
          <w:numId w:val="2"/>
        </w:numPr>
        <w:spacing w:after="120" w:line="240" w:lineRule="auto"/>
        <w:rPr>
          <w:rFonts w:ascii="Times New Roman" w:eastAsia="Calibri" w:hAnsi="Times New Roman" w:cs="Times New Roman"/>
          <w:b/>
          <w:sz w:val="24"/>
          <w:szCs w:val="24"/>
        </w:rPr>
      </w:pPr>
      <w:r>
        <w:rPr>
          <w:rFonts w:ascii="Times New Roman" w:hAnsi="Times New Roman"/>
          <w:b/>
          <w:sz w:val="24"/>
        </w:rPr>
        <w:t>0,14 HRK (IVA incluido) por unidad de residuos de envases para 2019,</w:t>
      </w:r>
    </w:p>
    <w:p w:rsidR="00016B16" w:rsidRPr="00990420" w:rsidRDefault="00016B16" w:rsidP="00990420">
      <w:pPr>
        <w:pStyle w:val="ListParagraph"/>
        <w:numPr>
          <w:ilvl w:val="0"/>
          <w:numId w:val="2"/>
        </w:numPr>
        <w:spacing w:after="120" w:line="240" w:lineRule="auto"/>
        <w:rPr>
          <w:rFonts w:ascii="Times New Roman" w:eastAsia="Calibri" w:hAnsi="Times New Roman" w:cs="Times New Roman"/>
          <w:b/>
          <w:sz w:val="24"/>
          <w:szCs w:val="24"/>
        </w:rPr>
      </w:pPr>
      <w:r>
        <w:rPr>
          <w:rFonts w:ascii="Times New Roman" w:hAnsi="Times New Roman"/>
          <w:b/>
          <w:sz w:val="24"/>
        </w:rPr>
        <w:t>0,16 HRK (IVA incluido) por unidad de residuos de envases para 2020,</w:t>
      </w:r>
    </w:p>
    <w:p w:rsidR="00016B16" w:rsidRPr="00990420" w:rsidRDefault="00016B16" w:rsidP="00990420">
      <w:pPr>
        <w:pStyle w:val="ListParagraph"/>
        <w:numPr>
          <w:ilvl w:val="0"/>
          <w:numId w:val="2"/>
        </w:numPr>
        <w:spacing w:after="120" w:line="240" w:lineRule="auto"/>
        <w:jc w:val="both"/>
        <w:rPr>
          <w:rFonts w:ascii="Times New Roman" w:eastAsia="Calibri" w:hAnsi="Times New Roman" w:cs="Times New Roman"/>
          <w:b/>
          <w:sz w:val="24"/>
          <w:szCs w:val="24"/>
        </w:rPr>
      </w:pPr>
      <w:r>
        <w:rPr>
          <w:rFonts w:ascii="Times New Roman" w:hAnsi="Times New Roman"/>
          <w:b/>
          <w:sz w:val="24"/>
        </w:rPr>
        <w:t>0,18 HRK (IVA incluido) por unidad de residuos de envases para 2021 y en adelante.</w:t>
      </w:r>
    </w:p>
    <w:p w:rsidR="00016B16" w:rsidRPr="00990420" w:rsidRDefault="00016B16" w:rsidP="00016B16">
      <w:pPr>
        <w:spacing w:after="120" w:line="240" w:lineRule="auto"/>
        <w:ind w:firstLine="284"/>
        <w:jc w:val="both"/>
        <w:rPr>
          <w:rFonts w:ascii="Times New Roman" w:eastAsia="Calibri" w:hAnsi="Times New Roman" w:cs="Times New Roman"/>
          <w:b/>
          <w:sz w:val="24"/>
          <w:szCs w:val="24"/>
        </w:rPr>
      </w:pPr>
      <w:r>
        <w:rPr>
          <w:rFonts w:ascii="Times New Roman" w:hAnsi="Times New Roman"/>
          <w:b/>
          <w:sz w:val="24"/>
        </w:rPr>
        <w:t>5. El Fondo publica la lista de vendedores y plantas de reciclaje que están obligados a recoger los residuos de envases de bebidas de los consumidores en su sitio web.</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7.</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1. Hasta la conclusión del concurso público para la selección del programa más conveniente para la prestación del servicio de recogida de residuos de envases de conformidad con la Ley, y hasta la adopción de la decisión indicada en el artículo 4, apartado 4, de esta Ordenanza, la tasa de gestión se pagará por tipo de material de envasado y por cantidad de envases, así como por unidad de productos comercializados en el territorio de la República de Croacia.</w:t>
      </w:r>
    </w:p>
    <w:p w:rsidR="00DC54F9" w:rsidRPr="00990420" w:rsidRDefault="00DC54F9" w:rsidP="00990420">
      <w:pPr>
        <w:keepNext/>
        <w:spacing w:before="100" w:beforeAutospacing="1" w:line="336" w:lineRule="atLeast"/>
        <w:jc w:val="both"/>
        <w:rPr>
          <w:rFonts w:ascii="Times New Roman" w:eastAsia="Times New Roman" w:hAnsi="Times New Roman" w:cs="Times New Roman"/>
          <w:sz w:val="24"/>
          <w:szCs w:val="24"/>
        </w:rPr>
      </w:pPr>
      <w:r>
        <w:rPr>
          <w:rFonts w:ascii="Times New Roman" w:hAnsi="Times New Roman"/>
          <w:sz w:val="24"/>
        </w:rPr>
        <w:t>2. La tasa de gestión por tipo de material de envasado para las cantidades registradas de envases introducidos en el mercado según el apartado 1 de este artículo será de:</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0" w:type="auto"/>
        <w:tblCellSpacing w:w="15" w:type="dxa"/>
        <w:tblCellMar>
          <w:top w:w="15" w:type="dxa"/>
          <w:left w:w="15" w:type="dxa"/>
          <w:bottom w:w="15" w:type="dxa"/>
          <w:right w:w="15" w:type="dxa"/>
        </w:tblCellMar>
        <w:tblLook w:val="04A0" w:firstRow="1" w:lastRow="0" w:firstColumn="1" w:lastColumn="0" w:noHBand="0" w:noVBand="1"/>
      </w:tblPr>
      <w:tblGrid>
        <w:gridCol w:w="5911"/>
        <w:gridCol w:w="3347"/>
      </w:tblGrid>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PET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410,00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Latas 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410,00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Latas Fe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225,00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Papel/cartón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375,00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Envases compuestos multicapa con predominio de papel-cartón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Bebidas: 410,00 HRK/t</w:t>
            </w:r>
            <w:r>
              <w:rPr>
                <w:rFonts w:ascii="Times New Roman" w:hAnsi="Times New Roman"/>
                <w:sz w:val="24"/>
              </w:rPr>
              <w:br/>
            </w:r>
            <w:r>
              <w:rPr>
                <w:rFonts w:ascii="Times New Roman" w:hAnsi="Times New Roman"/>
                <w:sz w:val="24"/>
              </w:rPr>
              <w:t xml:space="preserve">Para otros fines: </w:t>
            </w:r>
            <w:r>
              <w:rPr>
                <w:rFonts w:ascii="Times New Roman" w:hAnsi="Times New Roman"/>
                <w:sz w:val="24"/>
              </w:rPr>
              <w:t>750,00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Madera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150,00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Textiles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150,00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Bolsas de plástico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1 500,00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Otros materiales poliméricos para la leche y otros productos lácteos líquidos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410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 xml:space="preserve">Otros materiales poliméricos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750,00 HRK/t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 xml:space="preserve">Vidrio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150,00 HRK/t</w:t>
            </w:r>
          </w:p>
        </w:tc>
      </w:tr>
    </w:tbl>
    <w:p w:rsidR="003547DD" w:rsidRPr="00990420" w:rsidRDefault="003547DD" w:rsidP="003547DD">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b/>
          <w:sz w:val="24"/>
        </w:rPr>
        <w:t xml:space="preserve">3. </w:t>
      </w:r>
      <w:r>
        <w:rPr>
          <w:rFonts w:ascii="Times New Roman" w:hAnsi="Times New Roman"/>
          <w:b/>
          <w:sz w:val="24"/>
        </w:rPr>
        <w:t>La tasa de gestión por unidad de producto para las cantidades registradas de envases de bebidas introducidos en el mercado será de 0,10 HRK por unidad de envase de venta para las bebidas en envases desechables de PET, Al/Fe y vidrio de un volumen igual o superior a 0,2 l.</w:t>
      </w:r>
    </w:p>
    <w:p w:rsidR="00D6051F" w:rsidRPr="00990420" w:rsidRDefault="00D6051F" w:rsidP="00D6051F">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b/>
          <w:sz w:val="24"/>
        </w:rPr>
        <w:t>4. No obstante lo dispuesto en el apartado 3 del presente artículo, la tasa de gestión por unidad de producto para la leche y los productos lácteos líquidos será de 0,02 HRK.</w:t>
      </w:r>
    </w:p>
    <w:p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Artículo 8.</w:t>
      </w:r>
    </w:p>
    <w:p w:rsidR="00D6051F" w:rsidRPr="00990420" w:rsidRDefault="00D6051F" w:rsidP="00D6051F">
      <w:pPr>
        <w:spacing w:before="100" w:beforeAutospacing="1" w:after="225" w:line="336" w:lineRule="atLeast"/>
        <w:jc w:val="both"/>
        <w:rPr>
          <w:rFonts w:ascii="Times New Roman" w:eastAsia="Times New Roman" w:hAnsi="Times New Roman" w:cs="Times New Roman"/>
          <w:b/>
          <w:sz w:val="24"/>
          <w:szCs w:val="24"/>
        </w:rPr>
      </w:pPr>
      <w:r>
        <w:rPr>
          <w:rFonts w:ascii="Times New Roman" w:hAnsi="Times New Roman"/>
          <w:b/>
          <w:sz w:val="24"/>
        </w:rPr>
        <w:t>La Ordenanza entrará en vigor el octavo día tras su publicación en el Boletín Oficial, a excepción de los artículos 2 y 4 de esta Ordenanza en lo que respecta a los envases de la leche y los productos lácteos líquidos, así como a los envases con un volumen de 0,20 l, que entrarán en vigor el 1 de abril de 2020.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 xml:space="preserve">Clase: </w:t>
      </w:r>
      <w:r>
        <w:rPr>
          <w:rFonts w:ascii="Times New Roman" w:hAnsi="Times New Roman"/>
          <w:sz w:val="24"/>
        </w:rPr>
        <w:t>022-03/15-03/77</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 xml:space="preserve">N.º de referencia: </w:t>
      </w:r>
      <w:r>
        <w:rPr>
          <w:rFonts w:ascii="Times New Roman" w:hAnsi="Times New Roman"/>
          <w:sz w:val="24"/>
        </w:rPr>
        <w:t>50301-05/25-15-2</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En Zagreb, a 10 de septiembre de 2015</w:t>
      </w:r>
    </w:p>
    <w:p w:rsidR="009D4D14" w:rsidRPr="00990420" w:rsidRDefault="009D4D14" w:rsidP="00D55222">
      <w:pPr>
        <w:spacing w:before="100" w:beforeAutospacing="1" w:line="336" w:lineRule="atLeast"/>
        <w:ind w:left="6480"/>
        <w:jc w:val="center"/>
        <w:rPr>
          <w:rFonts w:ascii="Times New Roman" w:eastAsia="Times New Roman" w:hAnsi="Times New Roman" w:cs="Times New Roman"/>
          <w:sz w:val="24"/>
          <w:szCs w:val="24"/>
        </w:rPr>
      </w:pPr>
      <w:r>
        <w:rPr>
          <w:rFonts w:ascii="Times New Roman" w:hAnsi="Times New Roman"/>
          <w:sz w:val="24"/>
        </w:rPr>
        <w:t>Primer Ministro</w:t>
      </w:r>
    </w:p>
    <w:p w:rsidR="00DC54F9" w:rsidRPr="00EB77C3" w:rsidRDefault="00DC54F9" w:rsidP="00D55222">
      <w:pPr>
        <w:spacing w:before="100" w:beforeAutospacing="1" w:line="336" w:lineRule="atLeast"/>
        <w:ind w:left="6480"/>
        <w:jc w:val="center"/>
        <w:rPr>
          <w:rFonts w:ascii="Times New Roman" w:eastAsia="Times New Roman" w:hAnsi="Times New Roman" w:cs="Times New Roman"/>
          <w:bCs/>
          <w:sz w:val="24"/>
          <w:szCs w:val="24"/>
        </w:rPr>
      </w:pPr>
      <w:r>
        <w:rPr>
          <w:rFonts w:ascii="Times New Roman" w:hAnsi="Times New Roman"/>
          <w:sz w:val="24"/>
        </w:rPr>
        <w:t>Zoran Milanović, m. p.</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C54F9" w:rsidRPr="00EB77C3" w:rsidSect="009D4D14">
      <w:head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AC1897" w:rsidRDefault="00AC1897" w:rsidP="00D6051F">
      <w:pPr>
        <w:spacing w:after="0" w:line="240" w:lineRule="auto"/>
      </w:pPr>
      <w:r>
        <w:separator/>
      </w:r>
    </w:p>
  </w:endnote>
  <w:endnote w:type="continuationSeparator" w:id="0">
    <w:p w:rsidR="00AC1897" w:rsidRDefault="00AC1897"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AC1897" w:rsidRDefault="00AC1897" w:rsidP="00D6051F">
      <w:pPr>
        <w:spacing w:after="0" w:line="240" w:lineRule="auto"/>
      </w:pPr>
      <w:r>
        <w:separator/>
      </w:r>
    </w:p>
  </w:footnote>
  <w:footnote w:type="continuationSeparator" w:id="0">
    <w:p w:rsidR="00AC1897" w:rsidRDefault="00AC1897" w:rsidP="00D6051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B7" w:rsidRPr="00532AB7" w:rsidRDefault="00532AB7" w:rsidP="00532AB7">
    <w:pPr>
      <w:pStyle w:val="Header"/>
      <w:jc w:val="right"/>
      <w:rPr>
        <w:rFonts w:ascii="Times New Roman" w:hAnsi="Times New Roman" w:cs="Times New Roman"/>
        <w:sz w:val="24"/>
        <w:szCs w:val="24"/>
      </w:rPr>
    </w:pPr>
    <w:r>
      <w:rPr>
        <w:rFonts w:ascii="Times New Roman" w:hAnsi="Times New Roman"/>
        <w:sz w:val="24"/>
      </w:rPr>
      <w:t>PROPUESTA 25.7.2019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F9"/>
    <w:rsid w:val="00016B16"/>
    <w:rsid w:val="000813ED"/>
    <w:rsid w:val="00092C52"/>
    <w:rsid w:val="000E3308"/>
    <w:rsid w:val="001A2F75"/>
    <w:rsid w:val="00300187"/>
    <w:rsid w:val="003158D1"/>
    <w:rsid w:val="00322203"/>
    <w:rsid w:val="0034774E"/>
    <w:rsid w:val="003547DD"/>
    <w:rsid w:val="00372B30"/>
    <w:rsid w:val="003E2C83"/>
    <w:rsid w:val="00433673"/>
    <w:rsid w:val="0047684D"/>
    <w:rsid w:val="00532AB7"/>
    <w:rsid w:val="006475AC"/>
    <w:rsid w:val="006A1C3F"/>
    <w:rsid w:val="00704747"/>
    <w:rsid w:val="008D2BF7"/>
    <w:rsid w:val="009246D2"/>
    <w:rsid w:val="00990420"/>
    <w:rsid w:val="009D4D14"/>
    <w:rsid w:val="00A53462"/>
    <w:rsid w:val="00A7202A"/>
    <w:rsid w:val="00AC1897"/>
    <w:rsid w:val="00B02E82"/>
    <w:rsid w:val="00B75DCA"/>
    <w:rsid w:val="00D05F14"/>
    <w:rsid w:val="00D55222"/>
    <w:rsid w:val="00D6051F"/>
    <w:rsid w:val="00D850E7"/>
    <w:rsid w:val="00DC54F9"/>
    <w:rsid w:val="00E73A64"/>
    <w:rsid w:val="00EA1710"/>
    <w:rsid w:val="00EB77C3"/>
    <w:rsid w:val="00ED1337"/>
    <w:rsid w:val="00F65CC1"/>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1181</Words>
  <Characters>6732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MGIPU</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DA</cp:lastModifiedBy>
  <cp:revision>7</cp:revision>
  <dcterms:created xsi:type="dcterms:W3CDTF">2019-07-25T12:05:00Z</dcterms:created>
  <dcterms:modified xsi:type="dcterms:W3CDTF">2019-07-30T09:43:00Z</dcterms:modified>
</cp:coreProperties>
</file>