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959" w:rsidRPr="003A38BA" w:rsidRDefault="006D5959" w:rsidP="006D5959">
      <w:pPr>
        <w:jc w:val="center"/>
        <w:rPr>
          <w:b/>
          <w:sz w:val="32"/>
        </w:rPr>
      </w:pPr>
    </w:p>
    <w:p w:rsidR="006D5959" w:rsidRPr="003A38BA" w:rsidRDefault="006D5959" w:rsidP="006D5959">
      <w:pPr>
        <w:jc w:val="center"/>
        <w:rPr>
          <w:b/>
          <w:sz w:val="32"/>
        </w:rPr>
      </w:pPr>
    </w:p>
    <w:p w:rsidR="001B12A8" w:rsidRPr="00EE13A3" w:rsidRDefault="001B12A8" w:rsidP="001B12A8">
      <w:pPr>
        <w:ind w:left="0" w:firstLine="0"/>
        <w:jc w:val="center"/>
        <w:rPr>
          <w:rFonts w:ascii="Courier New" w:hAnsi="Courier New"/>
          <w:sz w:val="20"/>
        </w:rPr>
      </w:pPr>
      <w:r>
        <w:rPr>
          <w:rFonts w:ascii="Courier New" w:hAnsi="Courier New"/>
          <w:sz w:val="20"/>
        </w:rPr>
        <w:t>1. ------IND- 2017 0262 D-- PT- ------ 20190626 --- --- FINAL</w:t>
      </w:r>
    </w:p>
    <w:p w:rsidR="002A210D" w:rsidRPr="003A38BA" w:rsidRDefault="002A210D" w:rsidP="006D5959">
      <w:pPr>
        <w:jc w:val="center"/>
        <w:rPr>
          <w:b/>
          <w:sz w:val="40"/>
        </w:rPr>
      </w:pPr>
    </w:p>
    <w:p w:rsidR="006D5959" w:rsidRPr="003A38BA" w:rsidRDefault="006D5959" w:rsidP="006D5959">
      <w:pPr>
        <w:rPr>
          <w:b/>
          <w:sz w:val="40"/>
        </w:rPr>
      </w:pPr>
    </w:p>
    <w:p w:rsidR="006D5959" w:rsidRPr="003A38BA" w:rsidRDefault="006D5959" w:rsidP="006D5959">
      <w:pPr>
        <w:rPr>
          <w:b/>
          <w:sz w:val="40"/>
        </w:rPr>
      </w:pPr>
    </w:p>
    <w:p w:rsidR="006D5959" w:rsidRPr="003A38BA" w:rsidRDefault="006D5959" w:rsidP="006D5959">
      <w:pPr>
        <w:rPr>
          <w:b/>
          <w:sz w:val="40"/>
        </w:rPr>
      </w:pPr>
    </w:p>
    <w:p w:rsidR="006D5959" w:rsidRPr="003A38BA" w:rsidRDefault="006D5959" w:rsidP="006D5959">
      <w:pPr>
        <w:jc w:val="center"/>
        <w:rPr>
          <w:sz w:val="40"/>
        </w:rPr>
      </w:pPr>
      <w:r>
        <w:rPr>
          <w:b/>
          <w:sz w:val="40"/>
        </w:rPr>
        <w:t>Condições técnicas de ensaio para sistemas de marcação</w:t>
      </w:r>
    </w:p>
    <w:p w:rsidR="006D5959" w:rsidRPr="003A38BA" w:rsidRDefault="006D5959" w:rsidP="006D5959">
      <w:pPr>
        <w:rPr>
          <w:b/>
          <w:sz w:val="40"/>
        </w:rPr>
      </w:pPr>
    </w:p>
    <w:p w:rsidR="006D5959" w:rsidRPr="003A38BA" w:rsidRDefault="00C32DCC" w:rsidP="006D5959">
      <w:pPr>
        <w:jc w:val="center"/>
        <w:rPr>
          <w:b/>
          <w:sz w:val="40"/>
          <w:szCs w:val="40"/>
        </w:rPr>
      </w:pPr>
      <w:r>
        <w:rPr>
          <w:b/>
          <w:sz w:val="40"/>
        </w:rPr>
        <w:t xml:space="preserve">TP M </w:t>
      </w:r>
    </w:p>
    <w:p w:rsidR="006D5959" w:rsidRPr="003A38BA" w:rsidRDefault="006D5959" w:rsidP="00B032BC">
      <w:pPr>
        <w:jc w:val="center"/>
        <w:rPr>
          <w:b/>
          <w:sz w:val="40"/>
          <w:szCs w:val="40"/>
        </w:rPr>
      </w:pPr>
    </w:p>
    <w:p w:rsidR="006D5959" w:rsidRPr="003A38BA" w:rsidRDefault="00EB1650" w:rsidP="006D5959">
      <w:pPr>
        <w:jc w:val="center"/>
        <w:rPr>
          <w:sz w:val="36"/>
          <w:szCs w:val="36"/>
        </w:rPr>
      </w:pPr>
      <w:r>
        <w:rPr>
          <w:b/>
          <w:sz w:val="36"/>
        </w:rPr>
        <w:t>2018</w:t>
      </w: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EB1650" w:rsidRPr="003A38BA" w:rsidRDefault="00EB1650" w:rsidP="00EB1650">
      <w:pPr>
        <w:jc w:val="center"/>
        <w:rPr>
          <w:sz w:val="32"/>
        </w:rPr>
      </w:pPr>
      <w:r>
        <w:rPr>
          <w:sz w:val="32"/>
        </w:rPr>
        <w:t>elaborado pelo Instituto Federal de Investigação Rodoviária (Bundesanstalt für Straßenwesen)</w:t>
      </w:r>
    </w:p>
    <w:p w:rsidR="006D5959" w:rsidRPr="003A38BA" w:rsidRDefault="00EB1650" w:rsidP="00EB1650">
      <w:pPr>
        <w:jc w:val="center"/>
        <w:rPr>
          <w:sz w:val="32"/>
        </w:rPr>
      </w:pPr>
      <w:r>
        <w:rPr>
          <w:sz w:val="32"/>
        </w:rPr>
        <w:t>Bergisch Gladbach</w:t>
      </w: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B032BC">
      <w:pPr>
        <w:jc w:val="center"/>
        <w:rPr>
          <w:sz w:val="32"/>
        </w:rPr>
      </w:pPr>
    </w:p>
    <w:p w:rsidR="006D5959" w:rsidRPr="003A38BA" w:rsidRDefault="006D5959" w:rsidP="006D5959">
      <w:pPr>
        <w:jc w:val="center"/>
        <w:rPr>
          <w:sz w:val="32"/>
        </w:rPr>
      </w:pPr>
      <w:bookmarkStart w:id="0" w:name="_Toc382970342"/>
      <w:bookmarkStart w:id="1" w:name="_Toc382970502"/>
      <w:bookmarkStart w:id="2" w:name="_Toc382971511"/>
    </w:p>
    <w:p w:rsidR="006D5959" w:rsidRPr="003A38BA" w:rsidRDefault="006D5959" w:rsidP="006D5959">
      <w:pPr>
        <w:jc w:val="center"/>
        <w:rPr>
          <w:sz w:val="32"/>
        </w:rPr>
      </w:pPr>
    </w:p>
    <w:p w:rsidR="006D5959" w:rsidRPr="003A38BA" w:rsidRDefault="006D5959" w:rsidP="006D5959">
      <w:pPr>
        <w:jc w:val="center"/>
        <w:rPr>
          <w:sz w:val="32"/>
        </w:rPr>
      </w:pPr>
      <w:bookmarkStart w:id="3" w:name="_GoBack"/>
      <w:bookmarkEnd w:id="3"/>
    </w:p>
    <w:p w:rsidR="006D5959" w:rsidRPr="003A38BA" w:rsidRDefault="006D5959" w:rsidP="006D5959">
      <w:pPr>
        <w:jc w:val="center"/>
        <w:rPr>
          <w:sz w:val="32"/>
        </w:rPr>
      </w:pPr>
    </w:p>
    <w:p w:rsidR="006D5959" w:rsidRPr="003A38BA" w:rsidRDefault="00497E24" w:rsidP="006D5959">
      <w:pPr>
        <w:jc w:val="center"/>
        <w:rPr>
          <w:sz w:val="32"/>
        </w:rPr>
      </w:pPr>
      <w:bookmarkStart w:id="4" w:name="_Toc382970343"/>
      <w:bookmarkStart w:id="5" w:name="_Toc382970503"/>
      <w:bookmarkStart w:id="6" w:name="_Toc382971512"/>
      <w:bookmarkEnd w:id="0"/>
      <w:bookmarkEnd w:id="1"/>
      <w:bookmarkEnd w:id="2"/>
      <w:r>
        <w:rPr>
          <w:sz w:val="32"/>
        </w:rPr>
        <w:t>Edição de 2018</w:t>
      </w:r>
    </w:p>
    <w:p w:rsidR="006D5959" w:rsidRPr="003A38BA" w:rsidRDefault="006D5959" w:rsidP="008C55C5">
      <w:pPr>
        <w:pageBreakBefore/>
        <w:spacing w:before="8400" w:line="300" w:lineRule="exact"/>
        <w:ind w:left="0" w:firstLine="0"/>
        <w:rPr>
          <w:b/>
          <w:sz w:val="24"/>
        </w:rPr>
      </w:pPr>
      <w:r>
        <w:rPr>
          <w:b/>
          <w:sz w:val="24"/>
        </w:rPr>
        <w:lastRenderedPageBreak/>
        <w:t>Nota prévia</w:t>
      </w:r>
      <w:bookmarkEnd w:id="4"/>
      <w:bookmarkEnd w:id="5"/>
      <w:bookmarkEnd w:id="6"/>
    </w:p>
    <w:p w:rsidR="006D5959" w:rsidRPr="003A38BA" w:rsidRDefault="006D5959" w:rsidP="006D5959"/>
    <w:p w:rsidR="006D5959" w:rsidRPr="003A38BA" w:rsidRDefault="00CC1B26" w:rsidP="00CC1B26">
      <w:pPr>
        <w:ind w:left="0" w:firstLine="0"/>
        <w:jc w:val="both"/>
      </w:pPr>
      <w:r>
        <w:t>As «Condições técnicas de ensaio para sistemas de marcação» foram elaboradas pelo Instituto Federal de Investigação Rodoviária a pedido do Ministério Federal dos Transportes e da Infraestrutura Digital (BMVI) e coordenadas com os Estados Federados, bem como com os peritos em marcação dos Estados Federados. Antes da publicação pela Sociedade alemã de estudos para as marcações rodoviárias (DSGS e.V.), procedeu-se à recolha de pareceres da indústria.</w:t>
      </w:r>
    </w:p>
    <w:p w:rsidR="00CC1B26" w:rsidRPr="003A38BA" w:rsidRDefault="003E1828" w:rsidP="004A2F9C">
      <w:pPr>
        <w:ind w:left="0" w:firstLine="0"/>
        <w:jc w:val="both"/>
      </w:pPr>
      <w:r>
        <w:t>Foram cumpridas as obrigações decorrentes da Diretiva (UE) 2015/1535 do Parlamento Europeu e do Conselho, de 9 de setembro de 2015, relativa a um procedimento de informação no domínio das regulamentações técnicas e das regras relativas aos serviços da sociedade da informação (JO L 241 de 17.9.2015, p. 1).</w:t>
      </w:r>
    </w:p>
    <w:p w:rsidR="006D5959" w:rsidRPr="003A38BA" w:rsidRDefault="006D5959" w:rsidP="006D5959">
      <w:pPr>
        <w:jc w:val="center"/>
        <w:rPr>
          <w:b/>
          <w:sz w:val="28"/>
        </w:rPr>
        <w:sectPr w:rsidR="006D5959" w:rsidRPr="003A38BA">
          <w:headerReference w:type="even" r:id="rId8"/>
          <w:headerReference w:type="default" r:id="rId9"/>
          <w:footerReference w:type="even" r:id="rId10"/>
          <w:headerReference w:type="first" r:id="rId11"/>
          <w:footnotePr>
            <w:numRestart w:val="eachSect"/>
          </w:footnotePr>
          <w:pgSz w:w="11907" w:h="16840"/>
          <w:pgMar w:top="1134" w:right="992" w:bottom="1134" w:left="1418" w:header="720" w:footer="720" w:gutter="0"/>
          <w:pgNumType w:fmt="upperRoman" w:start="1"/>
          <w:cols w:space="720"/>
          <w:titlePg/>
        </w:sectPr>
      </w:pPr>
    </w:p>
    <w:sdt>
      <w:sdtPr>
        <w:rPr>
          <w:rFonts w:asciiTheme="minorHAnsi" w:eastAsiaTheme="minorHAnsi" w:hAnsiTheme="minorHAnsi" w:cstheme="minorBidi"/>
          <w:b w:val="0"/>
          <w:bCs w:val="0"/>
          <w:noProof/>
          <w:color w:val="auto"/>
          <w:sz w:val="22"/>
          <w:szCs w:val="22"/>
        </w:rPr>
        <w:id w:val="2540518"/>
        <w:docPartObj>
          <w:docPartGallery w:val="Table of Contents"/>
          <w:docPartUnique/>
        </w:docPartObj>
      </w:sdtPr>
      <w:sdtEndPr>
        <w:rPr>
          <w:sz w:val="24"/>
          <w:szCs w:val="24"/>
        </w:rPr>
      </w:sdtEndPr>
      <w:sdtContent>
        <w:p w:rsidR="002100A4" w:rsidRPr="003A38BA" w:rsidRDefault="002100A4">
          <w:pPr>
            <w:pStyle w:val="TOCHeading"/>
          </w:pPr>
          <w:r>
            <w:t>Índice</w:t>
          </w:r>
        </w:p>
        <w:p w:rsidR="009574DB" w:rsidRDefault="004939B5">
          <w:pPr>
            <w:pStyle w:val="TOC1"/>
            <w:rPr>
              <w:rFonts w:asciiTheme="minorHAnsi" w:eastAsiaTheme="minorEastAsia" w:hAnsiTheme="minorHAnsi" w:cstheme="minorBidi"/>
              <w:b w:val="0"/>
              <w:sz w:val="22"/>
              <w:szCs w:val="22"/>
              <w:lang w:val="en-US" w:eastAsia="en-US" w:bidi="ar-SA"/>
            </w:rPr>
          </w:pPr>
          <w:r w:rsidRPr="003A38BA">
            <w:rPr>
              <w:rFonts w:asciiTheme="minorHAnsi" w:hAnsiTheme="minorHAnsi"/>
              <w:b w:val="0"/>
              <w:sz w:val="24"/>
              <w:szCs w:val="24"/>
            </w:rPr>
            <w:fldChar w:fldCharType="begin"/>
          </w:r>
          <w:r w:rsidR="002100A4" w:rsidRPr="003A38BA">
            <w:rPr>
              <w:rFonts w:asciiTheme="minorHAnsi" w:hAnsiTheme="minorHAnsi"/>
              <w:b w:val="0"/>
              <w:sz w:val="24"/>
              <w:szCs w:val="24"/>
            </w:rPr>
            <w:instrText xml:space="preserve"> TOC \o "1-3" \h \z \u </w:instrText>
          </w:r>
          <w:r w:rsidRPr="003A38BA">
            <w:rPr>
              <w:rFonts w:asciiTheme="minorHAnsi" w:hAnsiTheme="minorHAnsi"/>
              <w:b w:val="0"/>
              <w:sz w:val="24"/>
              <w:szCs w:val="24"/>
            </w:rPr>
            <w:fldChar w:fldCharType="separate"/>
          </w:r>
          <w:hyperlink w:anchor="_Toc12478620" w:history="1">
            <w:r w:rsidR="009574DB" w:rsidRPr="001247F3">
              <w:rPr>
                <w:rStyle w:val="Hyperlink"/>
                <w:rFonts w:eastAsiaTheme="majorEastAsia"/>
              </w:rPr>
              <w:t>1.</w:t>
            </w:r>
            <w:r w:rsidR="009574DB">
              <w:rPr>
                <w:rFonts w:asciiTheme="minorHAnsi" w:eastAsiaTheme="minorEastAsia" w:hAnsiTheme="minorHAnsi" w:cstheme="minorBidi"/>
                <w:b w:val="0"/>
                <w:sz w:val="22"/>
                <w:szCs w:val="22"/>
                <w:lang w:val="en-US" w:eastAsia="en-US" w:bidi="ar-SA"/>
              </w:rPr>
              <w:tab/>
            </w:r>
            <w:r w:rsidR="009574DB" w:rsidRPr="001247F3">
              <w:rPr>
                <w:rStyle w:val="Hyperlink"/>
                <w:rFonts w:eastAsiaTheme="majorEastAsia"/>
              </w:rPr>
              <w:t>Aspetos gerais</w:t>
            </w:r>
            <w:r w:rsidR="009574DB">
              <w:rPr>
                <w:webHidden/>
              </w:rPr>
              <w:tab/>
            </w:r>
            <w:r w:rsidR="009574DB">
              <w:rPr>
                <w:webHidden/>
              </w:rPr>
              <w:fldChar w:fldCharType="begin"/>
            </w:r>
            <w:r w:rsidR="009574DB">
              <w:rPr>
                <w:webHidden/>
              </w:rPr>
              <w:instrText xml:space="preserve"> PAGEREF _Toc12478620 \h </w:instrText>
            </w:r>
            <w:r w:rsidR="009574DB">
              <w:rPr>
                <w:webHidden/>
              </w:rPr>
            </w:r>
            <w:r w:rsidR="009574DB">
              <w:rPr>
                <w:webHidden/>
              </w:rPr>
              <w:fldChar w:fldCharType="separate"/>
            </w:r>
            <w:r w:rsidR="009574DB">
              <w:rPr>
                <w:webHidden/>
              </w:rPr>
              <w:t>5</w:t>
            </w:r>
            <w:r w:rsidR="009574DB">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1" w:history="1">
            <w:r w:rsidRPr="001247F3">
              <w:rPr>
                <w:rStyle w:val="Hyperlink"/>
                <w:rFonts w:eastAsiaTheme="majorEastAsia"/>
              </w:rPr>
              <w:t>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Referências normativas</w:t>
            </w:r>
            <w:r>
              <w:rPr>
                <w:webHidden/>
              </w:rPr>
              <w:tab/>
            </w:r>
            <w:r>
              <w:rPr>
                <w:webHidden/>
              </w:rPr>
              <w:fldChar w:fldCharType="begin"/>
            </w:r>
            <w:r>
              <w:rPr>
                <w:webHidden/>
              </w:rPr>
              <w:instrText xml:space="preserve"> PAGEREF _Toc12478621 \h </w:instrText>
            </w:r>
            <w:r>
              <w:rPr>
                <w:webHidden/>
              </w:rPr>
            </w:r>
            <w:r>
              <w:rPr>
                <w:webHidden/>
              </w:rPr>
              <w:fldChar w:fldCharType="separate"/>
            </w:r>
            <w:r>
              <w:rPr>
                <w:webHidden/>
              </w:rPr>
              <w:t>5</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2" w:history="1">
            <w:r w:rsidRPr="001247F3">
              <w:rPr>
                <w:rStyle w:val="Hyperlink"/>
                <w:rFonts w:eastAsiaTheme="majorEastAsia"/>
              </w:rPr>
              <w:t>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Termos</w:t>
            </w:r>
            <w:r>
              <w:rPr>
                <w:webHidden/>
              </w:rPr>
              <w:tab/>
            </w:r>
            <w:r>
              <w:rPr>
                <w:webHidden/>
              </w:rPr>
              <w:fldChar w:fldCharType="begin"/>
            </w:r>
            <w:r>
              <w:rPr>
                <w:webHidden/>
              </w:rPr>
              <w:instrText xml:space="preserve"> PAGEREF _Toc12478622 \h </w:instrText>
            </w:r>
            <w:r>
              <w:rPr>
                <w:webHidden/>
              </w:rPr>
            </w:r>
            <w:r>
              <w:rPr>
                <w:webHidden/>
              </w:rPr>
              <w:fldChar w:fldCharType="separate"/>
            </w:r>
            <w:r>
              <w:rPr>
                <w:webHidden/>
              </w:rPr>
              <w:t>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3" w:history="1">
            <w:r w:rsidRPr="001247F3">
              <w:rPr>
                <w:rStyle w:val="Hyperlink"/>
                <w:rFonts w:eastAsiaTheme="majorEastAsia"/>
              </w:rPr>
              <w:t>4.</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Ensaios de carga de sistemas de marcação</w:t>
            </w:r>
            <w:r>
              <w:rPr>
                <w:webHidden/>
              </w:rPr>
              <w:tab/>
            </w:r>
            <w:r>
              <w:rPr>
                <w:webHidden/>
              </w:rPr>
              <w:fldChar w:fldCharType="begin"/>
            </w:r>
            <w:r>
              <w:rPr>
                <w:webHidden/>
              </w:rPr>
              <w:instrText xml:space="preserve"> PAGEREF _Toc12478623 \h </w:instrText>
            </w:r>
            <w:r>
              <w:rPr>
                <w:webHidden/>
              </w:rPr>
            </w:r>
            <w:r>
              <w:rPr>
                <w:webHidden/>
              </w:rPr>
              <w:fldChar w:fldCharType="separate"/>
            </w:r>
            <w:r>
              <w:rPr>
                <w:webHidden/>
              </w:rPr>
              <w:t>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4" w:history="1">
            <w:r w:rsidRPr="001247F3">
              <w:rPr>
                <w:rStyle w:val="Hyperlink"/>
                <w:rFonts w:eastAsiaTheme="majorEastAsia" w:cs="Arial"/>
              </w:rPr>
              <w:t>4.1.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Mesa giratória</w:t>
            </w:r>
            <w:r>
              <w:rPr>
                <w:webHidden/>
              </w:rPr>
              <w:tab/>
            </w:r>
            <w:r>
              <w:rPr>
                <w:webHidden/>
              </w:rPr>
              <w:fldChar w:fldCharType="begin"/>
            </w:r>
            <w:r>
              <w:rPr>
                <w:webHidden/>
              </w:rPr>
              <w:instrText xml:space="preserve"> PAGEREF _Toc12478624 \h </w:instrText>
            </w:r>
            <w:r>
              <w:rPr>
                <w:webHidden/>
              </w:rPr>
            </w:r>
            <w:r>
              <w:rPr>
                <w:webHidden/>
              </w:rPr>
              <w:fldChar w:fldCharType="separate"/>
            </w:r>
            <w:r>
              <w:rPr>
                <w:webHidden/>
              </w:rPr>
              <w:t>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5" w:history="1">
            <w:r w:rsidRPr="001247F3">
              <w:rPr>
                <w:rStyle w:val="Hyperlink"/>
                <w:rFonts w:eastAsiaTheme="majorEastAsia" w:cs="Arial"/>
              </w:rPr>
              <w:t>4.1.1.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Rodas</w:t>
            </w:r>
            <w:r>
              <w:rPr>
                <w:webHidden/>
              </w:rPr>
              <w:tab/>
            </w:r>
            <w:r>
              <w:rPr>
                <w:webHidden/>
              </w:rPr>
              <w:fldChar w:fldCharType="begin"/>
            </w:r>
            <w:r>
              <w:rPr>
                <w:webHidden/>
              </w:rPr>
              <w:instrText xml:space="preserve"> PAGEREF _Toc12478625 \h </w:instrText>
            </w:r>
            <w:r>
              <w:rPr>
                <w:webHidden/>
              </w:rPr>
            </w:r>
            <w:r>
              <w:rPr>
                <w:webHidden/>
              </w:rPr>
              <w:fldChar w:fldCharType="separate"/>
            </w:r>
            <w:r>
              <w:rPr>
                <w:webHidden/>
              </w:rPr>
              <w:t>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6" w:history="1">
            <w:r w:rsidRPr="001247F3">
              <w:rPr>
                <w:rStyle w:val="Hyperlink"/>
                <w:rFonts w:eastAsiaTheme="majorEastAsia" w:cs="Arial"/>
              </w:rPr>
              <w:t>4.1.2.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Provetes</w:t>
            </w:r>
            <w:r>
              <w:rPr>
                <w:webHidden/>
              </w:rPr>
              <w:tab/>
            </w:r>
            <w:r>
              <w:rPr>
                <w:webHidden/>
              </w:rPr>
              <w:fldChar w:fldCharType="begin"/>
            </w:r>
            <w:r>
              <w:rPr>
                <w:webHidden/>
              </w:rPr>
              <w:instrText xml:space="preserve"> PAGEREF _Toc12478626 \h </w:instrText>
            </w:r>
            <w:r>
              <w:rPr>
                <w:webHidden/>
              </w:rPr>
            </w:r>
            <w:r>
              <w:rPr>
                <w:webHidden/>
              </w:rPr>
              <w:fldChar w:fldCharType="separate"/>
            </w:r>
            <w:r>
              <w:rPr>
                <w:webHidden/>
              </w:rPr>
              <w:t>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7" w:history="1">
            <w:r w:rsidRPr="001247F3">
              <w:rPr>
                <w:rStyle w:val="Hyperlink"/>
                <w:rFonts w:eastAsiaTheme="majorEastAsia"/>
              </w:rPr>
              <w:t>4.1.3.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Sistema de limpeza</w:t>
            </w:r>
            <w:r>
              <w:rPr>
                <w:webHidden/>
              </w:rPr>
              <w:tab/>
            </w:r>
            <w:r>
              <w:rPr>
                <w:webHidden/>
              </w:rPr>
              <w:fldChar w:fldCharType="begin"/>
            </w:r>
            <w:r>
              <w:rPr>
                <w:webHidden/>
              </w:rPr>
              <w:instrText xml:space="preserve"> PAGEREF _Toc12478627 \h </w:instrText>
            </w:r>
            <w:r>
              <w:rPr>
                <w:webHidden/>
              </w:rPr>
            </w:r>
            <w:r>
              <w:rPr>
                <w:webHidden/>
              </w:rPr>
              <w:fldChar w:fldCharType="separate"/>
            </w:r>
            <w:r>
              <w:rPr>
                <w:webHidden/>
              </w:rPr>
              <w:t>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8" w:history="1">
            <w:r w:rsidRPr="001247F3">
              <w:rPr>
                <w:rStyle w:val="Hyperlink"/>
                <w:rFonts w:eastAsiaTheme="majorEastAsia"/>
              </w:rPr>
              <w:t>4.2.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Preparação dos provetes</w:t>
            </w:r>
            <w:r>
              <w:rPr>
                <w:webHidden/>
              </w:rPr>
              <w:tab/>
            </w:r>
            <w:r>
              <w:rPr>
                <w:webHidden/>
              </w:rPr>
              <w:fldChar w:fldCharType="begin"/>
            </w:r>
            <w:r>
              <w:rPr>
                <w:webHidden/>
              </w:rPr>
              <w:instrText xml:space="preserve"> PAGEREF _Toc12478628 \h </w:instrText>
            </w:r>
            <w:r>
              <w:rPr>
                <w:webHidden/>
              </w:rPr>
            </w:r>
            <w:r>
              <w:rPr>
                <w:webHidden/>
              </w:rPr>
              <w:fldChar w:fldCharType="separate"/>
            </w:r>
            <w:r>
              <w:rPr>
                <w:webHidden/>
              </w:rPr>
              <w:t>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29" w:history="1">
            <w:r w:rsidRPr="001247F3">
              <w:rPr>
                <w:rStyle w:val="Hyperlink"/>
                <w:rFonts w:eastAsiaTheme="majorEastAsia"/>
              </w:rPr>
              <w:t>4.2.1.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Aplicação</w:t>
            </w:r>
            <w:r>
              <w:rPr>
                <w:webHidden/>
              </w:rPr>
              <w:tab/>
            </w:r>
            <w:r>
              <w:rPr>
                <w:webHidden/>
              </w:rPr>
              <w:fldChar w:fldCharType="begin"/>
            </w:r>
            <w:r>
              <w:rPr>
                <w:webHidden/>
              </w:rPr>
              <w:instrText xml:space="preserve"> PAGEREF _Toc12478629 \h </w:instrText>
            </w:r>
            <w:r>
              <w:rPr>
                <w:webHidden/>
              </w:rPr>
            </w:r>
            <w:r>
              <w:rPr>
                <w:webHidden/>
              </w:rPr>
              <w:fldChar w:fldCharType="separate"/>
            </w:r>
            <w:r>
              <w:rPr>
                <w:webHidden/>
              </w:rPr>
              <w:t>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0" w:history="1">
            <w:r w:rsidRPr="001247F3">
              <w:rPr>
                <w:rStyle w:val="Hyperlink"/>
                <w:rFonts w:eastAsiaTheme="majorEastAsia"/>
              </w:rPr>
              <w:t>4.2.2.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Medições relacionadas com a aplicação</w:t>
            </w:r>
            <w:r>
              <w:rPr>
                <w:webHidden/>
              </w:rPr>
              <w:tab/>
            </w:r>
            <w:r>
              <w:rPr>
                <w:webHidden/>
              </w:rPr>
              <w:fldChar w:fldCharType="begin"/>
            </w:r>
            <w:r>
              <w:rPr>
                <w:webHidden/>
              </w:rPr>
              <w:instrText xml:space="preserve"> PAGEREF _Toc12478630 \h </w:instrText>
            </w:r>
            <w:r>
              <w:rPr>
                <w:webHidden/>
              </w:rPr>
            </w:r>
            <w:r>
              <w:rPr>
                <w:webHidden/>
              </w:rPr>
              <w:fldChar w:fldCharType="separate"/>
            </w:r>
            <w:r>
              <w:rPr>
                <w:webHidden/>
              </w:rPr>
              <w:t>9</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1" w:history="1">
            <w:r w:rsidRPr="001247F3">
              <w:rPr>
                <w:rStyle w:val="Hyperlink"/>
                <w:rFonts w:eastAsiaTheme="majorEastAsia" w:cs="Arial"/>
              </w:rPr>
              <w:t>4.2.3.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Amostragem</w:t>
            </w:r>
            <w:r>
              <w:rPr>
                <w:webHidden/>
              </w:rPr>
              <w:tab/>
            </w:r>
            <w:r>
              <w:rPr>
                <w:webHidden/>
              </w:rPr>
              <w:fldChar w:fldCharType="begin"/>
            </w:r>
            <w:r>
              <w:rPr>
                <w:webHidden/>
              </w:rPr>
              <w:instrText xml:space="preserve"> PAGEREF _Toc12478631 \h </w:instrText>
            </w:r>
            <w:r>
              <w:rPr>
                <w:webHidden/>
              </w:rPr>
            </w:r>
            <w:r>
              <w:rPr>
                <w:webHidden/>
              </w:rPr>
              <w:fldChar w:fldCharType="separate"/>
            </w:r>
            <w:r>
              <w:rPr>
                <w:webHidden/>
              </w:rPr>
              <w:t>9</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2" w:history="1">
            <w:r w:rsidRPr="001247F3">
              <w:rPr>
                <w:rStyle w:val="Hyperlink"/>
                <w:rFonts w:eastAsiaTheme="majorEastAsia" w:cs="Arial"/>
              </w:rPr>
              <w:t>4.2.4.</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Tempo de condicionamento</w:t>
            </w:r>
            <w:r>
              <w:rPr>
                <w:webHidden/>
              </w:rPr>
              <w:tab/>
            </w:r>
            <w:r>
              <w:rPr>
                <w:webHidden/>
              </w:rPr>
              <w:fldChar w:fldCharType="begin"/>
            </w:r>
            <w:r>
              <w:rPr>
                <w:webHidden/>
              </w:rPr>
              <w:instrText xml:space="preserve"> PAGEREF _Toc12478632 \h </w:instrText>
            </w:r>
            <w:r>
              <w:rPr>
                <w:webHidden/>
              </w:rPr>
            </w:r>
            <w:r>
              <w:rPr>
                <w:webHidden/>
              </w:rPr>
              <w:fldChar w:fldCharType="separate"/>
            </w:r>
            <w:r>
              <w:rPr>
                <w:webHidden/>
              </w:rPr>
              <w:t>9</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3" w:history="1">
            <w:r w:rsidRPr="001247F3">
              <w:rPr>
                <w:rStyle w:val="Hyperlink"/>
                <w:rFonts w:eastAsiaTheme="majorEastAsia"/>
              </w:rPr>
              <w:t>4.2.5.</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Sentido de aplicação</w:t>
            </w:r>
            <w:r>
              <w:rPr>
                <w:webHidden/>
              </w:rPr>
              <w:tab/>
            </w:r>
            <w:r>
              <w:rPr>
                <w:webHidden/>
              </w:rPr>
              <w:fldChar w:fldCharType="begin"/>
            </w:r>
            <w:r>
              <w:rPr>
                <w:webHidden/>
              </w:rPr>
              <w:instrText xml:space="preserve"> PAGEREF _Toc12478633 \h </w:instrText>
            </w:r>
            <w:r>
              <w:rPr>
                <w:webHidden/>
              </w:rPr>
            </w:r>
            <w:r>
              <w:rPr>
                <w:webHidden/>
              </w:rPr>
              <w:fldChar w:fldCharType="separate"/>
            </w:r>
            <w:r>
              <w:rPr>
                <w:webHidden/>
              </w:rPr>
              <w:t>10</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4" w:history="1">
            <w:r w:rsidRPr="001247F3">
              <w:rPr>
                <w:rStyle w:val="Hyperlink"/>
                <w:rFonts w:eastAsiaTheme="majorEastAsia" w:cs="Arial"/>
              </w:rPr>
              <w:t>4.3.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Amostra de referência</w:t>
            </w:r>
            <w:r>
              <w:rPr>
                <w:webHidden/>
              </w:rPr>
              <w:tab/>
            </w:r>
            <w:r>
              <w:rPr>
                <w:webHidden/>
              </w:rPr>
              <w:fldChar w:fldCharType="begin"/>
            </w:r>
            <w:r>
              <w:rPr>
                <w:webHidden/>
              </w:rPr>
              <w:instrText xml:space="preserve"> PAGEREF _Toc12478634 \h </w:instrText>
            </w:r>
            <w:r>
              <w:rPr>
                <w:webHidden/>
              </w:rPr>
            </w:r>
            <w:r>
              <w:rPr>
                <w:webHidden/>
              </w:rPr>
              <w:fldChar w:fldCharType="separate"/>
            </w:r>
            <w:r>
              <w:rPr>
                <w:webHidden/>
              </w:rPr>
              <w:t>10</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5" w:history="1">
            <w:r w:rsidRPr="001247F3">
              <w:rPr>
                <w:rStyle w:val="Hyperlink"/>
                <w:rFonts w:eastAsiaTheme="majorEastAsia"/>
              </w:rPr>
              <w:t>4.4.</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Realização do ensaio</w:t>
            </w:r>
            <w:r>
              <w:rPr>
                <w:webHidden/>
              </w:rPr>
              <w:tab/>
            </w:r>
            <w:r>
              <w:rPr>
                <w:webHidden/>
              </w:rPr>
              <w:fldChar w:fldCharType="begin"/>
            </w:r>
            <w:r>
              <w:rPr>
                <w:webHidden/>
              </w:rPr>
              <w:instrText xml:space="preserve"> PAGEREF _Toc12478635 \h </w:instrText>
            </w:r>
            <w:r>
              <w:rPr>
                <w:webHidden/>
              </w:rPr>
            </w:r>
            <w:r>
              <w:rPr>
                <w:webHidden/>
              </w:rPr>
              <w:fldChar w:fldCharType="separate"/>
            </w:r>
            <w:r>
              <w:rPr>
                <w:webHidden/>
              </w:rPr>
              <w:t>10</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6" w:history="1">
            <w:r w:rsidRPr="001247F3">
              <w:rPr>
                <w:rStyle w:val="Hyperlink"/>
                <w:rFonts w:eastAsiaTheme="majorEastAsia" w:cs="Arial"/>
              </w:rPr>
              <w:t>4.4.1.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Condições de ensaio</w:t>
            </w:r>
            <w:r>
              <w:rPr>
                <w:webHidden/>
              </w:rPr>
              <w:tab/>
            </w:r>
            <w:r>
              <w:rPr>
                <w:webHidden/>
              </w:rPr>
              <w:fldChar w:fldCharType="begin"/>
            </w:r>
            <w:r>
              <w:rPr>
                <w:webHidden/>
              </w:rPr>
              <w:instrText xml:space="preserve"> PAGEREF _Toc12478636 \h </w:instrText>
            </w:r>
            <w:r>
              <w:rPr>
                <w:webHidden/>
              </w:rPr>
            </w:r>
            <w:r>
              <w:rPr>
                <w:webHidden/>
              </w:rPr>
              <w:fldChar w:fldCharType="separate"/>
            </w:r>
            <w:r>
              <w:rPr>
                <w:webHidden/>
              </w:rPr>
              <w:t>10</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7" w:history="1">
            <w:r w:rsidRPr="001247F3">
              <w:rPr>
                <w:rStyle w:val="Hyperlink"/>
                <w:rFonts w:eastAsiaTheme="majorEastAsia"/>
              </w:rPr>
              <w:t>4.4.2.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Medições referentes ao equipamento e às condições de ensaio</w:t>
            </w:r>
            <w:r>
              <w:rPr>
                <w:webHidden/>
              </w:rPr>
              <w:tab/>
            </w:r>
            <w:r>
              <w:rPr>
                <w:webHidden/>
              </w:rPr>
              <w:fldChar w:fldCharType="begin"/>
            </w:r>
            <w:r>
              <w:rPr>
                <w:webHidden/>
              </w:rPr>
              <w:instrText xml:space="preserve"> PAGEREF _Toc12478637 \h </w:instrText>
            </w:r>
            <w:r>
              <w:rPr>
                <w:webHidden/>
              </w:rPr>
            </w:r>
            <w:r>
              <w:rPr>
                <w:webHidden/>
              </w:rPr>
              <w:fldChar w:fldCharType="separate"/>
            </w:r>
            <w:r>
              <w:rPr>
                <w:webHidden/>
              </w:rPr>
              <w:t>11</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8" w:history="1">
            <w:r w:rsidRPr="001247F3">
              <w:rPr>
                <w:rStyle w:val="Hyperlink"/>
                <w:rFonts w:eastAsiaTheme="majorEastAsia"/>
              </w:rPr>
              <w:t>4.4.3.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Medições das propriedades técnicas de circulação dos sistemas de marcação</w:t>
            </w:r>
            <w:r>
              <w:rPr>
                <w:webHidden/>
              </w:rPr>
              <w:tab/>
            </w:r>
            <w:r>
              <w:rPr>
                <w:webHidden/>
              </w:rPr>
              <w:fldChar w:fldCharType="begin"/>
            </w:r>
            <w:r>
              <w:rPr>
                <w:webHidden/>
              </w:rPr>
              <w:instrText xml:space="preserve"> PAGEREF _Toc12478638 \h </w:instrText>
            </w:r>
            <w:r>
              <w:rPr>
                <w:webHidden/>
              </w:rPr>
            </w:r>
            <w:r>
              <w:rPr>
                <w:webHidden/>
              </w:rPr>
              <w:fldChar w:fldCharType="separate"/>
            </w:r>
            <w:r>
              <w:rPr>
                <w:webHidden/>
              </w:rPr>
              <w:t>12</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39" w:history="1">
            <w:r w:rsidRPr="001247F3">
              <w:rPr>
                <w:rStyle w:val="Hyperlink"/>
                <w:rFonts w:eastAsiaTheme="majorEastAsia"/>
              </w:rPr>
              <w:t>4.4.4.</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Avaliação dos ensaios</w:t>
            </w:r>
            <w:r>
              <w:rPr>
                <w:webHidden/>
              </w:rPr>
              <w:tab/>
            </w:r>
            <w:r>
              <w:rPr>
                <w:webHidden/>
              </w:rPr>
              <w:fldChar w:fldCharType="begin"/>
            </w:r>
            <w:r>
              <w:rPr>
                <w:webHidden/>
              </w:rPr>
              <w:instrText xml:space="preserve"> PAGEREF _Toc12478639 \h </w:instrText>
            </w:r>
            <w:r>
              <w:rPr>
                <w:webHidden/>
              </w:rPr>
            </w:r>
            <w:r>
              <w:rPr>
                <w:webHidden/>
              </w:rPr>
              <w:fldChar w:fldCharType="separate"/>
            </w:r>
            <w:r>
              <w:rPr>
                <w:webHidden/>
              </w:rPr>
              <w:t>12</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0" w:history="1">
            <w:r w:rsidRPr="001247F3">
              <w:rPr>
                <w:rStyle w:val="Hyperlink"/>
                <w:rFonts w:eastAsiaTheme="majorEastAsia"/>
              </w:rPr>
              <w:t>4.4.5.</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Controlo dos ensaios (reprodutibilidade)</w:t>
            </w:r>
            <w:r>
              <w:rPr>
                <w:webHidden/>
              </w:rPr>
              <w:tab/>
            </w:r>
            <w:r>
              <w:rPr>
                <w:webHidden/>
              </w:rPr>
              <w:fldChar w:fldCharType="begin"/>
            </w:r>
            <w:r>
              <w:rPr>
                <w:webHidden/>
              </w:rPr>
              <w:instrText xml:space="preserve"> PAGEREF _Toc12478640 \h </w:instrText>
            </w:r>
            <w:r>
              <w:rPr>
                <w:webHidden/>
              </w:rPr>
            </w:r>
            <w:r>
              <w:rPr>
                <w:webHidden/>
              </w:rPr>
              <w:fldChar w:fldCharType="separate"/>
            </w:r>
            <w:r>
              <w:rPr>
                <w:webHidden/>
              </w:rPr>
              <w:t>13</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1" w:history="1">
            <w:r w:rsidRPr="001247F3">
              <w:rPr>
                <w:rStyle w:val="Hyperlink"/>
                <w:rFonts w:eastAsiaTheme="majorEastAsia"/>
              </w:rPr>
              <w:t>5.</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Ensaios físico-químicos dos materiais de marcação e coformulantes (ensaio de protótipo)</w:t>
            </w:r>
            <w:r>
              <w:rPr>
                <w:webHidden/>
              </w:rPr>
              <w:tab/>
            </w:r>
            <w:r>
              <w:rPr>
                <w:webHidden/>
              </w:rPr>
              <w:fldChar w:fldCharType="begin"/>
            </w:r>
            <w:r>
              <w:rPr>
                <w:webHidden/>
              </w:rPr>
              <w:instrText xml:space="preserve"> PAGEREF _Toc12478641 \h </w:instrText>
            </w:r>
            <w:r>
              <w:rPr>
                <w:webHidden/>
              </w:rPr>
            </w:r>
            <w:r>
              <w:rPr>
                <w:webHidden/>
              </w:rPr>
              <w:fldChar w:fldCharType="separate"/>
            </w:r>
            <w:r>
              <w:rPr>
                <w:webHidden/>
              </w:rPr>
              <w:t>13</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2" w:history="1">
            <w:r w:rsidRPr="001247F3">
              <w:rPr>
                <w:rStyle w:val="Hyperlink"/>
                <w:rFonts w:eastAsiaTheme="majorEastAsia"/>
              </w:rPr>
              <w:t>5.1.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Aspetos gerais</w:t>
            </w:r>
            <w:r>
              <w:rPr>
                <w:webHidden/>
              </w:rPr>
              <w:tab/>
            </w:r>
            <w:r>
              <w:rPr>
                <w:webHidden/>
              </w:rPr>
              <w:fldChar w:fldCharType="begin"/>
            </w:r>
            <w:r>
              <w:rPr>
                <w:webHidden/>
              </w:rPr>
              <w:instrText xml:space="preserve"> PAGEREF _Toc12478642 \h </w:instrText>
            </w:r>
            <w:r>
              <w:rPr>
                <w:webHidden/>
              </w:rPr>
            </w:r>
            <w:r>
              <w:rPr>
                <w:webHidden/>
              </w:rPr>
              <w:fldChar w:fldCharType="separate"/>
            </w:r>
            <w:r>
              <w:rPr>
                <w:webHidden/>
              </w:rPr>
              <w:t>13</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3" w:history="1">
            <w:r w:rsidRPr="001247F3">
              <w:rPr>
                <w:rStyle w:val="Hyperlink"/>
                <w:rFonts w:eastAsiaTheme="majorEastAsia"/>
              </w:rPr>
              <w:t>5.2.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Amostragem</w:t>
            </w:r>
            <w:r>
              <w:rPr>
                <w:webHidden/>
              </w:rPr>
              <w:tab/>
            </w:r>
            <w:r>
              <w:rPr>
                <w:webHidden/>
              </w:rPr>
              <w:fldChar w:fldCharType="begin"/>
            </w:r>
            <w:r>
              <w:rPr>
                <w:webHidden/>
              </w:rPr>
              <w:instrText xml:space="preserve"> PAGEREF _Toc12478643 \h </w:instrText>
            </w:r>
            <w:r>
              <w:rPr>
                <w:webHidden/>
              </w:rPr>
            </w:r>
            <w:r>
              <w:rPr>
                <w:webHidden/>
              </w:rPr>
              <w:fldChar w:fldCharType="separate"/>
            </w:r>
            <w:r>
              <w:rPr>
                <w:webHidden/>
              </w:rPr>
              <w:t>14</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4" w:history="1">
            <w:r w:rsidRPr="001247F3">
              <w:rPr>
                <w:rStyle w:val="Hyperlink"/>
                <w:rFonts w:eastAsiaTheme="majorEastAsia"/>
              </w:rPr>
              <w:t>5.3.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Ensaio de protótipo de sistemas de marcação não prefabricados</w:t>
            </w:r>
            <w:r>
              <w:rPr>
                <w:webHidden/>
              </w:rPr>
              <w:tab/>
            </w:r>
            <w:r>
              <w:rPr>
                <w:webHidden/>
              </w:rPr>
              <w:fldChar w:fldCharType="begin"/>
            </w:r>
            <w:r>
              <w:rPr>
                <w:webHidden/>
              </w:rPr>
              <w:instrText xml:space="preserve"> PAGEREF _Toc12478644 \h </w:instrText>
            </w:r>
            <w:r>
              <w:rPr>
                <w:webHidden/>
              </w:rPr>
            </w:r>
            <w:r>
              <w:rPr>
                <w:webHidden/>
              </w:rPr>
              <w:fldChar w:fldCharType="separate"/>
            </w:r>
            <w:r>
              <w:rPr>
                <w:webHidden/>
              </w:rPr>
              <w:t>14</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5" w:history="1">
            <w:r w:rsidRPr="001247F3">
              <w:rPr>
                <w:rStyle w:val="Hyperlink"/>
                <w:rFonts w:eastAsiaTheme="majorEastAsia"/>
              </w:rPr>
              <w:t>5.3.1.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Determinação das frações orgânicas e inorgânicas</w:t>
            </w:r>
            <w:r>
              <w:rPr>
                <w:webHidden/>
              </w:rPr>
              <w:tab/>
            </w:r>
            <w:r>
              <w:rPr>
                <w:webHidden/>
              </w:rPr>
              <w:fldChar w:fldCharType="begin"/>
            </w:r>
            <w:r>
              <w:rPr>
                <w:webHidden/>
              </w:rPr>
              <w:instrText xml:space="preserve"> PAGEREF _Toc12478645 \h </w:instrText>
            </w:r>
            <w:r>
              <w:rPr>
                <w:webHidden/>
              </w:rPr>
            </w:r>
            <w:r>
              <w:rPr>
                <w:webHidden/>
              </w:rPr>
              <w:fldChar w:fldCharType="separate"/>
            </w:r>
            <w:r>
              <w:rPr>
                <w:webHidden/>
              </w:rPr>
              <w:t>15</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6" w:history="1">
            <w:r w:rsidRPr="001247F3">
              <w:rPr>
                <w:rStyle w:val="Hyperlink"/>
                <w:rFonts w:eastAsiaTheme="majorEastAsia"/>
              </w:rPr>
              <w:t>5.3.2.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Determinação dos compostos orgânicos voláteis e monómeros/oligómeros</w:t>
            </w:r>
            <w:r>
              <w:rPr>
                <w:webHidden/>
              </w:rPr>
              <w:tab/>
            </w:r>
            <w:r>
              <w:rPr>
                <w:webHidden/>
              </w:rPr>
              <w:fldChar w:fldCharType="begin"/>
            </w:r>
            <w:r>
              <w:rPr>
                <w:webHidden/>
              </w:rPr>
              <w:instrText xml:space="preserve"> PAGEREF _Toc12478646 \h </w:instrText>
            </w:r>
            <w:r>
              <w:rPr>
                <w:webHidden/>
              </w:rPr>
            </w:r>
            <w:r>
              <w:rPr>
                <w:webHidden/>
              </w:rPr>
              <w:fldChar w:fldCharType="separate"/>
            </w:r>
            <w:r>
              <w:rPr>
                <w:webHidden/>
              </w:rPr>
              <w:t>15</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7" w:history="1">
            <w:r w:rsidRPr="001247F3">
              <w:rPr>
                <w:rStyle w:val="Hyperlink"/>
                <w:rFonts w:eastAsiaTheme="majorEastAsia"/>
              </w:rPr>
              <w:t>5.3.3.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Determinação do teor de dióxido de titânio nos resíduos inorgânicos</w:t>
            </w:r>
            <w:r>
              <w:rPr>
                <w:webHidden/>
              </w:rPr>
              <w:tab/>
            </w:r>
            <w:r>
              <w:rPr>
                <w:webHidden/>
              </w:rPr>
              <w:fldChar w:fldCharType="begin"/>
            </w:r>
            <w:r>
              <w:rPr>
                <w:webHidden/>
              </w:rPr>
              <w:instrText xml:space="preserve"> PAGEREF _Toc12478647 \h </w:instrText>
            </w:r>
            <w:r>
              <w:rPr>
                <w:webHidden/>
              </w:rPr>
            </w:r>
            <w:r>
              <w:rPr>
                <w:webHidden/>
              </w:rPr>
              <w:fldChar w:fldCharType="separate"/>
            </w:r>
            <w:r>
              <w:rPr>
                <w:webHidden/>
              </w:rPr>
              <w:t>15</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8" w:history="1">
            <w:r w:rsidRPr="001247F3">
              <w:rPr>
                <w:rStyle w:val="Hyperlink"/>
                <w:rFonts w:eastAsiaTheme="majorEastAsia"/>
              </w:rPr>
              <w:t>5.3.4.</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Determinação das frações dos corpos de pré-mistura</w:t>
            </w:r>
            <w:r>
              <w:rPr>
                <w:webHidden/>
              </w:rPr>
              <w:tab/>
            </w:r>
            <w:r>
              <w:rPr>
                <w:webHidden/>
              </w:rPr>
              <w:fldChar w:fldCharType="begin"/>
            </w:r>
            <w:r>
              <w:rPr>
                <w:webHidden/>
              </w:rPr>
              <w:instrText xml:space="preserve"> PAGEREF _Toc12478648 \h </w:instrText>
            </w:r>
            <w:r>
              <w:rPr>
                <w:webHidden/>
              </w:rPr>
            </w:r>
            <w:r>
              <w:rPr>
                <w:webHidden/>
              </w:rPr>
              <w:fldChar w:fldCharType="separate"/>
            </w:r>
            <w:r>
              <w:rPr>
                <w:webHidden/>
              </w:rPr>
              <w:t>15</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49" w:history="1">
            <w:r w:rsidRPr="001247F3">
              <w:rPr>
                <w:rStyle w:val="Hyperlink"/>
                <w:rFonts w:eastAsiaTheme="majorEastAsia"/>
              </w:rPr>
              <w:t>5.3.5.</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Determinação da temperatura de amolecimento segundo Wilhelmi</w:t>
            </w:r>
            <w:r>
              <w:rPr>
                <w:webHidden/>
              </w:rPr>
              <w:tab/>
            </w:r>
            <w:r>
              <w:rPr>
                <w:webHidden/>
              </w:rPr>
              <w:fldChar w:fldCharType="begin"/>
            </w:r>
            <w:r>
              <w:rPr>
                <w:webHidden/>
              </w:rPr>
              <w:instrText xml:space="preserve"> PAGEREF _Toc12478649 \h </w:instrText>
            </w:r>
            <w:r>
              <w:rPr>
                <w:webHidden/>
              </w:rPr>
            </w:r>
            <w:r>
              <w:rPr>
                <w:webHidden/>
              </w:rPr>
              <w:fldChar w:fldCharType="separate"/>
            </w:r>
            <w:r>
              <w:rPr>
                <w:webHidden/>
              </w:rPr>
              <w:t>16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0" w:history="1">
            <w:r w:rsidRPr="001247F3">
              <w:rPr>
                <w:rStyle w:val="Hyperlink"/>
                <w:rFonts w:eastAsiaTheme="majorEastAsia"/>
              </w:rPr>
              <w:t>5.3.6.</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Resistência à penetração</w:t>
            </w:r>
            <w:r>
              <w:rPr>
                <w:webHidden/>
              </w:rPr>
              <w:tab/>
            </w:r>
            <w:r>
              <w:rPr>
                <w:webHidden/>
              </w:rPr>
              <w:fldChar w:fldCharType="begin"/>
            </w:r>
            <w:r>
              <w:rPr>
                <w:webHidden/>
              </w:rPr>
              <w:instrText xml:space="preserve"> PAGEREF _Toc12478650 \h </w:instrText>
            </w:r>
            <w:r>
              <w:rPr>
                <w:webHidden/>
              </w:rPr>
            </w:r>
            <w:r>
              <w:rPr>
                <w:webHidden/>
              </w:rPr>
              <w:fldChar w:fldCharType="separate"/>
            </w:r>
            <w:r>
              <w:rPr>
                <w:webHidden/>
              </w:rPr>
              <w:t>16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1" w:history="1">
            <w:r w:rsidRPr="001247F3">
              <w:rPr>
                <w:rStyle w:val="Hyperlink"/>
                <w:rFonts w:eastAsiaTheme="majorEastAsia"/>
              </w:rPr>
              <w:t>5.3.7.</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Ensaio da presença de chumbo e cádmio em sistemas de marcação temporários</w:t>
            </w:r>
            <w:r>
              <w:rPr>
                <w:webHidden/>
              </w:rPr>
              <w:tab/>
            </w:r>
            <w:r>
              <w:rPr>
                <w:webHidden/>
              </w:rPr>
              <w:fldChar w:fldCharType="begin"/>
            </w:r>
            <w:r>
              <w:rPr>
                <w:webHidden/>
              </w:rPr>
              <w:instrText xml:space="preserve"> PAGEREF _Toc12478651 \h </w:instrText>
            </w:r>
            <w:r>
              <w:rPr>
                <w:webHidden/>
              </w:rPr>
            </w:r>
            <w:r>
              <w:rPr>
                <w:webHidden/>
              </w:rPr>
              <w:fldChar w:fldCharType="separate"/>
            </w:r>
            <w:r>
              <w:rPr>
                <w:webHidden/>
              </w:rPr>
              <w:t>16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2" w:history="1">
            <w:r w:rsidRPr="001247F3">
              <w:rPr>
                <w:rStyle w:val="Hyperlink"/>
                <w:rFonts w:eastAsiaTheme="majorEastAsia"/>
              </w:rPr>
              <w:t>5.4.</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Ensaio de protótipo de películas de marcação (métodos de identificação)</w:t>
            </w:r>
            <w:r>
              <w:rPr>
                <w:webHidden/>
              </w:rPr>
              <w:tab/>
            </w:r>
            <w:r>
              <w:rPr>
                <w:webHidden/>
              </w:rPr>
              <w:fldChar w:fldCharType="begin"/>
            </w:r>
            <w:r>
              <w:rPr>
                <w:webHidden/>
              </w:rPr>
              <w:instrText xml:space="preserve"> PAGEREF _Toc12478652 \h </w:instrText>
            </w:r>
            <w:r>
              <w:rPr>
                <w:webHidden/>
              </w:rPr>
            </w:r>
            <w:r>
              <w:rPr>
                <w:webHidden/>
              </w:rPr>
              <w:fldChar w:fldCharType="separate"/>
            </w:r>
            <w:r>
              <w:rPr>
                <w:webHidden/>
              </w:rPr>
              <w:t>16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3" w:history="1">
            <w:r w:rsidRPr="001247F3">
              <w:rPr>
                <w:rStyle w:val="Hyperlink"/>
                <w:rFonts w:eastAsiaTheme="majorEastAsia"/>
              </w:rPr>
              <w:t>5.4.1.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Amostras de retenção de películas</w:t>
            </w:r>
            <w:r>
              <w:rPr>
                <w:webHidden/>
              </w:rPr>
              <w:tab/>
            </w:r>
            <w:r>
              <w:rPr>
                <w:webHidden/>
              </w:rPr>
              <w:fldChar w:fldCharType="begin"/>
            </w:r>
            <w:r>
              <w:rPr>
                <w:webHidden/>
              </w:rPr>
              <w:instrText xml:space="preserve"> PAGEREF _Toc12478653 \h </w:instrText>
            </w:r>
            <w:r>
              <w:rPr>
                <w:webHidden/>
              </w:rPr>
            </w:r>
            <w:r>
              <w:rPr>
                <w:webHidden/>
              </w:rPr>
              <w:fldChar w:fldCharType="separate"/>
            </w:r>
            <w:r>
              <w:rPr>
                <w:webHidden/>
              </w:rPr>
              <w:t>16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4" w:history="1">
            <w:r w:rsidRPr="001247F3">
              <w:rPr>
                <w:rStyle w:val="Hyperlink"/>
                <w:rFonts w:eastAsiaTheme="majorEastAsia"/>
              </w:rPr>
              <w:t>5.4.2.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Análise de imagem das películas de marcação rodoviária</w:t>
            </w:r>
            <w:r>
              <w:rPr>
                <w:webHidden/>
              </w:rPr>
              <w:tab/>
            </w:r>
            <w:r>
              <w:rPr>
                <w:webHidden/>
              </w:rPr>
              <w:fldChar w:fldCharType="begin"/>
            </w:r>
            <w:r>
              <w:rPr>
                <w:webHidden/>
              </w:rPr>
              <w:instrText xml:space="preserve"> PAGEREF _Toc12478654 \h </w:instrText>
            </w:r>
            <w:r>
              <w:rPr>
                <w:webHidden/>
              </w:rPr>
            </w:r>
            <w:r>
              <w:rPr>
                <w:webHidden/>
              </w:rPr>
              <w:fldChar w:fldCharType="separate"/>
            </w:r>
            <w:r>
              <w:rPr>
                <w:webHidden/>
              </w:rPr>
              <w:t>16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5" w:history="1">
            <w:r w:rsidRPr="001247F3">
              <w:rPr>
                <w:rStyle w:val="Hyperlink"/>
                <w:rFonts w:eastAsiaTheme="majorEastAsia"/>
              </w:rPr>
              <w:t>5.4.3.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Análise termogravimétrica de películas de marcação</w:t>
            </w:r>
            <w:r>
              <w:rPr>
                <w:webHidden/>
              </w:rPr>
              <w:tab/>
            </w:r>
            <w:r>
              <w:rPr>
                <w:webHidden/>
              </w:rPr>
              <w:fldChar w:fldCharType="begin"/>
            </w:r>
            <w:r>
              <w:rPr>
                <w:webHidden/>
              </w:rPr>
              <w:instrText xml:space="preserve"> PAGEREF _Toc12478655 \h </w:instrText>
            </w:r>
            <w:r>
              <w:rPr>
                <w:webHidden/>
              </w:rPr>
            </w:r>
            <w:r>
              <w:rPr>
                <w:webHidden/>
              </w:rPr>
              <w:fldChar w:fldCharType="separate"/>
            </w:r>
            <w:r>
              <w:rPr>
                <w:webHidden/>
              </w:rPr>
              <w:t>16</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6" w:history="1">
            <w:r w:rsidRPr="001247F3">
              <w:rPr>
                <w:rStyle w:val="Hyperlink"/>
                <w:rFonts w:eastAsiaTheme="majorEastAsia"/>
              </w:rPr>
              <w:t>5.4.4.</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Análise da camada adesiva de películas</w:t>
            </w:r>
            <w:r>
              <w:rPr>
                <w:webHidden/>
              </w:rPr>
              <w:tab/>
            </w:r>
            <w:r>
              <w:rPr>
                <w:webHidden/>
              </w:rPr>
              <w:fldChar w:fldCharType="begin"/>
            </w:r>
            <w:r>
              <w:rPr>
                <w:webHidden/>
              </w:rPr>
              <w:instrText xml:space="preserve"> PAGEREF _Toc12478656 \h </w:instrText>
            </w:r>
            <w:r>
              <w:rPr>
                <w:webHidden/>
              </w:rPr>
            </w:r>
            <w:r>
              <w:rPr>
                <w:webHidden/>
              </w:rPr>
              <w:fldChar w:fldCharType="separate"/>
            </w:r>
            <w:r>
              <w:rPr>
                <w:webHidden/>
              </w:rPr>
              <w:t>17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7" w:history="1">
            <w:r w:rsidRPr="001247F3">
              <w:rPr>
                <w:rStyle w:val="Hyperlink"/>
                <w:rFonts w:eastAsiaTheme="majorEastAsia"/>
              </w:rPr>
              <w:t>5.4.5.</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Análise de primários betuminosos</w:t>
            </w:r>
            <w:r>
              <w:rPr>
                <w:webHidden/>
              </w:rPr>
              <w:tab/>
            </w:r>
            <w:r>
              <w:rPr>
                <w:webHidden/>
              </w:rPr>
              <w:fldChar w:fldCharType="begin"/>
            </w:r>
            <w:r>
              <w:rPr>
                <w:webHidden/>
              </w:rPr>
              <w:instrText xml:space="preserve"> PAGEREF _Toc12478657 \h </w:instrText>
            </w:r>
            <w:r>
              <w:rPr>
                <w:webHidden/>
              </w:rPr>
            </w:r>
            <w:r>
              <w:rPr>
                <w:webHidden/>
              </w:rPr>
              <w:fldChar w:fldCharType="separate"/>
            </w:r>
            <w:r>
              <w:rPr>
                <w:webHidden/>
              </w:rPr>
              <w:t>17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8" w:history="1">
            <w:r w:rsidRPr="001247F3">
              <w:rPr>
                <w:rStyle w:val="Hyperlink"/>
                <w:rFonts w:eastAsiaTheme="majorEastAsia"/>
              </w:rPr>
              <w:t>5.5.</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Ensaio de protótipo de coformulantes</w:t>
            </w:r>
            <w:r>
              <w:rPr>
                <w:webHidden/>
              </w:rPr>
              <w:tab/>
            </w:r>
            <w:r>
              <w:rPr>
                <w:webHidden/>
              </w:rPr>
              <w:fldChar w:fldCharType="begin"/>
            </w:r>
            <w:r>
              <w:rPr>
                <w:webHidden/>
              </w:rPr>
              <w:instrText xml:space="preserve"> PAGEREF _Toc12478658 \h </w:instrText>
            </w:r>
            <w:r>
              <w:rPr>
                <w:webHidden/>
              </w:rPr>
            </w:r>
            <w:r>
              <w:rPr>
                <w:webHidden/>
              </w:rPr>
              <w:fldChar w:fldCharType="separate"/>
            </w:r>
            <w:r>
              <w:rPr>
                <w:webHidden/>
              </w:rPr>
              <w:t>17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59" w:history="1">
            <w:r w:rsidRPr="001247F3">
              <w:rPr>
                <w:rStyle w:val="Hyperlink"/>
                <w:rFonts w:eastAsiaTheme="majorEastAsia"/>
              </w:rPr>
              <w:t>5.5.1.</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Análise de pérolas refletoras e agregados antiderrapantes (sistemas de pré-mistura e de materiais de projeção)</w:t>
            </w:r>
            <w:r>
              <w:rPr>
                <w:webHidden/>
              </w:rPr>
              <w:tab/>
            </w:r>
            <w:r>
              <w:rPr>
                <w:webHidden/>
              </w:rPr>
              <w:fldChar w:fldCharType="begin"/>
            </w:r>
            <w:r>
              <w:rPr>
                <w:webHidden/>
              </w:rPr>
              <w:instrText xml:space="preserve"> PAGEREF _Toc12478659 \h </w:instrText>
            </w:r>
            <w:r>
              <w:rPr>
                <w:webHidden/>
              </w:rPr>
            </w:r>
            <w:r>
              <w:rPr>
                <w:webHidden/>
              </w:rPr>
              <w:fldChar w:fldCharType="separate"/>
            </w:r>
            <w:r>
              <w:rPr>
                <w:webHidden/>
              </w:rPr>
              <w:t>17</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60" w:history="1">
            <w:r w:rsidRPr="001247F3">
              <w:rPr>
                <w:rStyle w:val="Hyperlink"/>
                <w:rFonts w:eastAsiaTheme="majorEastAsia"/>
              </w:rPr>
              <w:t>5.5.2.</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Análise do revestimento de corpos refletores e agregados antiderrapantes</w:t>
            </w:r>
            <w:r>
              <w:rPr>
                <w:webHidden/>
              </w:rPr>
              <w:tab/>
            </w:r>
            <w:r>
              <w:rPr>
                <w:webHidden/>
              </w:rPr>
              <w:fldChar w:fldCharType="begin"/>
            </w:r>
            <w:r>
              <w:rPr>
                <w:webHidden/>
              </w:rPr>
              <w:instrText xml:space="preserve"> PAGEREF _Toc12478660 \h </w:instrText>
            </w:r>
            <w:r>
              <w:rPr>
                <w:webHidden/>
              </w:rPr>
            </w:r>
            <w:r>
              <w:rPr>
                <w:webHidden/>
              </w:rPr>
              <w:fldChar w:fldCharType="separate"/>
            </w:r>
            <w:r>
              <w:rPr>
                <w:webHidden/>
              </w:rPr>
              <w:t>18</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61" w:history="1">
            <w:r w:rsidRPr="001247F3">
              <w:rPr>
                <w:rStyle w:val="Hyperlink"/>
                <w:rFonts w:eastAsiaTheme="majorEastAsia"/>
              </w:rPr>
              <w:t>5.5.3.</w:t>
            </w:r>
            <w:r>
              <w:rPr>
                <w:rFonts w:asciiTheme="minorHAnsi" w:eastAsiaTheme="minorEastAsia" w:hAnsiTheme="minorHAnsi" w:cstheme="minorBidi"/>
                <w:b w:val="0"/>
                <w:sz w:val="22"/>
                <w:szCs w:val="22"/>
                <w:lang w:val="en-US" w:eastAsia="en-US" w:bidi="ar-SA"/>
              </w:rPr>
              <w:tab/>
            </w:r>
            <w:r w:rsidRPr="001247F3">
              <w:rPr>
                <w:rStyle w:val="Hyperlink"/>
                <w:rFonts w:eastAsiaTheme="majorEastAsia"/>
              </w:rPr>
              <w:t>Análise dos restantes coformulantes</w:t>
            </w:r>
            <w:r>
              <w:rPr>
                <w:webHidden/>
              </w:rPr>
              <w:tab/>
            </w:r>
            <w:r>
              <w:rPr>
                <w:webHidden/>
              </w:rPr>
              <w:fldChar w:fldCharType="begin"/>
            </w:r>
            <w:r>
              <w:rPr>
                <w:webHidden/>
              </w:rPr>
              <w:instrText xml:space="preserve"> PAGEREF _Toc12478661 \h </w:instrText>
            </w:r>
            <w:r>
              <w:rPr>
                <w:webHidden/>
              </w:rPr>
            </w:r>
            <w:r>
              <w:rPr>
                <w:webHidden/>
              </w:rPr>
              <w:fldChar w:fldCharType="separate"/>
            </w:r>
            <w:r>
              <w:rPr>
                <w:webHidden/>
              </w:rPr>
              <w:t>18</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62" w:history="1">
            <w:r w:rsidRPr="001247F3">
              <w:rPr>
                <w:rStyle w:val="Hyperlink"/>
                <w:rFonts w:eastAsiaTheme="majorEastAsia"/>
              </w:rPr>
              <w:t>Anexo A</w:t>
            </w:r>
            <w:r>
              <w:rPr>
                <w:webHidden/>
              </w:rPr>
              <w:tab/>
            </w:r>
            <w:r>
              <w:rPr>
                <w:webHidden/>
              </w:rPr>
              <w:fldChar w:fldCharType="begin"/>
            </w:r>
            <w:r>
              <w:rPr>
                <w:webHidden/>
              </w:rPr>
              <w:instrText xml:space="preserve"> PAGEREF _Toc12478662 \h </w:instrText>
            </w:r>
            <w:r>
              <w:rPr>
                <w:webHidden/>
              </w:rPr>
            </w:r>
            <w:r>
              <w:rPr>
                <w:webHidden/>
              </w:rPr>
              <w:fldChar w:fldCharType="separate"/>
            </w:r>
            <w:r>
              <w:rPr>
                <w:webHidden/>
              </w:rPr>
              <w:t>19</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63" w:history="1">
            <w:r w:rsidRPr="001247F3">
              <w:rPr>
                <w:rStyle w:val="Hyperlink"/>
                <w:rFonts w:eastAsiaTheme="majorEastAsia"/>
              </w:rPr>
              <w:t>Anexo B</w:t>
            </w:r>
            <w:r>
              <w:rPr>
                <w:webHidden/>
              </w:rPr>
              <w:tab/>
            </w:r>
            <w:r>
              <w:rPr>
                <w:webHidden/>
              </w:rPr>
              <w:fldChar w:fldCharType="begin"/>
            </w:r>
            <w:r>
              <w:rPr>
                <w:webHidden/>
              </w:rPr>
              <w:instrText xml:space="preserve"> PAGEREF _Toc12478663 \h </w:instrText>
            </w:r>
            <w:r>
              <w:rPr>
                <w:webHidden/>
              </w:rPr>
            </w:r>
            <w:r>
              <w:rPr>
                <w:webHidden/>
              </w:rPr>
              <w:fldChar w:fldCharType="separate"/>
            </w:r>
            <w:r>
              <w:rPr>
                <w:webHidden/>
              </w:rPr>
              <w:t>22</w:t>
            </w:r>
            <w:r>
              <w:rPr>
                <w:webHidden/>
              </w:rPr>
              <w:fldChar w:fldCharType="end"/>
            </w:r>
          </w:hyperlink>
        </w:p>
        <w:p w:rsidR="009574DB" w:rsidRDefault="009574DB">
          <w:pPr>
            <w:pStyle w:val="TOC1"/>
            <w:rPr>
              <w:rFonts w:asciiTheme="minorHAnsi" w:eastAsiaTheme="minorEastAsia" w:hAnsiTheme="minorHAnsi" w:cstheme="minorBidi"/>
              <w:b w:val="0"/>
              <w:sz w:val="22"/>
              <w:szCs w:val="22"/>
              <w:lang w:val="en-US" w:eastAsia="en-US" w:bidi="ar-SA"/>
            </w:rPr>
          </w:pPr>
          <w:hyperlink w:anchor="_Toc12478664" w:history="1">
            <w:r w:rsidRPr="001247F3">
              <w:rPr>
                <w:rStyle w:val="Hyperlink"/>
                <w:rFonts w:eastAsiaTheme="majorEastAsia"/>
              </w:rPr>
              <w:t>Anexo C</w:t>
            </w:r>
            <w:r>
              <w:rPr>
                <w:webHidden/>
              </w:rPr>
              <w:tab/>
            </w:r>
            <w:r>
              <w:rPr>
                <w:webHidden/>
              </w:rPr>
              <w:fldChar w:fldCharType="begin"/>
            </w:r>
            <w:r>
              <w:rPr>
                <w:webHidden/>
              </w:rPr>
              <w:instrText xml:space="preserve"> PAGEREF _Toc12478664 \h </w:instrText>
            </w:r>
            <w:r>
              <w:rPr>
                <w:webHidden/>
              </w:rPr>
            </w:r>
            <w:r>
              <w:rPr>
                <w:webHidden/>
              </w:rPr>
              <w:fldChar w:fldCharType="separate"/>
            </w:r>
            <w:r>
              <w:rPr>
                <w:webHidden/>
              </w:rPr>
              <w:t>25</w:t>
            </w:r>
            <w:r>
              <w:rPr>
                <w:webHidden/>
              </w:rPr>
              <w:fldChar w:fldCharType="end"/>
            </w:r>
          </w:hyperlink>
        </w:p>
        <w:p w:rsidR="00491D31" w:rsidRDefault="004939B5">
          <w:pPr>
            <w:pStyle w:val="TOC1"/>
            <w:rPr>
              <w:rFonts w:asciiTheme="minorHAnsi" w:eastAsiaTheme="minorEastAsia" w:hAnsiTheme="minorHAnsi" w:cstheme="minorBidi"/>
              <w:b w:val="0"/>
              <w:sz w:val="22"/>
              <w:szCs w:val="22"/>
            </w:rPr>
          </w:pPr>
          <w:r w:rsidRPr="003A38BA">
            <w:rPr>
              <w:sz w:val="24"/>
              <w:szCs w:val="24"/>
            </w:rPr>
            <w:fldChar w:fldCharType="end"/>
          </w:r>
        </w:p>
      </w:sdtContent>
    </w:sdt>
    <w:p w:rsidR="006D5959" w:rsidRPr="003A38BA" w:rsidRDefault="006D5959" w:rsidP="006D5959">
      <w:pPr>
        <w:spacing w:after="200" w:line="276" w:lineRule="auto"/>
        <w:rPr>
          <w:rFonts w:cs="Arial"/>
          <w:sz w:val="24"/>
          <w:szCs w:val="24"/>
        </w:rPr>
      </w:pPr>
    </w:p>
    <w:p w:rsidR="006D5959" w:rsidRPr="003A38BA" w:rsidRDefault="006D5959">
      <w:pPr>
        <w:rPr>
          <w:rFonts w:cs="Arial"/>
          <w:sz w:val="24"/>
          <w:szCs w:val="24"/>
          <w:highlight w:val="lightGray"/>
        </w:rPr>
      </w:pPr>
      <w:r>
        <w:br w:type="page"/>
      </w:r>
    </w:p>
    <w:p w:rsidR="00F9526A" w:rsidRPr="003A38BA" w:rsidRDefault="00F9526A" w:rsidP="007C21AF">
      <w:pPr>
        <w:pStyle w:val="Heading1"/>
        <w:numPr>
          <w:ilvl w:val="0"/>
          <w:numId w:val="5"/>
        </w:numPr>
        <w:jc w:val="both"/>
        <w:rPr>
          <w:sz w:val="24"/>
          <w:szCs w:val="24"/>
        </w:rPr>
      </w:pPr>
      <w:bookmarkStart w:id="7" w:name="_Toc2194156"/>
      <w:bookmarkStart w:id="8" w:name="_Toc12478620"/>
      <w:r>
        <w:rPr>
          <w:sz w:val="24"/>
        </w:rPr>
        <w:lastRenderedPageBreak/>
        <w:t>Aspetos gerais</w:t>
      </w:r>
      <w:bookmarkEnd w:id="7"/>
      <w:bookmarkEnd w:id="8"/>
    </w:p>
    <w:p w:rsidR="00532584" w:rsidRPr="003A38BA" w:rsidRDefault="00F9526A" w:rsidP="007C21AF">
      <w:pPr>
        <w:spacing w:after="120"/>
        <w:ind w:left="0" w:firstLine="0"/>
        <w:jc w:val="both"/>
      </w:pPr>
      <w:r>
        <w:t>As «Condições técnicas de ensaio para sistemas de marcação (TP M)» contêm os requisitos aplicáveis aos ensaios de aptidão de marcações permanentes (brancas) e temporárias (amarelas) produzidas por sistemas de marcação. As regulamentações das presentes TP M têm por base a norma de ensaio DIN EN 13197 e precisam a referida norma em determinados pontos ou estabelecem que parâmetros, dos possíveis segundo a norma DIN EN 13197, são aplicáveis na Alemanha. Sempre que nas respetivas secções não se estabeleça uma distinção, as regulamentações são aplicáveis tanto às marcações permanentes como às temporárias.</w:t>
      </w:r>
    </w:p>
    <w:p w:rsidR="00A2285F" w:rsidRPr="003A38BA" w:rsidRDefault="00A2285F" w:rsidP="007C21AF">
      <w:pPr>
        <w:spacing w:after="120"/>
        <w:ind w:left="0" w:firstLine="0"/>
        <w:jc w:val="both"/>
      </w:pPr>
      <w:r>
        <w:t xml:space="preserve">As substâncias de marcação e os coformulantes utilizados para as marcações devem cumprir as «Condições técnicas de fornecimento para materiais de marcação (TL M)». As marcações devem cumprir ainda as «Condições contratuais técnicas adicionais e diretrizes para marcações rodoviárias (ZTV M)». </w:t>
      </w:r>
    </w:p>
    <w:p w:rsidR="00BE1620" w:rsidRPr="003A38BA" w:rsidRDefault="00BE1620" w:rsidP="007C21AF">
      <w:pPr>
        <w:spacing w:after="120"/>
        <w:ind w:left="0" w:firstLine="0"/>
        <w:jc w:val="both"/>
      </w:pPr>
      <w:r>
        <w:t>Os materiais de construção e as misturas de materiais de construção para marcações rodoviárias fabricados e/ou comercializados legalmente noutro Estado-Membro da União Europeia ou na Turquia, ou fabricados legalmente num Estado da EFTA que seja signatário do Acordo sobre o EEE, são autorizados na Alemanha, se garantirem permanentemente um nível de proteção que corresponda ao nível definido nas «Condições contratuais técnicas adicionais e diretrizes para marcações rodoviárias (ZTV M)» e nas «Condições técnicas de fornecimento para materiais de marcação (TL M)».</w:t>
      </w:r>
    </w:p>
    <w:p w:rsidR="002A210D" w:rsidRPr="003A38BA" w:rsidRDefault="002A210D" w:rsidP="007C21AF">
      <w:pPr>
        <w:pStyle w:val="Heading1"/>
        <w:numPr>
          <w:ilvl w:val="0"/>
          <w:numId w:val="5"/>
        </w:numPr>
        <w:jc w:val="both"/>
        <w:rPr>
          <w:sz w:val="24"/>
          <w:szCs w:val="24"/>
        </w:rPr>
      </w:pPr>
      <w:bookmarkStart w:id="9" w:name="_Toc2194157"/>
      <w:bookmarkStart w:id="10" w:name="_Toc12478621"/>
      <w:r>
        <w:rPr>
          <w:sz w:val="24"/>
        </w:rPr>
        <w:t>Referências normativas</w:t>
      </w:r>
      <w:bookmarkEnd w:id="9"/>
      <w:bookmarkEnd w:id="10"/>
    </w:p>
    <w:p w:rsidR="002A210D" w:rsidRPr="003A38BA" w:rsidRDefault="002A210D" w:rsidP="007C21AF">
      <w:pPr>
        <w:ind w:left="0" w:firstLine="0"/>
        <w:jc w:val="both"/>
      </w:pPr>
      <w:r>
        <w:t xml:space="preserve">Os documentos citados de seguida são necessários para a aplicação do presente documento. No caso de referências datadas, apenas é válida a edição indicada. No caso de referências não datadas, aplica-se a última edição do documento indicado. </w:t>
      </w:r>
    </w:p>
    <w:p w:rsidR="001E3D7B" w:rsidRPr="003A38BA" w:rsidRDefault="001E3D7B" w:rsidP="007C21AF">
      <w:pPr>
        <w:ind w:left="0" w:firstLine="0"/>
        <w:jc w:val="both"/>
        <w:rPr>
          <w:i/>
        </w:rPr>
      </w:pPr>
    </w:p>
    <w:p w:rsidR="00D74A8B" w:rsidRPr="003A38BA" w:rsidRDefault="008D2005" w:rsidP="007C21AF">
      <w:pPr>
        <w:spacing w:after="120"/>
        <w:ind w:left="0" w:firstLine="0"/>
        <w:jc w:val="both"/>
        <w:rPr>
          <w:i/>
        </w:rPr>
      </w:pPr>
      <w:r>
        <w:rPr>
          <w:i/>
        </w:rPr>
        <w:t xml:space="preserve">DIN EN 1423 Materiais para marcação rodoviária – Materiais de projeção – Microesferas de vidro, agregados antiderrapantes e mistura destes dois componentes </w:t>
      </w:r>
    </w:p>
    <w:p w:rsidR="004C32A6" w:rsidRPr="003A38BA" w:rsidRDefault="008D2005" w:rsidP="007C21AF">
      <w:pPr>
        <w:spacing w:after="120"/>
        <w:ind w:left="0" w:firstLine="0"/>
        <w:jc w:val="both"/>
        <w:rPr>
          <w:i/>
        </w:rPr>
      </w:pPr>
      <w:r>
        <w:rPr>
          <w:i/>
        </w:rPr>
        <w:t>DIN EN 1424 Materiais para marcação rodoviária – Microesferas de vidro de pré-mistura</w:t>
      </w:r>
    </w:p>
    <w:p w:rsidR="00D74A8B" w:rsidRPr="003A38BA" w:rsidRDefault="008D2005" w:rsidP="007C21AF">
      <w:pPr>
        <w:spacing w:after="120"/>
        <w:ind w:left="0" w:firstLine="0"/>
        <w:jc w:val="both"/>
        <w:rPr>
          <w:i/>
        </w:rPr>
      </w:pPr>
      <w:r>
        <w:rPr>
          <w:i/>
        </w:rPr>
        <w:t>DIN EN 1436 Materiais para marcação rodoviária – Desempenho das marcas aplicadas na estrada</w:t>
      </w:r>
    </w:p>
    <w:p w:rsidR="00D74A8B" w:rsidRPr="003A38BA" w:rsidRDefault="008D2005" w:rsidP="007C21AF">
      <w:pPr>
        <w:spacing w:after="120"/>
        <w:ind w:left="0" w:firstLine="0"/>
        <w:jc w:val="both"/>
        <w:rPr>
          <w:i/>
        </w:rPr>
      </w:pPr>
      <w:r>
        <w:rPr>
          <w:i/>
        </w:rPr>
        <w:t>DIN EN 1790: 2013 Materiais para marcação rodoviária – Marcas rodoviárias prefabricadas</w:t>
      </w:r>
    </w:p>
    <w:p w:rsidR="00D74A8B" w:rsidRPr="003A38BA" w:rsidRDefault="008D2005" w:rsidP="007C21AF">
      <w:pPr>
        <w:spacing w:after="120"/>
        <w:ind w:left="0" w:firstLine="0"/>
        <w:jc w:val="both"/>
        <w:rPr>
          <w:i/>
        </w:rPr>
      </w:pPr>
      <w:r>
        <w:rPr>
          <w:i/>
        </w:rPr>
        <w:t>DIN EN 1871: 2000 Materiais para marcação rodoviária – Tintas de marcação, materiais plásticos de aplicação a frio e materiais plásticos de aplicação a quente – Propriedades físicas</w:t>
      </w:r>
    </w:p>
    <w:p w:rsidR="00D74A8B" w:rsidRPr="003A38BA" w:rsidRDefault="008D2005" w:rsidP="007C21AF">
      <w:pPr>
        <w:spacing w:after="120"/>
        <w:ind w:left="0" w:firstLine="0"/>
        <w:jc w:val="both"/>
        <w:rPr>
          <w:i/>
        </w:rPr>
      </w:pPr>
      <w:r>
        <w:rPr>
          <w:i/>
        </w:rPr>
        <w:t>DIN EN 12802: 2011 Materiais para marcação rodoviária – Métodos laboratoriais para identificação</w:t>
      </w:r>
    </w:p>
    <w:p w:rsidR="001E5919" w:rsidRPr="003A38BA" w:rsidRDefault="007A6695" w:rsidP="007C21AF">
      <w:pPr>
        <w:spacing w:after="120"/>
        <w:ind w:left="0" w:firstLine="0"/>
        <w:jc w:val="both"/>
        <w:rPr>
          <w:i/>
        </w:rPr>
      </w:pPr>
      <w:r>
        <w:rPr>
          <w:i/>
        </w:rPr>
        <w:t>DIN EN 13036-1</w:t>
      </w:r>
      <w:r w:rsidR="009574DB">
        <w:t xml:space="preserve">: </w:t>
      </w:r>
      <w:r>
        <w:rPr>
          <w:i/>
        </w:rPr>
        <w:t>Características superficiais de pavimentos de estradas e de aeroportos. Métodos de ensaio. Parte 1: Medição da profundidade da macrotextura da superfície do pavimento através da técnica volumétrica da mancha</w:t>
      </w:r>
    </w:p>
    <w:p w:rsidR="00D74A8B" w:rsidRPr="003A38BA" w:rsidRDefault="008D2005" w:rsidP="007C21AF">
      <w:pPr>
        <w:spacing w:after="120"/>
        <w:ind w:left="0" w:firstLine="0"/>
        <w:jc w:val="both"/>
        <w:rPr>
          <w:i/>
        </w:rPr>
      </w:pPr>
      <w:r>
        <w:rPr>
          <w:i/>
        </w:rPr>
        <w:t>DIN EN 13197: 2014 Materiais de marcação rodoviária – Simuladores de desgaste</w:t>
      </w:r>
    </w:p>
    <w:p w:rsidR="008D2005" w:rsidRPr="00A37E2F" w:rsidRDefault="008D2005" w:rsidP="007C21AF">
      <w:pPr>
        <w:spacing w:after="120"/>
        <w:ind w:left="0" w:firstLine="0"/>
        <w:jc w:val="both"/>
        <w:rPr>
          <w:bCs/>
          <w:i/>
        </w:rPr>
      </w:pPr>
      <w:r>
        <w:rPr>
          <w:i/>
        </w:rPr>
        <w:t xml:space="preserve">DIN EN ISO 11885: 2009 Qualidade da água. Determinação de elementos selecionados através de espectrometria de emissão ótica com acoplamento indutivo de plasma (ICP-OES) </w:t>
      </w:r>
    </w:p>
    <w:p w:rsidR="008D2005" w:rsidRPr="003A38BA" w:rsidRDefault="008D2005" w:rsidP="007C21AF">
      <w:pPr>
        <w:spacing w:after="120"/>
        <w:ind w:left="0" w:firstLine="0"/>
        <w:jc w:val="both"/>
        <w:rPr>
          <w:i/>
        </w:rPr>
      </w:pPr>
      <w:r>
        <w:rPr>
          <w:i/>
        </w:rPr>
        <w:t>ISO 2811-1: 2011 Tintas e vernizes – Determinação da massa volúmica – Parte 1: Método do picnómetro</w:t>
      </w:r>
    </w:p>
    <w:p w:rsidR="008D2005" w:rsidRPr="003A38BA" w:rsidRDefault="008D2005" w:rsidP="007C21AF">
      <w:pPr>
        <w:spacing w:after="120"/>
        <w:ind w:left="0" w:firstLine="0"/>
        <w:jc w:val="both"/>
        <w:rPr>
          <w:i/>
        </w:rPr>
      </w:pPr>
      <w:r>
        <w:rPr>
          <w:i/>
        </w:rPr>
        <w:t>ISO 11466 Qualidade do solo — Extração dos elementos vestigiais por água-régia</w:t>
      </w:r>
    </w:p>
    <w:p w:rsidR="00D74A8B" w:rsidRPr="003A38BA" w:rsidRDefault="008D2005" w:rsidP="007C21AF">
      <w:pPr>
        <w:spacing w:after="120"/>
        <w:ind w:left="0" w:firstLine="0"/>
        <w:jc w:val="both"/>
        <w:rPr>
          <w:i/>
        </w:rPr>
      </w:pPr>
      <w:r>
        <w:rPr>
          <w:i/>
        </w:rPr>
        <w:t>TL M Condições técnicas de fornecimento para materiais de marcação</w:t>
      </w:r>
    </w:p>
    <w:p w:rsidR="00D74A8B" w:rsidRPr="003A38BA" w:rsidRDefault="00D74A8B" w:rsidP="007C21AF">
      <w:pPr>
        <w:spacing w:after="120"/>
        <w:ind w:left="0" w:firstLine="0"/>
        <w:jc w:val="both"/>
        <w:rPr>
          <w:i/>
        </w:rPr>
      </w:pPr>
      <w:r>
        <w:rPr>
          <w:i/>
        </w:rPr>
        <w:t>ZTV M Condições contratuais técnicas adicionais e diretrizes para marcações rodoviárias</w:t>
      </w:r>
    </w:p>
    <w:p w:rsidR="00FC4346" w:rsidRPr="003A38BA" w:rsidRDefault="00FC4346" w:rsidP="007C21AF">
      <w:pPr>
        <w:pStyle w:val="Heading1"/>
        <w:numPr>
          <w:ilvl w:val="0"/>
          <w:numId w:val="5"/>
        </w:numPr>
        <w:jc w:val="both"/>
        <w:rPr>
          <w:sz w:val="24"/>
          <w:szCs w:val="24"/>
        </w:rPr>
      </w:pPr>
      <w:bookmarkStart w:id="11" w:name="_Toc2194158"/>
      <w:bookmarkStart w:id="12" w:name="_Toc12478622"/>
      <w:r>
        <w:rPr>
          <w:sz w:val="24"/>
        </w:rPr>
        <w:lastRenderedPageBreak/>
        <w:t>Termos</w:t>
      </w:r>
      <w:bookmarkEnd w:id="11"/>
      <w:bookmarkEnd w:id="12"/>
    </w:p>
    <w:p w:rsidR="003000D1" w:rsidRPr="003A38BA" w:rsidRDefault="003000D1" w:rsidP="007C21AF">
      <w:pPr>
        <w:spacing w:after="120"/>
        <w:ind w:left="0" w:firstLine="0"/>
        <w:jc w:val="both"/>
      </w:pPr>
      <w:r>
        <w:t>As definições de substâncias de marcação e coformulantes devem ser retiradas das TL M.</w:t>
      </w:r>
    </w:p>
    <w:p w:rsidR="00FC4346" w:rsidRPr="003A38BA" w:rsidRDefault="005E003F" w:rsidP="007C21AF">
      <w:pPr>
        <w:spacing w:after="120"/>
        <w:ind w:left="0" w:firstLine="0"/>
        <w:jc w:val="both"/>
      </w:pPr>
      <w:r>
        <w:t xml:space="preserve">Os </w:t>
      </w:r>
      <w:r>
        <w:rPr>
          <w:b/>
        </w:rPr>
        <w:t>sistemas de marcação</w:t>
      </w:r>
      <w:r>
        <w:t xml:space="preserve"> são compostos por substâncias de marcação e pelos coformulantes respetivos e são aplicados em provetes especiais para o ensaio de aptidão.</w:t>
      </w:r>
    </w:p>
    <w:p w:rsidR="009E5CB3" w:rsidRPr="003A38BA" w:rsidRDefault="008D2830" w:rsidP="007C21AF">
      <w:pPr>
        <w:spacing w:after="120"/>
        <w:ind w:left="0" w:firstLine="0"/>
        <w:jc w:val="both"/>
      </w:pPr>
      <w:r>
        <w:t xml:space="preserve">O </w:t>
      </w:r>
      <w:r>
        <w:rPr>
          <w:b/>
        </w:rPr>
        <w:t>ensaio de aptidão</w:t>
      </w:r>
      <w:r>
        <w:t xml:space="preserve"> de sistemas de marcação é composto por um </w:t>
      </w:r>
      <w:r>
        <w:rPr>
          <w:b/>
        </w:rPr>
        <w:t>ensaio de carga</w:t>
      </w:r>
      <w:r>
        <w:t xml:space="preserve"> na mesa giratória e por um </w:t>
      </w:r>
      <w:r>
        <w:rPr>
          <w:b/>
        </w:rPr>
        <w:t xml:space="preserve">ensaio físico-químico </w:t>
      </w:r>
      <w:r>
        <w:t>(ensaio de protótipo).</w:t>
      </w:r>
    </w:p>
    <w:p w:rsidR="00C427EB" w:rsidRPr="003A38BA" w:rsidRDefault="00C427EB" w:rsidP="007C21AF">
      <w:pPr>
        <w:spacing w:after="120"/>
        <w:ind w:left="0" w:firstLine="0"/>
        <w:jc w:val="both"/>
      </w:pPr>
      <w:r>
        <w:t xml:space="preserve">O </w:t>
      </w:r>
      <w:r>
        <w:rPr>
          <w:b/>
        </w:rPr>
        <w:t>requerente</w:t>
      </w:r>
      <w:r>
        <w:t xml:space="preserve"> é aquele que requer o ensaio de aptidão e que é indicado como contacto responsável perante o laboratório de ensaio acreditado.</w:t>
      </w:r>
    </w:p>
    <w:p w:rsidR="00C427EB" w:rsidRPr="003A38BA" w:rsidRDefault="00C427EB" w:rsidP="007C21AF">
      <w:pPr>
        <w:spacing w:after="120"/>
        <w:ind w:left="0" w:firstLine="0"/>
        <w:jc w:val="both"/>
      </w:pPr>
      <w:r>
        <w:t xml:space="preserve">O </w:t>
      </w:r>
      <w:r>
        <w:rPr>
          <w:b/>
        </w:rPr>
        <w:t xml:space="preserve">produtor da substância </w:t>
      </w:r>
      <w:r>
        <w:t>é aquele que produz e comercializa a substância de marcação.</w:t>
      </w:r>
    </w:p>
    <w:p w:rsidR="00C427EB" w:rsidRPr="003A38BA" w:rsidRDefault="00C427EB" w:rsidP="007C21AF">
      <w:pPr>
        <w:spacing w:after="120"/>
        <w:ind w:left="0" w:firstLine="0"/>
        <w:jc w:val="both"/>
      </w:pPr>
      <w:r>
        <w:t xml:space="preserve">O </w:t>
      </w:r>
      <w:r>
        <w:rPr>
          <w:b/>
        </w:rPr>
        <w:t>produtor dos materiais de projeção</w:t>
      </w:r>
      <w:r>
        <w:t xml:space="preserve"> é aquele que produz e comercializa os materiais de projeção.</w:t>
      </w:r>
    </w:p>
    <w:p w:rsidR="00C427EB" w:rsidRPr="003A38BA" w:rsidRDefault="009A49D5" w:rsidP="007C21AF">
      <w:pPr>
        <w:spacing w:after="120"/>
        <w:ind w:left="0" w:firstLine="0"/>
        <w:jc w:val="both"/>
      </w:pPr>
      <w:r>
        <w:t xml:space="preserve">No caso de serem cumpridos os requisitos mínimos nacionais e europeus, é emitido um </w:t>
      </w:r>
      <w:r>
        <w:rPr>
          <w:b/>
        </w:rPr>
        <w:t>certificado de ensaio</w:t>
      </w:r>
      <w:r>
        <w:t>.</w:t>
      </w:r>
    </w:p>
    <w:p w:rsidR="00C427EB" w:rsidRPr="003A38BA" w:rsidRDefault="009A49D5" w:rsidP="007C21AF">
      <w:pPr>
        <w:spacing w:after="120"/>
        <w:ind w:left="0" w:firstLine="0"/>
        <w:jc w:val="both"/>
      </w:pPr>
      <w:r>
        <w:t xml:space="preserve">No caso de serem cumpridos os requisitos mínimos europeus, é emitida uma </w:t>
      </w:r>
      <w:r>
        <w:rPr>
          <w:b/>
        </w:rPr>
        <w:t>declaração do ensaio</w:t>
      </w:r>
      <w:r>
        <w:t>.</w:t>
      </w:r>
    </w:p>
    <w:p w:rsidR="00D518B6" w:rsidRPr="003A38BA" w:rsidRDefault="007B7AA0" w:rsidP="007C21AF">
      <w:pPr>
        <w:spacing w:after="120"/>
        <w:ind w:left="0" w:firstLine="0"/>
        <w:jc w:val="both"/>
      </w:pPr>
      <w:r>
        <w:t>A abreviatura</w:t>
      </w:r>
      <w:r>
        <w:rPr>
          <w:b/>
        </w:rPr>
        <w:t xml:space="preserve"> </w:t>
      </w:r>
      <w:r>
        <w:rPr>
          <w:b/>
          <w:i/>
        </w:rPr>
        <w:t>NPD (no performance determined)</w:t>
      </w:r>
      <w:r>
        <w:t xml:space="preserve"> significa que não é declarado qualquer desempenho para a respetiva propriedade do sistema de marcação.</w:t>
      </w:r>
    </w:p>
    <w:p w:rsidR="000B6380" w:rsidRPr="003A38BA" w:rsidRDefault="00EC3056" w:rsidP="007C21AF">
      <w:pPr>
        <w:pStyle w:val="Heading1"/>
        <w:numPr>
          <w:ilvl w:val="0"/>
          <w:numId w:val="5"/>
        </w:numPr>
        <w:jc w:val="both"/>
        <w:rPr>
          <w:sz w:val="24"/>
          <w:szCs w:val="24"/>
        </w:rPr>
      </w:pPr>
      <w:bookmarkStart w:id="13" w:name="_Toc2194159"/>
      <w:bookmarkStart w:id="14" w:name="_Toc12478623"/>
      <w:r>
        <w:rPr>
          <w:sz w:val="24"/>
        </w:rPr>
        <w:t>Ensaios de carga de sistemas de marcação</w:t>
      </w:r>
      <w:bookmarkEnd w:id="13"/>
      <w:bookmarkEnd w:id="14"/>
    </w:p>
    <w:p w:rsidR="00B057A1" w:rsidRPr="003A38BA" w:rsidRDefault="004C2F96" w:rsidP="007C21AF">
      <w:pPr>
        <w:pStyle w:val="Heading1"/>
        <w:numPr>
          <w:ilvl w:val="1"/>
          <w:numId w:val="5"/>
        </w:numPr>
        <w:jc w:val="both"/>
        <w:rPr>
          <w:rFonts w:ascii="Arial" w:hAnsi="Arial" w:cs="Arial"/>
          <w:sz w:val="24"/>
          <w:szCs w:val="24"/>
        </w:rPr>
      </w:pPr>
      <w:bookmarkStart w:id="15" w:name="_Toc2194160"/>
      <w:bookmarkStart w:id="16" w:name="_Toc12478624"/>
      <w:r>
        <w:rPr>
          <w:sz w:val="24"/>
        </w:rPr>
        <w:t>Mesa giratória</w:t>
      </w:r>
      <w:bookmarkEnd w:id="15"/>
      <w:bookmarkEnd w:id="16"/>
    </w:p>
    <w:p w:rsidR="00F9526A" w:rsidRPr="003A38BA" w:rsidRDefault="00F9526A" w:rsidP="007C21AF">
      <w:pPr>
        <w:spacing w:after="120"/>
        <w:ind w:left="0" w:firstLine="0"/>
        <w:jc w:val="both"/>
      </w:pPr>
      <w:r>
        <w:t>A mesa giratória consiste numa plataforma giratória disposta na horizontal com um diâmetro externo de 6,4 m. A velocidade periférica é continuamente regulável até um máximo de 120 km/h. A rotação pode ser realizada em ambos os sentidos. A borda da plataforma giratória está equipada com caixas dispostas radialmente para a fixação dos provetes. As medidas das caixas resultam da dimensão dos provetes (cf. secção 4.1.2.). A plataforma giratória encontra-se numa sala totalmente climatizada, que pode ser fechada.</w:t>
      </w:r>
    </w:p>
    <w:p w:rsidR="004C2F96" w:rsidRPr="003A38BA" w:rsidRDefault="004C2F96" w:rsidP="007C21AF">
      <w:pPr>
        <w:pStyle w:val="Heading1"/>
        <w:numPr>
          <w:ilvl w:val="2"/>
          <w:numId w:val="5"/>
        </w:numPr>
        <w:ind w:left="1440" w:hanging="720"/>
        <w:jc w:val="both"/>
        <w:rPr>
          <w:rFonts w:ascii="Arial" w:hAnsi="Arial" w:cs="Arial"/>
          <w:sz w:val="24"/>
          <w:szCs w:val="24"/>
        </w:rPr>
      </w:pPr>
      <w:bookmarkStart w:id="17" w:name="_Toc2194161"/>
      <w:bookmarkStart w:id="18" w:name="_Toc12478625"/>
      <w:r>
        <w:rPr>
          <w:sz w:val="24"/>
        </w:rPr>
        <w:t>Rodas</w:t>
      </w:r>
      <w:bookmarkEnd w:id="17"/>
      <w:bookmarkEnd w:id="18"/>
    </w:p>
    <w:p w:rsidR="00B2761F" w:rsidRPr="003A38BA" w:rsidRDefault="00B2761F" w:rsidP="007C21AF">
      <w:pPr>
        <w:spacing w:after="120"/>
        <w:ind w:left="0" w:firstLine="0"/>
        <w:jc w:val="both"/>
      </w:pPr>
      <w:r>
        <w:t>A carga dos provetes é produzida pela rolagem repetida de um número determinado de rodas. O número das rodas, o tipo dos pneus, a carga das rodas, a pressão dos pneus, o sopé e o escorregamento têm influência na carga dos provetes.</w:t>
      </w:r>
    </w:p>
    <w:p w:rsidR="004F79C9" w:rsidRPr="003A38BA" w:rsidRDefault="00637513" w:rsidP="007C21AF">
      <w:pPr>
        <w:spacing w:after="120"/>
        <w:ind w:left="0" w:firstLine="0"/>
        <w:jc w:val="both"/>
      </w:pPr>
      <w:r>
        <w:t>A carga é essencialmente realizada em conformidade com a norma DIN EN 13197 com dois pares de rodas. As rodas de um par de rodas estão dispostas frente a frente. Sempre que seja possível alcançar resultados comparáveis com quatro pares de rodas, é igualmente permitida a realização do ensaio com quatro pares de rodas, ao invés de com dois pares de rodas. É possível pressupor uma comparabilidade dos resultados, se a visibilidade diurna e noturna não apresentar um desvio superior a 15 %, no máximo, e a aderência não apresentar um desvio superior a ± 5 unidades SRT entre si.</w:t>
      </w:r>
    </w:p>
    <w:p w:rsidR="0093336E" w:rsidRPr="003A38BA" w:rsidRDefault="002210B7" w:rsidP="007C21AF">
      <w:pPr>
        <w:spacing w:after="120"/>
        <w:ind w:left="0" w:firstLine="0"/>
        <w:jc w:val="both"/>
      </w:pPr>
      <w:r>
        <w:t xml:space="preserve">Cada ensaio tem início com novos pneus. São utilizados pneus de veículos de passageiros disponíveis comercialmente. No mínimo, os pneus devem ter as dimensões 205/60, por forma a obter uma largura de rolagem mínima de 150 mm. Sempre que o tipo de pneu utilizado já não possa continuar a ser utilizado, devem ser realizados testes de avaliação comparativa, para garantir que são alcançados resultados comparáveis com o novo tipo de pneu. Para a avaliação da comparabilidade, são aplicáveis os mesmos limites do que para a aplicação de quatro pares de rodas. </w:t>
      </w:r>
    </w:p>
    <w:p w:rsidR="007B668F" w:rsidRPr="003A38BA" w:rsidRDefault="003000D1" w:rsidP="0023536B">
      <w:pPr>
        <w:keepNext/>
        <w:spacing w:after="120"/>
        <w:ind w:left="0" w:firstLine="0"/>
        <w:jc w:val="both"/>
      </w:pPr>
      <w:r>
        <w:lastRenderedPageBreak/>
        <w:t xml:space="preserve">A mesa giratória deve cumprir as seguintes condições técnicas: </w:t>
      </w:r>
    </w:p>
    <w:p w:rsidR="00F9526A" w:rsidRPr="003A38BA" w:rsidRDefault="00886145" w:rsidP="007C21AF">
      <w:pPr>
        <w:spacing w:after="120"/>
        <w:ind w:left="0" w:firstLine="0"/>
        <w:jc w:val="both"/>
      </w:pPr>
      <w:r>
        <w:t>A carga da roda pode situar-se entre 0 N e 4 000 N. A pressão dos pneus pode situar-se entre 0 MPa e 0,3 MPa. As condições para o ensaio de aptidão de sistemas de marcação são indicadas no quadro 3. O sistema de fixação das rodas deve permitir a configuração do escorregamento com uma tolerância de ± 10‘ e do sopé com uma tolerância de ± 1. Antes do início de um novo teste, deve controlar-se a configuração do escorregamento e do sopé, bem como a pressão dos pneus. Após cada interrupção prolongada do teste, devem controlar-se os parâmetros e, se necessário, corrigi-los.</w:t>
      </w:r>
    </w:p>
    <w:p w:rsidR="00C145F2" w:rsidRPr="003A38BA" w:rsidRDefault="004C2F96" w:rsidP="007C21AF">
      <w:pPr>
        <w:pStyle w:val="Heading1"/>
        <w:numPr>
          <w:ilvl w:val="2"/>
          <w:numId w:val="5"/>
        </w:numPr>
        <w:ind w:left="1440" w:hanging="720"/>
        <w:jc w:val="both"/>
        <w:rPr>
          <w:rFonts w:ascii="Arial" w:hAnsi="Arial" w:cs="Arial"/>
          <w:sz w:val="24"/>
          <w:szCs w:val="24"/>
        </w:rPr>
      </w:pPr>
      <w:bookmarkStart w:id="19" w:name="_Toc2194162"/>
      <w:bookmarkStart w:id="20" w:name="_Toc12478626"/>
      <w:r>
        <w:rPr>
          <w:sz w:val="24"/>
        </w:rPr>
        <w:t>Provetes</w:t>
      </w:r>
      <w:bookmarkEnd w:id="19"/>
      <w:bookmarkEnd w:id="20"/>
    </w:p>
    <w:p w:rsidR="008E7BF5" w:rsidRPr="003A38BA" w:rsidRDefault="0029168C" w:rsidP="007C21AF">
      <w:pPr>
        <w:spacing w:after="120"/>
        <w:ind w:left="0" w:firstLine="0"/>
        <w:jc w:val="both"/>
      </w:pPr>
      <w:r>
        <w:t xml:space="preserve">Os sistemas de marcação a submeter a ensaio são aplicados em provetes especiais. Os provetes devem dispor de uma rigidez adequada, para que o estado da superfície não se altere durante o ensaio e por forma a permitir o seu manuseamento a temperaturas até 50 °C sem deformações ou ruturas aparentes. A produção dos provetes é realizada com recurso a material betuminoso (por exemplo, mástique asfáltico). A rugosidade da superfície dos provetes é determinada em conformidade com o método descrito na norma DIN EN 13036-1. A rugosidade corresponde a ≤ 0,6 mm e à classe RG 1 da norma DIN EN 13197. A dimensão dos provetes é a seguinte: </w:t>
      </w:r>
    </w:p>
    <w:p w:rsidR="008E7BF5" w:rsidRPr="003A38BA" w:rsidRDefault="008E7BF5" w:rsidP="007C21AF">
      <w:pPr>
        <w:ind w:left="2160" w:hanging="744"/>
        <w:jc w:val="both"/>
      </w:pPr>
      <w:r>
        <w:t>Comprimento:</w:t>
      </w:r>
      <w:r>
        <w:tab/>
        <w:t>397 mm (± 2 mm)</w:t>
      </w:r>
    </w:p>
    <w:p w:rsidR="008E7BF5" w:rsidRPr="003A38BA" w:rsidRDefault="008E7BF5" w:rsidP="007C21AF">
      <w:pPr>
        <w:ind w:left="2160" w:hanging="744"/>
        <w:jc w:val="both"/>
      </w:pPr>
      <w:r>
        <w:t>Largura:</w:t>
      </w:r>
      <w:r>
        <w:tab/>
      </w:r>
      <w:r w:rsidR="00831389">
        <w:tab/>
      </w:r>
      <w:r>
        <w:t>198 mm (± 2 mm)</w:t>
      </w:r>
    </w:p>
    <w:p w:rsidR="00DA60F8" w:rsidRPr="003A38BA" w:rsidRDefault="007B668F" w:rsidP="007C21AF">
      <w:pPr>
        <w:ind w:left="2160" w:hanging="744"/>
        <w:jc w:val="both"/>
      </w:pPr>
      <w:r>
        <w:t>Espessura:</w:t>
      </w:r>
      <w:r>
        <w:tab/>
        <w:t>48 mm (± 2 mm).</w:t>
      </w:r>
    </w:p>
    <w:p w:rsidR="008E7BF5" w:rsidRPr="003A38BA" w:rsidRDefault="008E7BF5" w:rsidP="007C21AF">
      <w:pPr>
        <w:ind w:left="708" w:firstLine="708"/>
        <w:jc w:val="both"/>
      </w:pPr>
    </w:p>
    <w:p w:rsidR="00C145F2" w:rsidRPr="003A38BA" w:rsidRDefault="00C145F2" w:rsidP="007C21AF">
      <w:pPr>
        <w:spacing w:after="120"/>
        <w:ind w:left="0" w:firstLine="0"/>
        <w:jc w:val="both"/>
      </w:pPr>
      <w:r>
        <w:t>A fixação dos provetes na caixa garante que os lados superiores dos provetes se situem à mesma altura da parte exterior da caixa, para evitar saltos. Deve existir uma superfície de rolagem uniforme sem deslizes nem vibrações e os provetes devem estar imóveis na respetiva caixa.</w:t>
      </w:r>
    </w:p>
    <w:p w:rsidR="00234C80" w:rsidRPr="003A38BA" w:rsidRDefault="00234C80" w:rsidP="007C21AF">
      <w:pPr>
        <w:pStyle w:val="Heading1"/>
        <w:numPr>
          <w:ilvl w:val="2"/>
          <w:numId w:val="5"/>
        </w:numPr>
        <w:ind w:left="1440" w:hanging="720"/>
        <w:jc w:val="both"/>
        <w:rPr>
          <w:sz w:val="24"/>
          <w:szCs w:val="24"/>
        </w:rPr>
      </w:pPr>
      <w:bookmarkStart w:id="21" w:name="_Toc2194163"/>
      <w:bookmarkStart w:id="22" w:name="_Toc12478627"/>
      <w:r>
        <w:rPr>
          <w:sz w:val="24"/>
        </w:rPr>
        <w:t>Sistema de limpeza</w:t>
      </w:r>
      <w:bookmarkEnd w:id="21"/>
      <w:bookmarkEnd w:id="22"/>
    </w:p>
    <w:p w:rsidR="00234C80" w:rsidRPr="003A38BA" w:rsidRDefault="00234C80" w:rsidP="007C21AF">
      <w:pPr>
        <w:spacing w:after="120"/>
        <w:ind w:left="0" w:firstLine="0"/>
        <w:jc w:val="both"/>
      </w:pPr>
      <w:r>
        <w:t>Durante o ensaio, as partículas soltas são removidas da plataforma giratória com recurso a ar comprimido, por forma a evitar uma influência mútua da amostra.</w:t>
      </w:r>
    </w:p>
    <w:p w:rsidR="00921E13" w:rsidRPr="003A38BA" w:rsidRDefault="00921E13" w:rsidP="007C21AF">
      <w:pPr>
        <w:spacing w:after="120"/>
        <w:ind w:left="0" w:firstLine="0"/>
        <w:jc w:val="both"/>
      </w:pPr>
      <w:r>
        <w:t>Adicionalmente, os pneus podem ser arrefecidos durante o ensaio com água pulverizada. O arrefecimento dos pneus é sempre necessário para termoplásticos.</w:t>
      </w:r>
    </w:p>
    <w:p w:rsidR="004C2F96" w:rsidRPr="003A38BA" w:rsidRDefault="000D70C0" w:rsidP="007C21AF">
      <w:pPr>
        <w:pStyle w:val="Heading1"/>
        <w:numPr>
          <w:ilvl w:val="1"/>
          <w:numId w:val="5"/>
        </w:numPr>
        <w:jc w:val="both"/>
        <w:rPr>
          <w:sz w:val="24"/>
          <w:szCs w:val="24"/>
        </w:rPr>
      </w:pPr>
      <w:bookmarkStart w:id="23" w:name="_Toc2194164"/>
      <w:bookmarkStart w:id="24" w:name="_Toc12478628"/>
      <w:r>
        <w:rPr>
          <w:sz w:val="24"/>
        </w:rPr>
        <w:t>Preparação dos provetes</w:t>
      </w:r>
      <w:bookmarkEnd w:id="23"/>
      <w:bookmarkEnd w:id="24"/>
    </w:p>
    <w:p w:rsidR="000D70C0" w:rsidRPr="003A38BA" w:rsidRDefault="000D70C0" w:rsidP="007C21AF">
      <w:pPr>
        <w:pStyle w:val="Heading1"/>
        <w:numPr>
          <w:ilvl w:val="2"/>
          <w:numId w:val="5"/>
        </w:numPr>
        <w:ind w:left="1440" w:hanging="720"/>
        <w:jc w:val="both"/>
        <w:rPr>
          <w:sz w:val="24"/>
          <w:szCs w:val="24"/>
        </w:rPr>
      </w:pPr>
      <w:bookmarkStart w:id="25" w:name="_Toc2194165"/>
      <w:bookmarkStart w:id="26" w:name="_Toc12478629"/>
      <w:r>
        <w:rPr>
          <w:sz w:val="24"/>
        </w:rPr>
        <w:t>Aplicação</w:t>
      </w:r>
      <w:bookmarkEnd w:id="25"/>
      <w:bookmarkEnd w:id="26"/>
    </w:p>
    <w:p w:rsidR="00F9526A" w:rsidRPr="003A38BA" w:rsidRDefault="00232406" w:rsidP="007C21AF">
      <w:pPr>
        <w:spacing w:after="120"/>
        <w:ind w:left="0" w:firstLine="0"/>
        <w:jc w:val="both"/>
      </w:pPr>
      <w:r>
        <w:t>Existem vários fatores no âmbito da aplicação que afetam o ensaio, principalmente o tipo da aplicação e a quantidade aplicada, o sentido da aplicação e as condições de secagem ou endurecimento.</w:t>
      </w:r>
    </w:p>
    <w:p w:rsidR="008A7AD1" w:rsidRPr="003A38BA" w:rsidRDefault="008A7AD1" w:rsidP="007C21AF">
      <w:pPr>
        <w:spacing w:after="120"/>
        <w:ind w:left="0" w:firstLine="0"/>
        <w:jc w:val="both"/>
      </w:pPr>
      <w:r>
        <w:t>Essencialmente, o sistema de marcação é aplicado da forma prevista para a aplicação na prática. O requerente deve indicar todos os dados necessários para a aplicação, incluindo todos os componentes necessários e respetivas quantidades, bem como o tipo da aplicação. O método de aplicação (designação pormenorizada nos termos do quadro 1) e todos os dados determinados durante a aplicação são documentados no registo da aplicação. A aplicação é realizada sob a supervisão de um laboratório de ensaio acreditado ou por uma entidade autorizada pelo laboratório de ensaio acreditado. Se pretendido, o requerente pode estar presente na aplicação.</w:t>
      </w:r>
    </w:p>
    <w:p w:rsidR="00921E13" w:rsidRPr="003A38BA" w:rsidRDefault="00921E13" w:rsidP="007C21AF">
      <w:pPr>
        <w:spacing w:after="120"/>
        <w:ind w:left="0" w:firstLine="0"/>
        <w:jc w:val="both"/>
      </w:pPr>
      <w:r>
        <w:t xml:space="preserve">Estudos revelaram que os sistemas reativos, constituídos por dois ou três componentes (rácio de fórmula 98:2 ou 1:1), alcançam resultados comparáveis no que se refere às propriedades técnicas de circulação e podem ser aplicados, tendo em consideração as indicações do produtor, com qualquer um dos dois rácios de fórmula. O rácio de fórmula não é indicado no certificado de ensaio, se o produtor da substância comprovar por escrito, antes do ensaio, que o material de marcação pode ser </w:t>
      </w:r>
      <w:r>
        <w:lastRenderedPageBreak/>
        <w:t xml:space="preserve">aplicado sem diferenças na composição química, tanto com um rácio de fórmula de 98:2, como com um rácio de fórmula de 1:1. O componente 98 do material de dois componentes corresponde à mistura dos componentes A e B do material de três componentes com um rácio de mistura (consoante o rácio de fórmula) de 1:1. Estão isentos do que precede os sistemas com pérolas refletoras endurecidas por indução (as chamadas pérolas reativas). </w:t>
      </w:r>
    </w:p>
    <w:p w:rsidR="000D70C0" w:rsidRPr="003A38BA" w:rsidRDefault="003E3497" w:rsidP="007C21AF">
      <w:pPr>
        <w:pStyle w:val="Subtitle"/>
        <w:ind w:left="1440" w:hanging="1440"/>
        <w:jc w:val="both"/>
        <w:rPr>
          <w:spacing w:val="0"/>
          <w:sz w:val="22"/>
          <w:szCs w:val="22"/>
        </w:rPr>
      </w:pPr>
      <w:r>
        <w:rPr>
          <w:spacing w:val="0"/>
          <w:sz w:val="22"/>
        </w:rPr>
        <w:t>Quadro 1:</w:t>
      </w:r>
      <w:r>
        <w:tab/>
      </w:r>
      <w:r>
        <w:rPr>
          <w:spacing w:val="0"/>
          <w:sz w:val="22"/>
        </w:rPr>
        <w:t>Designação simplificada das técnicas de aplicação consoante o grupo de substâncias utilizado</w:t>
      </w:r>
    </w:p>
    <w:tbl>
      <w:tblPr>
        <w:tblW w:w="922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5"/>
        <w:gridCol w:w="5103"/>
        <w:gridCol w:w="1701"/>
      </w:tblGrid>
      <w:tr w:rsidR="00D82DF7" w:rsidRPr="003A38BA" w:rsidTr="003E3497">
        <w:tc>
          <w:tcPr>
            <w:tcW w:w="2425" w:type="dxa"/>
            <w:shd w:val="clear" w:color="000000" w:fill="D8D8D8"/>
            <w:vAlign w:val="center"/>
            <w:hideMark/>
          </w:tcPr>
          <w:p w:rsidR="00D82DF7" w:rsidRPr="003A38BA" w:rsidRDefault="00706B86" w:rsidP="00D82DF7">
            <w:pPr>
              <w:ind w:left="0" w:firstLine="0"/>
              <w:jc w:val="center"/>
              <w:rPr>
                <w:rFonts w:ascii="Calibri" w:eastAsia="Times New Roman" w:hAnsi="Calibri" w:cs="Times New Roman"/>
                <w:b/>
                <w:bCs/>
                <w:color w:val="000000"/>
                <w:sz w:val="20"/>
                <w:szCs w:val="20"/>
              </w:rPr>
            </w:pPr>
            <w:r>
              <w:rPr>
                <w:rFonts w:ascii="Calibri" w:hAnsi="Calibri"/>
                <w:b/>
                <w:color w:val="000000"/>
                <w:sz w:val="20"/>
              </w:rPr>
              <w:t xml:space="preserve">Designação simplificada das técnicas de aplicação </w:t>
            </w:r>
          </w:p>
        </w:tc>
        <w:tc>
          <w:tcPr>
            <w:tcW w:w="5103" w:type="dxa"/>
            <w:shd w:val="clear" w:color="000000" w:fill="D8D8D8"/>
            <w:noWrap/>
            <w:vAlign w:val="center"/>
            <w:hideMark/>
          </w:tcPr>
          <w:p w:rsidR="00D82DF7" w:rsidRPr="003A38BA" w:rsidRDefault="00706B86" w:rsidP="00D82DF7">
            <w:pPr>
              <w:ind w:left="0" w:firstLine="0"/>
              <w:jc w:val="center"/>
              <w:rPr>
                <w:rFonts w:ascii="Calibri" w:eastAsia="Times New Roman" w:hAnsi="Calibri" w:cs="Times New Roman"/>
                <w:b/>
                <w:bCs/>
                <w:color w:val="000000"/>
                <w:sz w:val="20"/>
                <w:szCs w:val="20"/>
              </w:rPr>
            </w:pPr>
            <w:r>
              <w:rPr>
                <w:rFonts w:ascii="Calibri" w:hAnsi="Calibri"/>
                <w:b/>
                <w:color w:val="000000"/>
                <w:sz w:val="20"/>
              </w:rPr>
              <w:t>Designações pormenorizadas no registo de aplicação</w:t>
            </w:r>
            <w:r>
              <w:rPr>
                <w:rStyle w:val="FootnoteReference"/>
                <w:rFonts w:ascii="Calibri" w:hAnsi="Calibri"/>
                <w:b/>
                <w:color w:val="000000"/>
                <w:sz w:val="20"/>
              </w:rPr>
              <w:footnoteReference w:id="1"/>
            </w:r>
          </w:p>
        </w:tc>
        <w:tc>
          <w:tcPr>
            <w:tcW w:w="1701" w:type="dxa"/>
            <w:shd w:val="clear" w:color="000000" w:fill="D8D8D8"/>
            <w:noWrap/>
            <w:vAlign w:val="center"/>
            <w:hideMark/>
          </w:tcPr>
          <w:p w:rsidR="00D82DF7" w:rsidRPr="003A38BA" w:rsidRDefault="00D82DF7" w:rsidP="00D82DF7">
            <w:pPr>
              <w:ind w:left="0" w:firstLine="0"/>
              <w:jc w:val="center"/>
              <w:rPr>
                <w:rFonts w:ascii="Calibri" w:eastAsia="Times New Roman" w:hAnsi="Calibri" w:cs="Times New Roman"/>
                <w:b/>
                <w:bCs/>
                <w:color w:val="000000"/>
                <w:sz w:val="20"/>
                <w:szCs w:val="20"/>
              </w:rPr>
            </w:pPr>
            <w:r>
              <w:rPr>
                <w:rFonts w:ascii="Calibri" w:hAnsi="Calibri"/>
                <w:b/>
                <w:color w:val="000000"/>
                <w:sz w:val="20"/>
              </w:rPr>
              <w:t>Grupo de substâncias</w:t>
            </w:r>
          </w:p>
        </w:tc>
      </w:tr>
      <w:tr w:rsidR="00D82DF7" w:rsidRPr="003A38BA" w:rsidTr="003E3497">
        <w:tc>
          <w:tcPr>
            <w:tcW w:w="2425" w:type="dxa"/>
            <w:vMerge w:val="restart"/>
            <w:shd w:val="clear" w:color="auto" w:fill="auto"/>
            <w:noWrap/>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Técnica de pulverização</w:t>
            </w: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i/>
                <w:color w:val="000000"/>
                <w:sz w:val="20"/>
              </w:rPr>
              <w:t>Airless</w:t>
            </w:r>
          </w:p>
        </w:tc>
        <w:tc>
          <w:tcPr>
            <w:tcW w:w="1701" w:type="dxa"/>
            <w:vMerge w:val="restart"/>
            <w:shd w:val="clear" w:color="auto" w:fill="auto"/>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Tintas, plástico de pulverização a frio, termoplástico</w:t>
            </w: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Ar comprimido</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i/>
                <w:color w:val="000000"/>
                <w:sz w:val="20"/>
              </w:rPr>
              <w:t>On-Line</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i/>
                <w:color w:val="000000"/>
                <w:sz w:val="20"/>
              </w:rPr>
              <w:t>Airless</w:t>
            </w:r>
            <w:r>
              <w:rPr>
                <w:rFonts w:ascii="Calibri" w:hAnsi="Calibri"/>
                <w:color w:val="000000"/>
                <w:sz w:val="20"/>
              </w:rPr>
              <w:t xml:space="preserve"> com pérolas mistas</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Termopulverização</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Ar atomizado dependente da via</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Ar atomizado com mistura exterior – endurecedor de líquidos</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restart"/>
            <w:shd w:val="clear" w:color="auto" w:fill="auto"/>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Aglomerados regulares</w:t>
            </w: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i/>
                <w:color w:val="000000"/>
                <w:sz w:val="20"/>
              </w:rPr>
              <w:t>Multi-dot-line</w:t>
            </w:r>
          </w:p>
        </w:tc>
        <w:tc>
          <w:tcPr>
            <w:tcW w:w="1701" w:type="dxa"/>
            <w:vMerge w:val="restart"/>
            <w:shd w:val="clear" w:color="auto" w:fill="auto"/>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Plástico de aplicação a frio, termoplástico</w:t>
            </w: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Pontos regulares</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Termoextrusora</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i/>
                <w:color w:val="000000"/>
                <w:sz w:val="20"/>
              </w:rPr>
              <w:t>Spotflex</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Extrusora/marcador especial</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Sistema Visidot</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restart"/>
            <w:shd w:val="clear" w:color="auto" w:fill="auto"/>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Aglomerados irregulares</w:t>
            </w: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Extrusora</w:t>
            </w:r>
          </w:p>
        </w:tc>
        <w:tc>
          <w:tcPr>
            <w:tcW w:w="1701" w:type="dxa"/>
            <w:vMerge w:val="restart"/>
            <w:shd w:val="clear" w:color="auto" w:fill="auto"/>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Plástico de aplicação a frio, termoplástico</w:t>
            </w: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Molas em chapa de aço em pré-tensão (sistema Feichtner)</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Chapa perfurada</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Cilindro dentado</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Técnica de deslize</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restart"/>
            <w:shd w:val="clear" w:color="auto" w:fill="auto"/>
            <w:noWrap/>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Traço contínuo</w:t>
            </w: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i/>
                <w:color w:val="000000"/>
                <w:sz w:val="20"/>
              </w:rPr>
              <w:t>Screed</w:t>
            </w:r>
          </w:p>
        </w:tc>
        <w:tc>
          <w:tcPr>
            <w:tcW w:w="1701" w:type="dxa"/>
            <w:vMerge w:val="restart"/>
            <w:shd w:val="clear" w:color="auto" w:fill="auto"/>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Plástico de aplicação a frio, termoplástico</w:t>
            </w: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Extrusora</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restart"/>
            <w:shd w:val="clear" w:color="auto" w:fill="auto"/>
            <w:noWrap/>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Traço contínuo com superfície texturizada</w:t>
            </w: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i/>
                <w:color w:val="000000"/>
                <w:sz w:val="20"/>
              </w:rPr>
              <w:t>Screed</w:t>
            </w:r>
            <w:r>
              <w:rPr>
                <w:rFonts w:ascii="Calibri" w:hAnsi="Calibri"/>
                <w:color w:val="000000"/>
                <w:sz w:val="20"/>
              </w:rPr>
              <w:t xml:space="preserve"> + rolo texturizado</w:t>
            </w:r>
          </w:p>
        </w:tc>
        <w:tc>
          <w:tcPr>
            <w:tcW w:w="1701" w:type="dxa"/>
            <w:vMerge w:val="restart"/>
            <w:shd w:val="clear" w:color="auto" w:fill="auto"/>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Plástico de aplicação a frio</w:t>
            </w: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Rolo</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restart"/>
            <w:shd w:val="clear" w:color="auto" w:fill="auto"/>
            <w:noWrap/>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Laminado</w:t>
            </w: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Pré-camada (primário), laminado</w:t>
            </w:r>
          </w:p>
        </w:tc>
        <w:tc>
          <w:tcPr>
            <w:tcW w:w="1701" w:type="dxa"/>
            <w:vMerge w:val="restart"/>
            <w:shd w:val="clear" w:color="auto" w:fill="auto"/>
            <w:noWrap/>
            <w:vAlign w:val="center"/>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Películas</w:t>
            </w: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Sem primário, laminado</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Bitumen plus, laminado</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D82DF7" w:rsidRPr="003A38BA" w:rsidTr="003E3497">
        <w:tc>
          <w:tcPr>
            <w:tcW w:w="2425"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D82DF7" w:rsidRPr="003A38BA" w:rsidRDefault="00D82DF7" w:rsidP="00D82DF7">
            <w:pPr>
              <w:ind w:left="0" w:firstLine="0"/>
              <w:jc w:val="center"/>
              <w:rPr>
                <w:rFonts w:ascii="Calibri" w:eastAsia="Times New Roman" w:hAnsi="Calibri" w:cs="Times New Roman"/>
                <w:color w:val="000000"/>
                <w:sz w:val="20"/>
                <w:szCs w:val="20"/>
              </w:rPr>
            </w:pPr>
            <w:r>
              <w:rPr>
                <w:rFonts w:ascii="Calibri" w:hAnsi="Calibri"/>
                <w:color w:val="000000"/>
                <w:sz w:val="20"/>
              </w:rPr>
              <w:t>Asphalt plus, laminado</w:t>
            </w:r>
          </w:p>
        </w:tc>
        <w:tc>
          <w:tcPr>
            <w:tcW w:w="1701" w:type="dxa"/>
            <w:vMerge/>
            <w:vAlign w:val="center"/>
            <w:hideMark/>
          </w:tcPr>
          <w:p w:rsidR="00D82DF7" w:rsidRPr="003A38BA" w:rsidRDefault="00D82DF7" w:rsidP="00D82DF7">
            <w:pPr>
              <w:ind w:left="0" w:firstLine="0"/>
              <w:rPr>
                <w:rFonts w:ascii="Calibri" w:eastAsia="Times New Roman" w:hAnsi="Calibri" w:cs="Times New Roman"/>
                <w:color w:val="000000"/>
                <w:sz w:val="20"/>
                <w:szCs w:val="20"/>
              </w:rPr>
            </w:pPr>
          </w:p>
        </w:tc>
      </w:tr>
      <w:tr w:rsidR="006E1AD5" w:rsidRPr="003A38BA" w:rsidTr="003E3497">
        <w:tc>
          <w:tcPr>
            <w:tcW w:w="2425" w:type="dxa"/>
            <w:vMerge w:val="restart"/>
            <w:shd w:val="clear" w:color="auto" w:fill="auto"/>
            <w:vAlign w:val="center"/>
            <w:hideMark/>
          </w:tcPr>
          <w:p w:rsidR="006E1AD5" w:rsidRPr="003A38BA" w:rsidRDefault="006E1AD5" w:rsidP="00D82DF7">
            <w:pPr>
              <w:ind w:left="0" w:firstLine="0"/>
              <w:jc w:val="center"/>
              <w:rPr>
                <w:rFonts w:ascii="Calibri" w:eastAsia="Times New Roman" w:hAnsi="Calibri" w:cs="Times New Roman"/>
                <w:color w:val="000000"/>
                <w:sz w:val="20"/>
                <w:szCs w:val="20"/>
              </w:rPr>
            </w:pPr>
            <w:r>
              <w:rPr>
                <w:rFonts w:ascii="Calibri" w:hAnsi="Calibri"/>
                <w:color w:val="000000"/>
                <w:sz w:val="20"/>
              </w:rPr>
              <w:t>Sistema de marcação prefabricado</w:t>
            </w:r>
          </w:p>
        </w:tc>
        <w:tc>
          <w:tcPr>
            <w:tcW w:w="5103" w:type="dxa"/>
            <w:shd w:val="clear" w:color="auto" w:fill="auto"/>
            <w:vAlign w:val="bottom"/>
            <w:hideMark/>
          </w:tcPr>
          <w:p w:rsidR="006E1AD5" w:rsidRPr="003A38BA" w:rsidRDefault="006E1AD5" w:rsidP="00D82DF7">
            <w:pPr>
              <w:ind w:left="0" w:firstLine="0"/>
              <w:jc w:val="center"/>
              <w:rPr>
                <w:rFonts w:ascii="Calibri" w:eastAsia="Times New Roman" w:hAnsi="Calibri" w:cs="Times New Roman"/>
                <w:color w:val="000000"/>
                <w:sz w:val="20"/>
                <w:szCs w:val="20"/>
              </w:rPr>
            </w:pPr>
            <w:r>
              <w:rPr>
                <w:rFonts w:ascii="Calibri" w:hAnsi="Calibri"/>
                <w:color w:val="000000"/>
                <w:sz w:val="20"/>
              </w:rPr>
              <w:t>Sistema de marcação prefabricado fusível com maçarico</w:t>
            </w:r>
          </w:p>
        </w:tc>
        <w:tc>
          <w:tcPr>
            <w:tcW w:w="1701" w:type="dxa"/>
            <w:vMerge w:val="restart"/>
            <w:shd w:val="clear" w:color="auto" w:fill="auto"/>
            <w:noWrap/>
            <w:vAlign w:val="center"/>
            <w:hideMark/>
          </w:tcPr>
          <w:p w:rsidR="006E1AD5" w:rsidRPr="003A38BA" w:rsidRDefault="006E1AD5" w:rsidP="0023536B">
            <w:pPr>
              <w:ind w:left="0" w:firstLine="0"/>
              <w:jc w:val="center"/>
              <w:rPr>
                <w:rFonts w:ascii="Calibri" w:eastAsia="Times New Roman" w:hAnsi="Calibri" w:cs="Times New Roman"/>
                <w:color w:val="000000"/>
                <w:sz w:val="20"/>
                <w:szCs w:val="20"/>
              </w:rPr>
            </w:pPr>
            <w:r>
              <w:rPr>
                <w:rFonts w:ascii="Calibri" w:hAnsi="Calibri"/>
                <w:color w:val="000000"/>
                <w:sz w:val="20"/>
              </w:rPr>
              <w:t>Termoplástico, eventualmente, no futuro, também plástico de aplicação a frio</w:t>
            </w:r>
          </w:p>
        </w:tc>
      </w:tr>
      <w:tr w:rsidR="006E1AD5" w:rsidRPr="003A38BA" w:rsidTr="003E3497">
        <w:tc>
          <w:tcPr>
            <w:tcW w:w="2425" w:type="dxa"/>
            <w:vMerge/>
            <w:vAlign w:val="center"/>
            <w:hideMark/>
          </w:tcPr>
          <w:p w:rsidR="006E1AD5" w:rsidRPr="003A38BA" w:rsidRDefault="006E1AD5" w:rsidP="00D82DF7">
            <w:pPr>
              <w:ind w:left="0" w:firstLine="0"/>
              <w:rPr>
                <w:rFonts w:ascii="Calibri" w:eastAsia="Times New Roman" w:hAnsi="Calibri" w:cs="Times New Roman"/>
                <w:color w:val="000000"/>
                <w:sz w:val="20"/>
                <w:szCs w:val="20"/>
              </w:rPr>
            </w:pPr>
          </w:p>
        </w:tc>
        <w:tc>
          <w:tcPr>
            <w:tcW w:w="5103" w:type="dxa"/>
            <w:shd w:val="clear" w:color="auto" w:fill="auto"/>
            <w:vAlign w:val="bottom"/>
            <w:hideMark/>
          </w:tcPr>
          <w:p w:rsidR="006E1AD5" w:rsidRPr="003A38BA" w:rsidRDefault="006E1AD5" w:rsidP="00D82DF7">
            <w:pPr>
              <w:ind w:left="0" w:firstLine="0"/>
              <w:jc w:val="center"/>
              <w:rPr>
                <w:rFonts w:ascii="Calibri" w:eastAsia="Times New Roman" w:hAnsi="Calibri" w:cs="Times New Roman"/>
                <w:color w:val="000000"/>
                <w:sz w:val="20"/>
                <w:szCs w:val="20"/>
              </w:rPr>
            </w:pPr>
            <w:r>
              <w:rPr>
                <w:rFonts w:ascii="Calibri" w:hAnsi="Calibri"/>
                <w:color w:val="000000"/>
                <w:sz w:val="20"/>
              </w:rPr>
              <w:t>Sistema de marcação prefabricado fusível com maçarico com pontos termoplásticos adicionais</w:t>
            </w:r>
          </w:p>
        </w:tc>
        <w:tc>
          <w:tcPr>
            <w:tcW w:w="1701" w:type="dxa"/>
            <w:vMerge/>
            <w:shd w:val="clear" w:color="auto" w:fill="auto"/>
            <w:vAlign w:val="bottom"/>
            <w:hideMark/>
          </w:tcPr>
          <w:p w:rsidR="006E1AD5" w:rsidRPr="003A38BA" w:rsidRDefault="006E1AD5" w:rsidP="00D82DF7">
            <w:pPr>
              <w:ind w:left="0" w:firstLine="0"/>
              <w:jc w:val="center"/>
              <w:rPr>
                <w:rFonts w:ascii="Calibri" w:eastAsia="Times New Roman" w:hAnsi="Calibri" w:cs="Times New Roman"/>
                <w:color w:val="000000"/>
                <w:sz w:val="20"/>
                <w:szCs w:val="20"/>
              </w:rPr>
            </w:pPr>
          </w:p>
        </w:tc>
      </w:tr>
    </w:tbl>
    <w:p w:rsidR="00EB1650" w:rsidRPr="003A38BA" w:rsidRDefault="00EB1650" w:rsidP="007C21AF">
      <w:pPr>
        <w:spacing w:after="120"/>
        <w:ind w:left="0" w:firstLine="0"/>
        <w:jc w:val="both"/>
      </w:pPr>
      <w:r>
        <w:t xml:space="preserve">Por oposição à designação pormenorizada do método de aplicação no registo de aplicação, são indicadas no certificado de ensaio ou na declaração do ensaio as designações simplificadas das técnicas de aplicação citadas no quadro 1. </w:t>
      </w:r>
    </w:p>
    <w:p w:rsidR="00260651" w:rsidRPr="003A38BA" w:rsidRDefault="00260651" w:rsidP="007C21AF">
      <w:pPr>
        <w:spacing w:after="120"/>
        <w:ind w:left="0" w:firstLine="0"/>
        <w:jc w:val="both"/>
      </w:pPr>
      <w:r>
        <w:t xml:space="preserve">O sistema de marcação é aplicado em quatro provetes. Sempre que seja requerida a determinação do tempo de secagem, é necessário um quinto provete. Um provete serve como amostra de retenção e define o estado «novo». Procede-se à rolagem de três provetes na mesa giratória. </w:t>
      </w:r>
    </w:p>
    <w:p w:rsidR="00B2761F" w:rsidRPr="00A37E2F" w:rsidRDefault="00B2761F" w:rsidP="007C21AF">
      <w:pPr>
        <w:pStyle w:val="Heading1"/>
        <w:numPr>
          <w:ilvl w:val="2"/>
          <w:numId w:val="5"/>
        </w:numPr>
        <w:ind w:left="1440" w:hanging="720"/>
        <w:jc w:val="both"/>
        <w:rPr>
          <w:rFonts w:asciiTheme="minorHAnsi" w:hAnsiTheme="minorHAnsi"/>
          <w:sz w:val="24"/>
          <w:szCs w:val="24"/>
        </w:rPr>
      </w:pPr>
      <w:bookmarkStart w:id="27" w:name="_Toc2194166"/>
      <w:bookmarkStart w:id="28" w:name="_Toc12478630"/>
      <w:r>
        <w:rPr>
          <w:rFonts w:asciiTheme="minorHAnsi" w:hAnsiTheme="minorHAnsi"/>
          <w:sz w:val="24"/>
        </w:rPr>
        <w:lastRenderedPageBreak/>
        <w:t>Medições relacionadas com a aplicação</w:t>
      </w:r>
      <w:bookmarkEnd w:id="27"/>
      <w:bookmarkEnd w:id="28"/>
    </w:p>
    <w:p w:rsidR="000D70C0" w:rsidRPr="003A38BA" w:rsidRDefault="000D70C0" w:rsidP="007C21AF">
      <w:pPr>
        <w:spacing w:after="120"/>
        <w:ind w:left="0" w:firstLine="0"/>
        <w:jc w:val="both"/>
      </w:pPr>
      <w:r>
        <w:t xml:space="preserve">A marcação deve ser aplicada com uma temperatura do ar entre +10 °C e +35 °C e uma humidade relativa máxima de 80 %. A temperatura do ar e a humidade relativa devem ser determinadas e documentadas imediatamente antes da aplicação. </w:t>
      </w:r>
    </w:p>
    <w:p w:rsidR="000503D0" w:rsidRPr="003A38BA" w:rsidRDefault="004F79C9" w:rsidP="007C21AF">
      <w:pPr>
        <w:spacing w:after="120"/>
        <w:ind w:left="0" w:firstLine="0"/>
        <w:jc w:val="both"/>
      </w:pPr>
      <w:r>
        <w:t>O tempo de secagem até atingir a capacidade de suporte da rolagem deve ser determinado para tintas e materiais plásticos de aplicação a frio, classificado em conformidade com as classes citadas no quadro 2 e documentado juntamente com as condições climáticas (temperatura ambiente, temperatura da superfície dos provetes e humidade relativa). No caso de marcações termoplásticas, o tempo de secagem é sempre classificado na classe T2 (≤10 min). A capacidade de suporte da rolagem de uma marcação existe quando não surgem deformações do material de marcação no processo de rolagem. O tempo de secagem</w:t>
      </w:r>
      <w:r>
        <w:rPr>
          <w:rStyle w:val="FootnoteReference"/>
        </w:rPr>
        <w:footnoteReference w:id="2"/>
      </w:r>
      <w:r>
        <w:t xml:space="preserve"> deve ser sempre determinado segundo o anexo A da norma DIN EN 13197. </w:t>
      </w:r>
    </w:p>
    <w:p w:rsidR="000503D0" w:rsidRPr="003A38BA" w:rsidRDefault="003E3497" w:rsidP="007C21AF">
      <w:pPr>
        <w:pStyle w:val="Subtitle"/>
        <w:ind w:left="1440" w:hanging="1440"/>
        <w:jc w:val="both"/>
        <w:rPr>
          <w:spacing w:val="0"/>
        </w:rPr>
      </w:pPr>
      <w:r>
        <w:t>Quadro 2:</w:t>
      </w:r>
      <w:r>
        <w:tab/>
        <w:t>Classes de capacidade de suporte da rolagem</w:t>
      </w:r>
    </w:p>
    <w:tbl>
      <w:tblPr>
        <w:tblStyle w:val="TableGrid"/>
        <w:tblW w:w="0" w:type="auto"/>
        <w:tblInd w:w="108" w:type="dxa"/>
        <w:tblLook w:val="04A0" w:firstRow="1" w:lastRow="0" w:firstColumn="1" w:lastColumn="0" w:noHBand="0" w:noVBand="1"/>
      </w:tblPr>
      <w:tblGrid>
        <w:gridCol w:w="2209"/>
        <w:gridCol w:w="1040"/>
        <w:gridCol w:w="1005"/>
        <w:gridCol w:w="1006"/>
        <w:gridCol w:w="1007"/>
        <w:gridCol w:w="1007"/>
      </w:tblGrid>
      <w:tr w:rsidR="00921E13" w:rsidRPr="003A38BA" w:rsidTr="00EB1650">
        <w:tc>
          <w:tcPr>
            <w:tcW w:w="2209" w:type="dxa"/>
          </w:tcPr>
          <w:p w:rsidR="00921E13" w:rsidRPr="003A38BA" w:rsidRDefault="00921E13" w:rsidP="00A503EF">
            <w:pPr>
              <w:spacing w:after="120"/>
              <w:ind w:left="0" w:firstLine="0"/>
            </w:pPr>
            <w:r>
              <w:t>Classe de capacidade de suporte da rolagem</w:t>
            </w:r>
          </w:p>
        </w:tc>
        <w:tc>
          <w:tcPr>
            <w:tcW w:w="1040" w:type="dxa"/>
          </w:tcPr>
          <w:p w:rsidR="00921E13" w:rsidRPr="003A38BA" w:rsidRDefault="00921E13" w:rsidP="000503D0">
            <w:pPr>
              <w:spacing w:after="120"/>
              <w:ind w:left="0" w:firstLine="0"/>
              <w:jc w:val="center"/>
            </w:pPr>
            <w:r>
              <w:t>T0</w:t>
            </w:r>
          </w:p>
        </w:tc>
        <w:tc>
          <w:tcPr>
            <w:tcW w:w="1005" w:type="dxa"/>
          </w:tcPr>
          <w:p w:rsidR="00921E13" w:rsidRPr="003A38BA" w:rsidRDefault="00921E13" w:rsidP="000503D0">
            <w:pPr>
              <w:spacing w:after="120"/>
              <w:ind w:left="0" w:firstLine="0"/>
              <w:jc w:val="center"/>
            </w:pPr>
            <w:r>
              <w:t>T1</w:t>
            </w:r>
          </w:p>
        </w:tc>
        <w:tc>
          <w:tcPr>
            <w:tcW w:w="1006" w:type="dxa"/>
          </w:tcPr>
          <w:p w:rsidR="00921E13" w:rsidRPr="003A38BA" w:rsidRDefault="00921E13" w:rsidP="000503D0">
            <w:pPr>
              <w:spacing w:after="120"/>
              <w:ind w:left="0" w:firstLine="0"/>
              <w:jc w:val="center"/>
            </w:pPr>
            <w:r>
              <w:t>T2</w:t>
            </w:r>
          </w:p>
        </w:tc>
        <w:tc>
          <w:tcPr>
            <w:tcW w:w="1007" w:type="dxa"/>
          </w:tcPr>
          <w:p w:rsidR="00921E13" w:rsidRPr="003A38BA" w:rsidRDefault="00921E13" w:rsidP="000503D0">
            <w:pPr>
              <w:spacing w:after="120"/>
              <w:ind w:left="0" w:firstLine="0"/>
              <w:jc w:val="center"/>
            </w:pPr>
            <w:r>
              <w:t>T3</w:t>
            </w:r>
          </w:p>
        </w:tc>
        <w:tc>
          <w:tcPr>
            <w:tcW w:w="1007" w:type="dxa"/>
          </w:tcPr>
          <w:p w:rsidR="00921E13" w:rsidRPr="003A38BA" w:rsidRDefault="00921E13" w:rsidP="000503D0">
            <w:pPr>
              <w:spacing w:after="120"/>
              <w:ind w:left="0" w:firstLine="0"/>
              <w:jc w:val="center"/>
            </w:pPr>
            <w:r>
              <w:t>T4</w:t>
            </w:r>
          </w:p>
        </w:tc>
      </w:tr>
      <w:tr w:rsidR="00921E13" w:rsidRPr="003A38BA" w:rsidTr="00EB1650">
        <w:tc>
          <w:tcPr>
            <w:tcW w:w="2209" w:type="dxa"/>
          </w:tcPr>
          <w:p w:rsidR="00921E13" w:rsidRPr="003A38BA" w:rsidRDefault="00CD0A25" w:rsidP="00CD0A25">
            <w:pPr>
              <w:spacing w:after="120"/>
              <w:ind w:left="0" w:firstLine="0"/>
            </w:pPr>
            <w:r>
              <w:t>Tempo de secagem em minutos</w:t>
            </w:r>
          </w:p>
        </w:tc>
        <w:tc>
          <w:tcPr>
            <w:tcW w:w="1040" w:type="dxa"/>
          </w:tcPr>
          <w:p w:rsidR="00921E13" w:rsidRPr="003A38BA" w:rsidRDefault="00921E13" w:rsidP="000503D0">
            <w:pPr>
              <w:spacing w:after="120"/>
              <w:ind w:left="0" w:firstLine="0"/>
              <w:jc w:val="center"/>
            </w:pPr>
            <w:r>
              <w:t>NPD</w:t>
            </w:r>
          </w:p>
        </w:tc>
        <w:tc>
          <w:tcPr>
            <w:tcW w:w="1005" w:type="dxa"/>
          </w:tcPr>
          <w:p w:rsidR="00921E13" w:rsidRPr="003A38BA" w:rsidRDefault="00921E13" w:rsidP="000503D0">
            <w:pPr>
              <w:spacing w:after="120"/>
              <w:ind w:left="0" w:firstLine="0"/>
              <w:jc w:val="center"/>
            </w:pPr>
            <w:r>
              <w:t>≤ 1</w:t>
            </w:r>
          </w:p>
        </w:tc>
        <w:tc>
          <w:tcPr>
            <w:tcW w:w="1006" w:type="dxa"/>
          </w:tcPr>
          <w:p w:rsidR="00921E13" w:rsidRPr="003A38BA" w:rsidRDefault="00921E13" w:rsidP="000503D0">
            <w:pPr>
              <w:spacing w:after="120"/>
              <w:ind w:left="0" w:firstLine="0"/>
              <w:jc w:val="center"/>
            </w:pPr>
            <w:r>
              <w:t>≤ 10</w:t>
            </w:r>
          </w:p>
        </w:tc>
        <w:tc>
          <w:tcPr>
            <w:tcW w:w="1007" w:type="dxa"/>
          </w:tcPr>
          <w:p w:rsidR="00921E13" w:rsidRPr="003A38BA" w:rsidRDefault="00921E13" w:rsidP="000503D0">
            <w:pPr>
              <w:spacing w:after="120"/>
              <w:ind w:left="0" w:firstLine="0"/>
              <w:jc w:val="center"/>
            </w:pPr>
            <w:r>
              <w:t>≤ 20</w:t>
            </w:r>
          </w:p>
        </w:tc>
        <w:tc>
          <w:tcPr>
            <w:tcW w:w="1007" w:type="dxa"/>
          </w:tcPr>
          <w:p w:rsidR="00921E13" w:rsidRPr="003A38BA" w:rsidRDefault="00921E13" w:rsidP="000503D0">
            <w:pPr>
              <w:spacing w:after="120"/>
              <w:ind w:left="0" w:firstLine="0"/>
              <w:jc w:val="center"/>
            </w:pPr>
            <w:r>
              <w:t>≤ 30</w:t>
            </w:r>
          </w:p>
        </w:tc>
      </w:tr>
    </w:tbl>
    <w:p w:rsidR="000503D0" w:rsidRPr="003A38BA" w:rsidRDefault="000503D0" w:rsidP="00A503EF">
      <w:pPr>
        <w:spacing w:after="120"/>
        <w:ind w:left="0" w:firstLine="0"/>
      </w:pPr>
    </w:p>
    <w:p w:rsidR="004F79C9" w:rsidRPr="003A38BA" w:rsidRDefault="004F79C9" w:rsidP="007C21AF">
      <w:pPr>
        <w:spacing w:after="120"/>
        <w:ind w:left="0" w:firstLine="0"/>
        <w:jc w:val="both"/>
      </w:pPr>
      <w:r>
        <w:t>Durante a aplicação de um sistema de marcação, devem determinar-se as quantidades de aplicação do material efetivamente aplicadas no provete, bem como todos os coformulantes.</w:t>
      </w:r>
    </w:p>
    <w:p w:rsidR="00B53040" w:rsidRPr="003A38BA" w:rsidRDefault="00B53040" w:rsidP="007C21AF">
      <w:pPr>
        <w:spacing w:after="120"/>
        <w:ind w:left="0" w:firstLine="0"/>
        <w:jc w:val="both"/>
      </w:pPr>
      <w:r>
        <w:t>A quantidade de aplicação de uma substância de marcação deve ser indicada mediante a espessura da camada. A espessura da camada é sempre determinada segundo o anexo C da norma DIN EN 13197. Em determinados casos, a determinação da quantidade de aplicação pode ser realizada através de pesagens sucessivas do provete após a aplicação dos diferentes componentes (material, materiais de projeção). A espessura da camada é então determinada a partir da quantidade de aplicação efetiva. A quantidade de aplicação no caso de aglomerados é determinada mediante pesagem das quantidades de material sem materiais de projeção. No caso de sistemas de camada fina, em princípio é mais viável medir a espessura do filme húmido com um pente de medição ligado à terra e calibrado.</w:t>
      </w:r>
    </w:p>
    <w:p w:rsidR="004F79C9" w:rsidRPr="003A38BA" w:rsidRDefault="004F79C9" w:rsidP="007C21AF">
      <w:pPr>
        <w:spacing w:after="120"/>
        <w:ind w:left="0" w:firstLine="0"/>
        <w:jc w:val="both"/>
      </w:pPr>
      <w:r>
        <w:t>Os resultados devem ser documentados no registo de aplicação.</w:t>
      </w:r>
    </w:p>
    <w:p w:rsidR="000766A6" w:rsidRPr="003A38BA" w:rsidRDefault="000766A6" w:rsidP="007C21AF">
      <w:pPr>
        <w:pStyle w:val="Heading1"/>
        <w:numPr>
          <w:ilvl w:val="2"/>
          <w:numId w:val="5"/>
        </w:numPr>
        <w:ind w:left="1440" w:hanging="720"/>
        <w:jc w:val="both"/>
        <w:rPr>
          <w:rFonts w:ascii="Arial" w:hAnsi="Arial" w:cs="Arial"/>
          <w:sz w:val="24"/>
          <w:szCs w:val="24"/>
        </w:rPr>
      </w:pPr>
      <w:bookmarkStart w:id="29" w:name="_Toc2194167"/>
      <w:bookmarkStart w:id="30" w:name="_Toc12478631"/>
      <w:r>
        <w:rPr>
          <w:sz w:val="24"/>
        </w:rPr>
        <w:t>Amostragem</w:t>
      </w:r>
      <w:bookmarkEnd w:id="29"/>
      <w:bookmarkEnd w:id="30"/>
    </w:p>
    <w:p w:rsidR="000766A6" w:rsidRPr="003A38BA" w:rsidRDefault="000766A6" w:rsidP="007C21AF">
      <w:pPr>
        <w:spacing w:after="120"/>
        <w:ind w:left="0" w:firstLine="0"/>
        <w:jc w:val="both"/>
      </w:pPr>
      <w:r>
        <w:t>Para fins de identificação, são recolhidas amostras de cada material de marcação, de todos os componentes de um material composto por vários componentes, bem como dos coformulantes, durante a aplicação. As amostras recolhidas são submetidas a análises físico-químicas para a identificação do sistema de marcação.</w:t>
      </w:r>
    </w:p>
    <w:p w:rsidR="00260651" w:rsidRPr="003A38BA" w:rsidRDefault="00260651" w:rsidP="007C21AF">
      <w:pPr>
        <w:pStyle w:val="Heading1"/>
        <w:numPr>
          <w:ilvl w:val="2"/>
          <w:numId w:val="5"/>
        </w:numPr>
        <w:ind w:left="1440" w:hanging="720"/>
        <w:jc w:val="both"/>
        <w:rPr>
          <w:rFonts w:ascii="Arial" w:hAnsi="Arial" w:cs="Arial"/>
          <w:sz w:val="24"/>
          <w:szCs w:val="24"/>
        </w:rPr>
      </w:pPr>
      <w:bookmarkStart w:id="31" w:name="_Toc2194168"/>
      <w:bookmarkStart w:id="32" w:name="_Toc12478632"/>
      <w:r>
        <w:rPr>
          <w:sz w:val="24"/>
        </w:rPr>
        <w:t>Tempo de condicionamento</w:t>
      </w:r>
      <w:bookmarkEnd w:id="31"/>
      <w:bookmarkEnd w:id="32"/>
    </w:p>
    <w:p w:rsidR="00260651" w:rsidRPr="003A38BA" w:rsidRDefault="00C8360F" w:rsidP="007C21AF">
      <w:pPr>
        <w:spacing w:after="120"/>
        <w:ind w:left="0" w:firstLine="0"/>
        <w:jc w:val="both"/>
      </w:pPr>
      <w:r>
        <w:t xml:space="preserve">As tintas contendo solventes só podem ser submetidas pela primeira vez a rolagem na mesa giratória a partir do oitavo dia após a aplicação bem-sucedida e devem ser submetidas pela primeira vez a rolagem na mesa giratória, o mais tardar, doze dias após a aplicação bem-sucedida. O período para dispersões deve ter mais uma semana do que o aplicável às tintas contendo solventes. Todos os </w:t>
      </w:r>
      <w:r>
        <w:lastRenderedPageBreak/>
        <w:t>restantes sistemas de marcação só podem ser submetidos pela primeira vez a rolagem 48 horas após a aplicação bem-sucedida.</w:t>
      </w:r>
    </w:p>
    <w:p w:rsidR="005517CE" w:rsidRPr="003A38BA" w:rsidRDefault="005517CE" w:rsidP="007C21AF">
      <w:pPr>
        <w:spacing w:after="120"/>
        <w:ind w:left="0" w:firstLine="0"/>
        <w:jc w:val="both"/>
      </w:pPr>
      <w:r>
        <w:t xml:space="preserve">Os provetes preparados devem ser armazenados numa sala climatizada a uma temperatura de 20 °±5 °C e uma humidade relativa entre 45 % e 75 % para secagem ou endurecimento. </w:t>
      </w:r>
    </w:p>
    <w:p w:rsidR="005517CE" w:rsidRPr="003A38BA" w:rsidRDefault="005517CE" w:rsidP="007C21AF">
      <w:pPr>
        <w:pStyle w:val="Heading1"/>
        <w:numPr>
          <w:ilvl w:val="2"/>
          <w:numId w:val="5"/>
        </w:numPr>
        <w:ind w:left="1440" w:hanging="720"/>
        <w:jc w:val="both"/>
        <w:rPr>
          <w:sz w:val="24"/>
          <w:szCs w:val="24"/>
        </w:rPr>
      </w:pPr>
      <w:bookmarkStart w:id="33" w:name="_Toc2194169"/>
      <w:bookmarkStart w:id="34" w:name="_Toc12478633"/>
      <w:r>
        <w:rPr>
          <w:sz w:val="24"/>
        </w:rPr>
        <w:t>Sentido de aplicação</w:t>
      </w:r>
      <w:bookmarkEnd w:id="33"/>
      <w:bookmarkEnd w:id="34"/>
    </w:p>
    <w:p w:rsidR="005517CE" w:rsidRPr="003A38BA" w:rsidRDefault="005517CE" w:rsidP="007C21AF">
      <w:pPr>
        <w:spacing w:after="120"/>
        <w:ind w:left="0" w:firstLine="0"/>
        <w:jc w:val="both"/>
      </w:pPr>
      <w:r>
        <w:t xml:space="preserve">Na aplicação nos provetes, deve ser tido em consideração que os provetes devem ser dispostos na mesa giratória de modo que os sistemas de marcação possam ser submetidos a rolagem tanto no sentido da aplicação como no sentido contrário. </w:t>
      </w:r>
    </w:p>
    <w:p w:rsidR="006D5959" w:rsidRPr="003A38BA" w:rsidRDefault="006D5959" w:rsidP="007C21AF">
      <w:pPr>
        <w:pStyle w:val="Heading1"/>
        <w:numPr>
          <w:ilvl w:val="1"/>
          <w:numId w:val="5"/>
        </w:numPr>
        <w:jc w:val="both"/>
        <w:rPr>
          <w:rFonts w:ascii="Arial" w:hAnsi="Arial" w:cs="Arial"/>
          <w:sz w:val="24"/>
          <w:szCs w:val="24"/>
        </w:rPr>
      </w:pPr>
      <w:bookmarkStart w:id="35" w:name="_Toc2194170"/>
      <w:bookmarkStart w:id="36" w:name="_Toc12478634"/>
      <w:r>
        <w:rPr>
          <w:sz w:val="24"/>
        </w:rPr>
        <w:t>Amostra de referência</w:t>
      </w:r>
      <w:bookmarkEnd w:id="35"/>
      <w:bookmarkEnd w:id="36"/>
    </w:p>
    <w:p w:rsidR="00EB7D09" w:rsidRPr="003A38BA" w:rsidRDefault="006D5959" w:rsidP="007C21AF">
      <w:pPr>
        <w:spacing w:after="120"/>
        <w:ind w:left="0" w:firstLine="0"/>
        <w:jc w:val="both"/>
      </w:pPr>
      <w:r>
        <w:t xml:space="preserve">Por forma a assegurar um processo de ensaio irrepreensível, cada teste deve conter, pelo menos, um provete revestido com um sistema de marcação normalizado (amostra de referência), para o controlo. O material de marcação e as instruções de aplicação da amostra de referência devem ser estabelecidos. </w:t>
      </w:r>
    </w:p>
    <w:p w:rsidR="006D5959" w:rsidRPr="003A38BA" w:rsidRDefault="006D5959" w:rsidP="007C21AF">
      <w:pPr>
        <w:spacing w:after="120"/>
        <w:ind w:left="0" w:firstLine="0"/>
        <w:jc w:val="both"/>
      </w:pPr>
      <w:r>
        <w:t xml:space="preserve">Os resultados alcançados com a amostra de referência em cada ensaio individual visam a garantia da qualidade (cf. secção 4.4.5). </w:t>
      </w:r>
    </w:p>
    <w:p w:rsidR="00B2761F" w:rsidRPr="003A38BA" w:rsidRDefault="00B2761F" w:rsidP="007C21AF">
      <w:pPr>
        <w:pStyle w:val="Heading1"/>
        <w:numPr>
          <w:ilvl w:val="1"/>
          <w:numId w:val="5"/>
        </w:numPr>
        <w:jc w:val="both"/>
        <w:rPr>
          <w:sz w:val="24"/>
          <w:szCs w:val="24"/>
        </w:rPr>
      </w:pPr>
      <w:bookmarkStart w:id="37" w:name="_Toc2194171"/>
      <w:bookmarkStart w:id="38" w:name="_Toc12478635"/>
      <w:r>
        <w:rPr>
          <w:sz w:val="24"/>
        </w:rPr>
        <w:t>Realização do ensaio</w:t>
      </w:r>
      <w:bookmarkEnd w:id="37"/>
      <w:bookmarkEnd w:id="38"/>
    </w:p>
    <w:p w:rsidR="00D1262E" w:rsidRPr="003A38BA" w:rsidRDefault="00AD7468" w:rsidP="007C21AF">
      <w:pPr>
        <w:spacing w:after="120"/>
        <w:ind w:left="0" w:firstLine="0"/>
        <w:jc w:val="both"/>
      </w:pPr>
      <w:r>
        <w:t>Os provetes preparados não podem ser submetidos a rolagem antes do cumprimento do tempo de condicionamento estabelecido. Os provetes que não se encontrem totalmente secos ou endurecidos, de tal modo que possam eventualmente afetar outros provetes, não podem ser submetidos a ensaio. Para a cobertura da superfície de medição exigida de, no mínimo, 800 cm</w:t>
      </w:r>
      <w:r>
        <w:rPr>
          <w:vertAlign w:val="superscript"/>
        </w:rPr>
        <w:t>2</w:t>
      </w:r>
      <w:r>
        <w:t xml:space="preserve">, devem utilizar-se, pelo menos, três provetes, respetivamente aplicados com uma largura de traço mínima de 20 cm. A disposição dos provetes na mesa giratória é realizada de acordo com o princípio da aleatoriedade. Neste processo, os três provetes de um sistema não são separados, mas sim dispostos lado a lado. </w:t>
      </w:r>
    </w:p>
    <w:p w:rsidR="00B2761F" w:rsidRPr="003A38BA" w:rsidRDefault="008C64DB" w:rsidP="007C21AF">
      <w:pPr>
        <w:spacing w:after="120"/>
        <w:ind w:left="0" w:firstLine="0"/>
        <w:jc w:val="both"/>
      </w:pPr>
      <w:r>
        <w:t>No ensaio de termoplásticos é necessária uma disposição sistemática. Os provetes são dispostos de modo que a roda possa rolar alternadamente sobre um grupo de provetes e um grupo de igual dimensão de placas vazias. Da circunferência da roda e da dimensão dos provetes ou das placas vazias resulta a disposição lado a lado de dois sistemas de marcação compostos por três provetes cada. Em seguida, seguem-se seis placas vazias antes da disposição dos dois sistemas de marcação seguintes.</w:t>
      </w:r>
    </w:p>
    <w:p w:rsidR="006D5959" w:rsidRPr="003A38BA" w:rsidRDefault="006D5959" w:rsidP="007C21AF">
      <w:pPr>
        <w:pStyle w:val="Heading1"/>
        <w:numPr>
          <w:ilvl w:val="2"/>
          <w:numId w:val="5"/>
        </w:numPr>
        <w:ind w:left="1440" w:hanging="720"/>
        <w:jc w:val="both"/>
        <w:rPr>
          <w:rFonts w:ascii="Arial" w:hAnsi="Arial" w:cs="Arial"/>
          <w:sz w:val="24"/>
          <w:szCs w:val="24"/>
        </w:rPr>
      </w:pPr>
      <w:bookmarkStart w:id="39" w:name="_Toc2194172"/>
      <w:bookmarkStart w:id="40" w:name="_Toc12478636"/>
      <w:r>
        <w:rPr>
          <w:sz w:val="24"/>
        </w:rPr>
        <w:t>Condições de ensaio</w:t>
      </w:r>
      <w:bookmarkEnd w:id="39"/>
      <w:bookmarkEnd w:id="40"/>
    </w:p>
    <w:p w:rsidR="00AD7468" w:rsidRPr="003A38BA" w:rsidRDefault="00AD7468" w:rsidP="007C21AF">
      <w:pPr>
        <w:spacing w:after="120"/>
        <w:ind w:left="0" w:firstLine="0"/>
        <w:jc w:val="both"/>
      </w:pPr>
      <w:r>
        <w:t>As condições de ensaio e os ciclos de medição são definidos nos quadros 3 e 4.</w:t>
      </w:r>
    </w:p>
    <w:p w:rsidR="004D7F92" w:rsidRPr="003A38BA" w:rsidRDefault="004D7F92" w:rsidP="007C21AF">
      <w:pPr>
        <w:spacing w:after="120"/>
        <w:ind w:left="0" w:firstLine="0"/>
        <w:jc w:val="both"/>
      </w:pPr>
      <w:r>
        <w:t>O número das amostras de tintas, películas e plásticos de aplicação a frio submetidas simultaneamente a ensaio é limitado pelo número das caixas na plataforma giratória. No caso de sistemas de marcação termoplásticos, o número é limitado sempre a 12 amostras.</w:t>
      </w:r>
    </w:p>
    <w:p w:rsidR="004D7F92" w:rsidRPr="003A38BA" w:rsidRDefault="004D7F92" w:rsidP="007C21AF">
      <w:pPr>
        <w:spacing w:after="120"/>
        <w:ind w:left="0" w:firstLine="0"/>
        <w:jc w:val="both"/>
      </w:pPr>
      <w:r>
        <w:t>As marcações de diferentes materiais de marcação nunca são submetidas a ensaio em simultâneo. Estabelece-se a distinção entre: tintas (tintas contendo solventes, dispersão), plástico de aplicação a frio, películas com base de alumínio, películas com outra base e termoplástico.</w:t>
      </w:r>
    </w:p>
    <w:p w:rsidR="00C34F3E" w:rsidRPr="003A38BA" w:rsidRDefault="003E3497" w:rsidP="00A11530">
      <w:pPr>
        <w:pStyle w:val="Subtitle"/>
        <w:keepNext/>
        <w:ind w:left="1440" w:hanging="1440"/>
        <w:jc w:val="both"/>
        <w:rPr>
          <w:spacing w:val="0"/>
        </w:rPr>
      </w:pPr>
      <w:r>
        <w:t>Quadro 3:</w:t>
      </w:r>
      <w:r>
        <w:tab/>
        <w:t>Condições de ensaio</w:t>
      </w:r>
    </w:p>
    <w:tbl>
      <w:tblPr>
        <w:tblStyle w:val="TableGrid"/>
        <w:tblW w:w="0" w:type="auto"/>
        <w:tblLook w:val="04A0" w:firstRow="1" w:lastRow="0" w:firstColumn="1" w:lastColumn="0" w:noHBand="0" w:noVBand="1"/>
      </w:tblPr>
      <w:tblGrid>
        <w:gridCol w:w="4606"/>
        <w:gridCol w:w="4606"/>
      </w:tblGrid>
      <w:tr w:rsidR="00AD7468" w:rsidRPr="003A38BA" w:rsidTr="00AD7468">
        <w:tc>
          <w:tcPr>
            <w:tcW w:w="4606" w:type="dxa"/>
          </w:tcPr>
          <w:p w:rsidR="00AD7468" w:rsidRPr="003A38BA" w:rsidRDefault="00AD7468" w:rsidP="00A503EF">
            <w:pPr>
              <w:spacing w:after="120"/>
              <w:ind w:left="0" w:firstLine="0"/>
            </w:pPr>
            <w:r>
              <w:t>Número das rodas de ensaio</w:t>
            </w:r>
          </w:p>
        </w:tc>
        <w:tc>
          <w:tcPr>
            <w:tcW w:w="4606" w:type="dxa"/>
          </w:tcPr>
          <w:p w:rsidR="00AD7468" w:rsidRPr="003A38BA" w:rsidRDefault="00AD7468" w:rsidP="00A503EF">
            <w:pPr>
              <w:spacing w:after="120"/>
              <w:ind w:left="0" w:firstLine="0"/>
            </w:pPr>
            <w:r>
              <w:t>4</w:t>
            </w:r>
            <w:r>
              <w:rPr>
                <w:vertAlign w:val="superscript"/>
              </w:rPr>
              <w:t xml:space="preserve"> </w:t>
            </w:r>
            <w:r>
              <w:t>ou 8 em função do material a submeter a ensaio (cf. secção 4.1.1)</w:t>
            </w:r>
          </w:p>
        </w:tc>
      </w:tr>
      <w:tr w:rsidR="00AD7468" w:rsidRPr="003A38BA" w:rsidTr="00AD7468">
        <w:tc>
          <w:tcPr>
            <w:tcW w:w="4606" w:type="dxa"/>
          </w:tcPr>
          <w:p w:rsidR="00AD7468" w:rsidRPr="003A38BA" w:rsidRDefault="00AD7468" w:rsidP="00A503EF">
            <w:pPr>
              <w:spacing w:after="120"/>
              <w:ind w:left="0" w:firstLine="0"/>
            </w:pPr>
            <w:r>
              <w:t>Tipo dos pneus de ensaio</w:t>
            </w:r>
          </w:p>
        </w:tc>
        <w:tc>
          <w:tcPr>
            <w:tcW w:w="4606" w:type="dxa"/>
          </w:tcPr>
          <w:p w:rsidR="00AD7468" w:rsidRPr="003A38BA" w:rsidRDefault="00AD7468" w:rsidP="00A503EF">
            <w:pPr>
              <w:spacing w:after="120"/>
              <w:ind w:left="0" w:firstLine="0"/>
            </w:pPr>
            <w:r>
              <w:t>Pneus comercialmente disponíveis homologados, nos termos da secção 4.1.1</w:t>
            </w:r>
          </w:p>
          <w:p w:rsidR="00AD7468" w:rsidRPr="003A38BA" w:rsidRDefault="00AD7468" w:rsidP="00A503EF">
            <w:pPr>
              <w:spacing w:after="120"/>
              <w:ind w:left="0" w:firstLine="0"/>
            </w:pPr>
            <w:r>
              <w:lastRenderedPageBreak/>
              <w:t>Pneus novos para cada ensaio</w:t>
            </w:r>
            <w:r>
              <w:rPr>
                <w:rStyle w:val="FootnoteReference"/>
              </w:rPr>
              <w:footnoteReference w:id="3"/>
            </w:r>
          </w:p>
        </w:tc>
      </w:tr>
      <w:tr w:rsidR="00AD7468" w:rsidRPr="003A38BA" w:rsidTr="00AD7468">
        <w:tc>
          <w:tcPr>
            <w:tcW w:w="4606" w:type="dxa"/>
          </w:tcPr>
          <w:p w:rsidR="00AD7468" w:rsidRPr="003A38BA" w:rsidRDefault="00AD7468" w:rsidP="00A503EF">
            <w:pPr>
              <w:spacing w:after="120"/>
              <w:ind w:left="0" w:firstLine="0"/>
            </w:pPr>
            <w:r>
              <w:lastRenderedPageBreak/>
              <w:t>Pressão dos pneus</w:t>
            </w:r>
          </w:p>
        </w:tc>
        <w:tc>
          <w:tcPr>
            <w:tcW w:w="4606" w:type="dxa"/>
          </w:tcPr>
          <w:p w:rsidR="00AD7468" w:rsidRPr="003A38BA" w:rsidRDefault="00AD7468" w:rsidP="00A503EF">
            <w:pPr>
              <w:spacing w:after="120"/>
              <w:ind w:left="0" w:firstLine="0"/>
            </w:pPr>
            <w:r>
              <w:t>0,25 ± 0,02 MPa</w:t>
            </w:r>
          </w:p>
        </w:tc>
      </w:tr>
      <w:tr w:rsidR="00AD7468" w:rsidRPr="003A38BA" w:rsidTr="00AD7468">
        <w:tc>
          <w:tcPr>
            <w:tcW w:w="4606" w:type="dxa"/>
          </w:tcPr>
          <w:p w:rsidR="00AD7468" w:rsidRPr="003A38BA" w:rsidRDefault="00AD7468" w:rsidP="00A503EF">
            <w:pPr>
              <w:spacing w:after="120"/>
              <w:ind w:left="0" w:firstLine="0"/>
            </w:pPr>
            <w:r>
              <w:t>Carga da roda</w:t>
            </w:r>
          </w:p>
        </w:tc>
        <w:tc>
          <w:tcPr>
            <w:tcW w:w="4606" w:type="dxa"/>
          </w:tcPr>
          <w:p w:rsidR="00AD7468" w:rsidRPr="003A38BA" w:rsidRDefault="00AD7468" w:rsidP="00A503EF">
            <w:pPr>
              <w:spacing w:after="120"/>
              <w:ind w:left="0" w:firstLine="0"/>
            </w:pPr>
            <w:r>
              <w:t>3 000 ± 300 N</w:t>
            </w:r>
          </w:p>
        </w:tc>
      </w:tr>
      <w:tr w:rsidR="00AD7468" w:rsidRPr="003A38BA" w:rsidTr="00AD7468">
        <w:tc>
          <w:tcPr>
            <w:tcW w:w="4606" w:type="dxa"/>
          </w:tcPr>
          <w:p w:rsidR="00AD7468" w:rsidRPr="003A38BA" w:rsidRDefault="00AD7468" w:rsidP="00A503EF">
            <w:pPr>
              <w:spacing w:after="120"/>
              <w:ind w:left="0" w:firstLine="0"/>
            </w:pPr>
            <w:r>
              <w:t>Sopé</w:t>
            </w:r>
          </w:p>
        </w:tc>
        <w:tc>
          <w:tcPr>
            <w:tcW w:w="4606" w:type="dxa"/>
          </w:tcPr>
          <w:p w:rsidR="00AD7468" w:rsidRPr="003A38BA" w:rsidRDefault="00AD7468" w:rsidP="00921E13">
            <w:pPr>
              <w:spacing w:after="120"/>
              <w:ind w:left="0" w:firstLine="0"/>
            </w:pPr>
            <w:r>
              <w:t>0° até um desvio máximo de ± 1°</w:t>
            </w:r>
          </w:p>
        </w:tc>
      </w:tr>
      <w:tr w:rsidR="00AD7468" w:rsidRPr="003A38BA" w:rsidTr="00AD7468">
        <w:tc>
          <w:tcPr>
            <w:tcW w:w="4606" w:type="dxa"/>
          </w:tcPr>
          <w:p w:rsidR="00AD7468" w:rsidRPr="003A38BA" w:rsidRDefault="00AD7468" w:rsidP="00A503EF">
            <w:pPr>
              <w:spacing w:after="120"/>
              <w:ind w:left="0" w:firstLine="0"/>
            </w:pPr>
            <w:r>
              <w:t>Escorregamento</w:t>
            </w:r>
          </w:p>
        </w:tc>
        <w:tc>
          <w:tcPr>
            <w:tcW w:w="4606" w:type="dxa"/>
          </w:tcPr>
          <w:p w:rsidR="00AD7468" w:rsidRPr="003A38BA" w:rsidRDefault="00AD7468" w:rsidP="00A503EF">
            <w:pPr>
              <w:spacing w:after="120"/>
              <w:ind w:left="0" w:firstLine="0"/>
            </w:pPr>
            <w:r>
              <w:t>Cada roda alternadamente +1° (±10‘) / -1° (±10‘)</w:t>
            </w:r>
          </w:p>
        </w:tc>
      </w:tr>
      <w:tr w:rsidR="00AD7468" w:rsidRPr="003A38BA" w:rsidTr="00AD7468">
        <w:tc>
          <w:tcPr>
            <w:tcW w:w="4606" w:type="dxa"/>
          </w:tcPr>
          <w:p w:rsidR="00AD7468" w:rsidRPr="003A38BA" w:rsidRDefault="00AD7468" w:rsidP="00A503EF">
            <w:pPr>
              <w:spacing w:after="120"/>
              <w:ind w:left="0" w:firstLine="0"/>
            </w:pPr>
            <w:r>
              <w:t>Velocidade</w:t>
            </w:r>
          </w:p>
        </w:tc>
        <w:tc>
          <w:tcPr>
            <w:tcW w:w="4606" w:type="dxa"/>
          </w:tcPr>
          <w:p w:rsidR="00AD7468" w:rsidRPr="003A38BA" w:rsidRDefault="00AD7468" w:rsidP="00A503EF">
            <w:pPr>
              <w:spacing w:after="120"/>
              <w:ind w:left="0" w:firstLine="0"/>
            </w:pPr>
            <w:r>
              <w:t>15 km/h ± 1 km/h com irrigação</w:t>
            </w:r>
          </w:p>
          <w:p w:rsidR="00AD7468" w:rsidRPr="003A38BA" w:rsidRDefault="00AD7468" w:rsidP="00A503EF">
            <w:pPr>
              <w:spacing w:after="120"/>
              <w:ind w:left="0" w:firstLine="0"/>
            </w:pPr>
            <w:r>
              <w:t>60 km/h ± 3 km/h</w:t>
            </w:r>
          </w:p>
        </w:tc>
      </w:tr>
      <w:tr w:rsidR="00AD7468" w:rsidRPr="003A38BA" w:rsidTr="00AD7468">
        <w:tc>
          <w:tcPr>
            <w:tcW w:w="4606" w:type="dxa"/>
          </w:tcPr>
          <w:p w:rsidR="00AD7468" w:rsidRPr="003A38BA" w:rsidRDefault="00AD7468" w:rsidP="00A503EF">
            <w:pPr>
              <w:spacing w:after="120"/>
              <w:ind w:left="0" w:firstLine="0"/>
            </w:pPr>
            <w:r>
              <w:t>Sentido de rotação</w:t>
            </w:r>
          </w:p>
        </w:tc>
        <w:tc>
          <w:tcPr>
            <w:tcW w:w="4606" w:type="dxa"/>
          </w:tcPr>
          <w:p w:rsidR="00AD7468" w:rsidRPr="003A38BA" w:rsidRDefault="00AD7468" w:rsidP="00BF3220">
            <w:pPr>
              <w:spacing w:after="120"/>
              <w:ind w:left="0" w:firstLine="0"/>
            </w:pPr>
            <w:r>
              <w:t>50 % em cada sentido</w:t>
            </w:r>
          </w:p>
        </w:tc>
      </w:tr>
      <w:tr w:rsidR="00AD7468" w:rsidRPr="003A38BA" w:rsidTr="00AD7468">
        <w:tc>
          <w:tcPr>
            <w:tcW w:w="4606" w:type="dxa"/>
          </w:tcPr>
          <w:p w:rsidR="00AD7468" w:rsidRPr="003A38BA" w:rsidRDefault="0043206D" w:rsidP="00A503EF">
            <w:pPr>
              <w:spacing w:after="120"/>
              <w:ind w:left="0" w:firstLine="0"/>
            </w:pPr>
            <w:r>
              <w:t>Intervalos de medição</w:t>
            </w:r>
          </w:p>
        </w:tc>
        <w:tc>
          <w:tcPr>
            <w:tcW w:w="4606" w:type="dxa"/>
          </w:tcPr>
          <w:p w:rsidR="00AD7468" w:rsidRPr="003A38BA" w:rsidRDefault="0043206D" w:rsidP="00A503EF">
            <w:pPr>
              <w:spacing w:after="120"/>
              <w:ind w:left="0" w:firstLine="0"/>
            </w:pPr>
            <w:r>
              <w:t>0; 0,01; 0,1; 0,2; 0,5; 1,0; 2,0; 3,0 e 4,0 x 10</w:t>
            </w:r>
            <w:r>
              <w:rPr>
                <w:vertAlign w:val="superscript"/>
              </w:rPr>
              <w:t>6</w:t>
            </w:r>
          </w:p>
        </w:tc>
      </w:tr>
      <w:tr w:rsidR="0043206D" w:rsidRPr="003A38BA" w:rsidTr="00AD7468">
        <w:tc>
          <w:tcPr>
            <w:tcW w:w="4606" w:type="dxa"/>
          </w:tcPr>
          <w:p w:rsidR="0043206D" w:rsidRPr="003A38BA" w:rsidRDefault="0043206D" w:rsidP="00A503EF">
            <w:pPr>
              <w:spacing w:after="120"/>
              <w:ind w:left="0" w:firstLine="0"/>
            </w:pPr>
            <w:r>
              <w:t>Temperatura ambiente</w:t>
            </w:r>
          </w:p>
        </w:tc>
        <w:tc>
          <w:tcPr>
            <w:tcW w:w="4606" w:type="dxa"/>
          </w:tcPr>
          <w:p w:rsidR="0043206D" w:rsidRPr="003A38BA" w:rsidRDefault="0043206D" w:rsidP="00A503EF">
            <w:pPr>
              <w:spacing w:after="120"/>
              <w:ind w:left="0" w:firstLine="0"/>
            </w:pPr>
            <w:r>
              <w:t>5°C a 10°C</w:t>
            </w:r>
          </w:p>
        </w:tc>
      </w:tr>
    </w:tbl>
    <w:p w:rsidR="00AD7468" w:rsidRPr="003A38BA" w:rsidRDefault="00AD7468" w:rsidP="00D9642C">
      <w:pPr>
        <w:spacing w:after="120"/>
        <w:ind w:left="0" w:firstLine="0"/>
      </w:pPr>
    </w:p>
    <w:p w:rsidR="00D9642C" w:rsidRPr="003A38BA" w:rsidRDefault="00D9642C" w:rsidP="00A11530">
      <w:pPr>
        <w:pStyle w:val="Subtitle"/>
        <w:keepNext/>
        <w:ind w:left="1440" w:hanging="1440"/>
        <w:jc w:val="both"/>
        <w:rPr>
          <w:spacing w:val="0"/>
        </w:rPr>
      </w:pPr>
      <w:r>
        <w:t>Quadro 4:</w:t>
      </w:r>
      <w:r>
        <w:tab/>
        <w:t>Ciclos de medição</w:t>
      </w:r>
    </w:p>
    <w:tbl>
      <w:tblPr>
        <w:tblStyle w:val="TableGrid"/>
        <w:tblW w:w="0" w:type="auto"/>
        <w:tblLook w:val="04A0" w:firstRow="1" w:lastRow="0" w:firstColumn="1" w:lastColumn="0" w:noHBand="0" w:noVBand="1"/>
      </w:tblPr>
      <w:tblGrid>
        <w:gridCol w:w="1316"/>
        <w:gridCol w:w="1316"/>
        <w:gridCol w:w="1316"/>
        <w:gridCol w:w="1316"/>
        <w:gridCol w:w="1316"/>
        <w:gridCol w:w="1316"/>
        <w:gridCol w:w="1316"/>
      </w:tblGrid>
      <w:tr w:rsidR="00C34F3E" w:rsidRPr="003A38BA" w:rsidTr="00C34F3E">
        <w:tc>
          <w:tcPr>
            <w:tcW w:w="1316" w:type="dxa"/>
          </w:tcPr>
          <w:p w:rsidR="00C34F3E" w:rsidRPr="003A38BA" w:rsidRDefault="00C34F3E" w:rsidP="00A503EF">
            <w:pPr>
              <w:spacing w:after="120"/>
              <w:ind w:left="0" w:firstLine="0"/>
              <w:rPr>
                <w:b/>
                <w:sz w:val="18"/>
                <w:szCs w:val="18"/>
              </w:rPr>
            </w:pPr>
            <w:r>
              <w:rPr>
                <w:b/>
                <w:sz w:val="18"/>
              </w:rPr>
              <w:t>Ciclo de medição</w:t>
            </w:r>
          </w:p>
        </w:tc>
        <w:tc>
          <w:tcPr>
            <w:tcW w:w="1316" w:type="dxa"/>
          </w:tcPr>
          <w:p w:rsidR="00C34F3E" w:rsidRPr="003A38BA" w:rsidRDefault="00C34F3E" w:rsidP="00A503EF">
            <w:pPr>
              <w:spacing w:after="120"/>
              <w:ind w:left="0" w:firstLine="0"/>
              <w:rPr>
                <w:b/>
                <w:sz w:val="18"/>
                <w:szCs w:val="18"/>
              </w:rPr>
            </w:pPr>
            <w:r>
              <w:rPr>
                <w:b/>
                <w:sz w:val="18"/>
              </w:rPr>
              <w:t>Rolagens do ciclo de medição</w:t>
            </w:r>
          </w:p>
        </w:tc>
        <w:tc>
          <w:tcPr>
            <w:tcW w:w="1316" w:type="dxa"/>
          </w:tcPr>
          <w:p w:rsidR="00C34F3E" w:rsidRPr="003A38BA" w:rsidRDefault="00C34F3E" w:rsidP="00A503EF">
            <w:pPr>
              <w:spacing w:after="120"/>
              <w:ind w:left="0" w:firstLine="0"/>
              <w:rPr>
                <w:b/>
                <w:sz w:val="18"/>
                <w:szCs w:val="18"/>
              </w:rPr>
            </w:pPr>
            <w:r>
              <w:rPr>
                <w:b/>
                <w:sz w:val="18"/>
              </w:rPr>
              <w:t>Rolagens com irrigação no início</w:t>
            </w:r>
          </w:p>
        </w:tc>
        <w:tc>
          <w:tcPr>
            <w:tcW w:w="1316" w:type="dxa"/>
          </w:tcPr>
          <w:p w:rsidR="00C34F3E" w:rsidRPr="003A38BA" w:rsidRDefault="00C34F3E" w:rsidP="00A503EF">
            <w:pPr>
              <w:spacing w:after="120"/>
              <w:ind w:left="0" w:firstLine="0"/>
              <w:rPr>
                <w:b/>
                <w:sz w:val="18"/>
                <w:szCs w:val="18"/>
              </w:rPr>
            </w:pPr>
            <w:r>
              <w:rPr>
                <w:b/>
                <w:sz w:val="18"/>
              </w:rPr>
              <w:t>Rolagens em estado seco</w:t>
            </w:r>
          </w:p>
        </w:tc>
        <w:tc>
          <w:tcPr>
            <w:tcW w:w="1316" w:type="dxa"/>
          </w:tcPr>
          <w:p w:rsidR="00C34F3E" w:rsidRPr="003A38BA" w:rsidRDefault="00C34F3E" w:rsidP="00A503EF">
            <w:pPr>
              <w:spacing w:after="120"/>
              <w:ind w:left="0" w:firstLine="0"/>
              <w:rPr>
                <w:b/>
                <w:sz w:val="18"/>
                <w:szCs w:val="18"/>
              </w:rPr>
            </w:pPr>
            <w:r>
              <w:rPr>
                <w:b/>
                <w:sz w:val="18"/>
              </w:rPr>
              <w:t>Rolagens com irrigação no final *)</w:t>
            </w:r>
          </w:p>
        </w:tc>
        <w:tc>
          <w:tcPr>
            <w:tcW w:w="1316" w:type="dxa"/>
          </w:tcPr>
          <w:p w:rsidR="00C34F3E" w:rsidRPr="003A38BA" w:rsidRDefault="00C34F3E" w:rsidP="00A503EF">
            <w:pPr>
              <w:spacing w:after="120"/>
              <w:ind w:left="0" w:firstLine="0"/>
              <w:rPr>
                <w:b/>
                <w:sz w:val="18"/>
                <w:szCs w:val="18"/>
              </w:rPr>
            </w:pPr>
            <w:r>
              <w:rPr>
                <w:b/>
                <w:sz w:val="18"/>
              </w:rPr>
              <w:t xml:space="preserve">Rolagens até alteração do sentido de rotação </w:t>
            </w:r>
          </w:p>
        </w:tc>
        <w:tc>
          <w:tcPr>
            <w:tcW w:w="1316" w:type="dxa"/>
          </w:tcPr>
          <w:p w:rsidR="00C34F3E" w:rsidRPr="003A38BA" w:rsidRDefault="00C34F3E" w:rsidP="00A503EF">
            <w:pPr>
              <w:spacing w:after="120"/>
              <w:ind w:left="0" w:firstLine="0"/>
              <w:rPr>
                <w:b/>
                <w:sz w:val="18"/>
                <w:szCs w:val="18"/>
              </w:rPr>
            </w:pPr>
            <w:r>
              <w:rPr>
                <w:b/>
                <w:sz w:val="18"/>
              </w:rPr>
              <w:t>Total de rolagens</w:t>
            </w:r>
          </w:p>
        </w:tc>
      </w:tr>
      <w:tr w:rsidR="00C34F3E" w:rsidRPr="003A38BA" w:rsidTr="00C34F3E">
        <w:tc>
          <w:tcPr>
            <w:tcW w:w="1316" w:type="dxa"/>
          </w:tcPr>
          <w:p w:rsidR="00C34F3E" w:rsidRPr="003A38BA" w:rsidRDefault="00EB7D09" w:rsidP="00C34F3E">
            <w:pPr>
              <w:spacing w:after="120"/>
              <w:ind w:left="0" w:firstLine="0"/>
              <w:jc w:val="center"/>
            </w:pPr>
            <w:r>
              <w:t>1</w:t>
            </w:r>
          </w:p>
        </w:tc>
        <w:tc>
          <w:tcPr>
            <w:tcW w:w="1316" w:type="dxa"/>
          </w:tcPr>
          <w:p w:rsidR="00C34F3E" w:rsidRPr="003A38BA" w:rsidRDefault="00EB7D09" w:rsidP="00C34F3E">
            <w:pPr>
              <w:spacing w:after="120"/>
              <w:ind w:left="0" w:firstLine="0"/>
              <w:jc w:val="center"/>
            </w:pPr>
            <w:r>
              <w:t>10 000</w:t>
            </w:r>
          </w:p>
        </w:tc>
        <w:tc>
          <w:tcPr>
            <w:tcW w:w="1316" w:type="dxa"/>
          </w:tcPr>
          <w:p w:rsidR="00C34F3E" w:rsidRPr="003A38BA" w:rsidRDefault="00EB7D09" w:rsidP="00C34F3E">
            <w:pPr>
              <w:spacing w:after="120"/>
              <w:ind w:left="0" w:firstLine="0"/>
              <w:jc w:val="center"/>
            </w:pPr>
            <w:r>
              <w:t>1 750</w:t>
            </w:r>
          </w:p>
        </w:tc>
        <w:tc>
          <w:tcPr>
            <w:tcW w:w="1316" w:type="dxa"/>
          </w:tcPr>
          <w:p w:rsidR="00C34F3E" w:rsidRPr="003A38BA" w:rsidRDefault="00EB7D09" w:rsidP="00C34F3E">
            <w:pPr>
              <w:spacing w:after="120"/>
              <w:ind w:left="0" w:firstLine="0"/>
              <w:jc w:val="center"/>
            </w:pPr>
            <w:r>
              <w:t>6 500</w:t>
            </w:r>
          </w:p>
        </w:tc>
        <w:tc>
          <w:tcPr>
            <w:tcW w:w="1316" w:type="dxa"/>
          </w:tcPr>
          <w:p w:rsidR="00C34F3E" w:rsidRPr="003A38BA" w:rsidRDefault="00EB7D09" w:rsidP="00C34F3E">
            <w:pPr>
              <w:spacing w:after="120"/>
              <w:ind w:left="0" w:firstLine="0"/>
              <w:jc w:val="center"/>
            </w:pPr>
            <w:r>
              <w:t>1 750</w:t>
            </w:r>
          </w:p>
        </w:tc>
        <w:tc>
          <w:tcPr>
            <w:tcW w:w="1316" w:type="dxa"/>
          </w:tcPr>
          <w:p w:rsidR="00C34F3E" w:rsidRPr="003A38BA" w:rsidRDefault="00EB7D09" w:rsidP="00C34F3E">
            <w:pPr>
              <w:spacing w:after="120"/>
              <w:ind w:left="0" w:firstLine="0"/>
              <w:jc w:val="center"/>
            </w:pPr>
            <w:r>
              <w:t>5 000</w:t>
            </w:r>
          </w:p>
        </w:tc>
        <w:tc>
          <w:tcPr>
            <w:tcW w:w="1316" w:type="dxa"/>
          </w:tcPr>
          <w:p w:rsidR="00C34F3E" w:rsidRPr="003A38BA" w:rsidRDefault="00EB7D09" w:rsidP="00C34F3E">
            <w:pPr>
              <w:spacing w:after="120"/>
              <w:ind w:left="0" w:firstLine="0"/>
              <w:jc w:val="center"/>
            </w:pPr>
            <w:r>
              <w:t>10 000</w:t>
            </w:r>
          </w:p>
        </w:tc>
      </w:tr>
      <w:tr w:rsidR="00C34F3E" w:rsidRPr="003A38BA" w:rsidTr="00C34F3E">
        <w:tc>
          <w:tcPr>
            <w:tcW w:w="1316" w:type="dxa"/>
          </w:tcPr>
          <w:p w:rsidR="00C34F3E" w:rsidRPr="003A38BA" w:rsidRDefault="00EB7D09" w:rsidP="003114C1">
            <w:pPr>
              <w:spacing w:after="120"/>
              <w:ind w:left="0" w:firstLine="0"/>
              <w:jc w:val="center"/>
            </w:pPr>
            <w:r>
              <w:t xml:space="preserve">2 </w:t>
            </w:r>
          </w:p>
        </w:tc>
        <w:tc>
          <w:tcPr>
            <w:tcW w:w="1316" w:type="dxa"/>
          </w:tcPr>
          <w:p w:rsidR="00C34F3E" w:rsidRPr="003A38BA" w:rsidRDefault="003114C1" w:rsidP="00C34F3E">
            <w:pPr>
              <w:spacing w:after="120"/>
              <w:ind w:left="0" w:firstLine="0"/>
              <w:jc w:val="center"/>
            </w:pPr>
            <w:r>
              <w:t>90 000</w:t>
            </w:r>
          </w:p>
        </w:tc>
        <w:tc>
          <w:tcPr>
            <w:tcW w:w="1316" w:type="dxa"/>
          </w:tcPr>
          <w:p w:rsidR="00C34F3E" w:rsidRPr="003A38BA" w:rsidRDefault="00EB7D09" w:rsidP="00C34F3E">
            <w:pPr>
              <w:spacing w:after="120"/>
              <w:ind w:left="0" w:firstLine="0"/>
              <w:jc w:val="center"/>
            </w:pPr>
            <w:r>
              <w:t>-</w:t>
            </w:r>
          </w:p>
        </w:tc>
        <w:tc>
          <w:tcPr>
            <w:tcW w:w="1316" w:type="dxa"/>
          </w:tcPr>
          <w:p w:rsidR="00C34F3E" w:rsidRPr="003A38BA" w:rsidRDefault="003114C1" w:rsidP="00C34F3E">
            <w:pPr>
              <w:spacing w:after="120"/>
              <w:ind w:left="0" w:firstLine="0"/>
              <w:jc w:val="center"/>
            </w:pPr>
            <w:r>
              <w:t>88 250</w:t>
            </w:r>
          </w:p>
        </w:tc>
        <w:tc>
          <w:tcPr>
            <w:tcW w:w="1316" w:type="dxa"/>
          </w:tcPr>
          <w:p w:rsidR="00C34F3E" w:rsidRPr="003A38BA" w:rsidRDefault="003114C1" w:rsidP="00C34F3E">
            <w:pPr>
              <w:spacing w:after="120"/>
              <w:ind w:left="0" w:firstLine="0"/>
              <w:jc w:val="center"/>
            </w:pPr>
            <w:r>
              <w:t>1 750</w:t>
            </w:r>
          </w:p>
        </w:tc>
        <w:tc>
          <w:tcPr>
            <w:tcW w:w="1316" w:type="dxa"/>
          </w:tcPr>
          <w:p w:rsidR="00C34F3E" w:rsidRPr="003A38BA" w:rsidRDefault="003114C1" w:rsidP="00C34F3E">
            <w:pPr>
              <w:spacing w:after="120"/>
              <w:ind w:left="0" w:firstLine="0"/>
              <w:jc w:val="center"/>
            </w:pPr>
            <w:r>
              <w:t>25 000</w:t>
            </w:r>
          </w:p>
        </w:tc>
        <w:tc>
          <w:tcPr>
            <w:tcW w:w="1316" w:type="dxa"/>
          </w:tcPr>
          <w:p w:rsidR="00C34F3E" w:rsidRPr="003A38BA" w:rsidRDefault="003114C1" w:rsidP="00C34F3E">
            <w:pPr>
              <w:spacing w:after="120"/>
              <w:ind w:left="0" w:firstLine="0"/>
              <w:jc w:val="center"/>
            </w:pPr>
            <w:r>
              <w:t>100 000</w:t>
            </w:r>
          </w:p>
        </w:tc>
      </w:tr>
      <w:tr w:rsidR="003114C1" w:rsidRPr="003A38BA" w:rsidTr="00C34F3E">
        <w:tc>
          <w:tcPr>
            <w:tcW w:w="1316" w:type="dxa"/>
          </w:tcPr>
          <w:p w:rsidR="003114C1" w:rsidRPr="003A38BA" w:rsidRDefault="003114C1" w:rsidP="00C34F3E">
            <w:pPr>
              <w:spacing w:after="120"/>
              <w:ind w:left="0" w:firstLine="0"/>
              <w:jc w:val="center"/>
            </w:pPr>
            <w:r>
              <w:t>3</w:t>
            </w:r>
          </w:p>
        </w:tc>
        <w:tc>
          <w:tcPr>
            <w:tcW w:w="1316" w:type="dxa"/>
          </w:tcPr>
          <w:p w:rsidR="003114C1" w:rsidRPr="003A38BA" w:rsidRDefault="003114C1" w:rsidP="003114C1">
            <w:pPr>
              <w:spacing w:after="120"/>
              <w:ind w:left="0" w:firstLine="0"/>
              <w:jc w:val="center"/>
            </w:pPr>
            <w:r>
              <w:t>100 000</w:t>
            </w:r>
          </w:p>
        </w:tc>
        <w:tc>
          <w:tcPr>
            <w:tcW w:w="1316" w:type="dxa"/>
          </w:tcPr>
          <w:p w:rsidR="003114C1" w:rsidRPr="003A38BA" w:rsidRDefault="003114C1" w:rsidP="003114C1">
            <w:pPr>
              <w:spacing w:after="120"/>
              <w:ind w:left="0" w:firstLine="0"/>
              <w:jc w:val="center"/>
            </w:pPr>
            <w:r>
              <w:t>-</w:t>
            </w:r>
          </w:p>
        </w:tc>
        <w:tc>
          <w:tcPr>
            <w:tcW w:w="1316" w:type="dxa"/>
          </w:tcPr>
          <w:p w:rsidR="003114C1" w:rsidRPr="003A38BA" w:rsidRDefault="003114C1" w:rsidP="003114C1">
            <w:pPr>
              <w:spacing w:after="120"/>
              <w:ind w:left="0" w:firstLine="0"/>
              <w:jc w:val="center"/>
            </w:pPr>
            <w:r>
              <w:t>96 500</w:t>
            </w:r>
          </w:p>
        </w:tc>
        <w:tc>
          <w:tcPr>
            <w:tcW w:w="1316" w:type="dxa"/>
          </w:tcPr>
          <w:p w:rsidR="003114C1" w:rsidRPr="003A38BA" w:rsidRDefault="003114C1" w:rsidP="003114C1">
            <w:pPr>
              <w:spacing w:after="120"/>
              <w:ind w:left="0" w:firstLine="0"/>
              <w:jc w:val="center"/>
            </w:pPr>
            <w:r>
              <w:t>3 500</w:t>
            </w:r>
          </w:p>
        </w:tc>
        <w:tc>
          <w:tcPr>
            <w:tcW w:w="1316" w:type="dxa"/>
          </w:tcPr>
          <w:p w:rsidR="003114C1" w:rsidRPr="003A38BA" w:rsidRDefault="003114C1" w:rsidP="003114C1">
            <w:pPr>
              <w:spacing w:after="120"/>
              <w:ind w:left="0" w:firstLine="0"/>
              <w:jc w:val="center"/>
            </w:pPr>
            <w:r>
              <w:t>25 000</w:t>
            </w:r>
          </w:p>
        </w:tc>
        <w:tc>
          <w:tcPr>
            <w:tcW w:w="1316" w:type="dxa"/>
          </w:tcPr>
          <w:p w:rsidR="003114C1" w:rsidRPr="003A38BA" w:rsidRDefault="003114C1" w:rsidP="003114C1">
            <w:pPr>
              <w:spacing w:after="120"/>
              <w:ind w:left="0" w:firstLine="0"/>
              <w:jc w:val="center"/>
            </w:pPr>
            <w:r>
              <w:t>200 000</w:t>
            </w:r>
          </w:p>
        </w:tc>
      </w:tr>
      <w:tr w:rsidR="003114C1" w:rsidRPr="003A38BA" w:rsidTr="00C34F3E">
        <w:tc>
          <w:tcPr>
            <w:tcW w:w="1316" w:type="dxa"/>
          </w:tcPr>
          <w:p w:rsidR="003114C1" w:rsidRPr="003A38BA" w:rsidRDefault="003114C1" w:rsidP="00C34F3E">
            <w:pPr>
              <w:spacing w:after="120"/>
              <w:ind w:left="0" w:firstLine="0"/>
              <w:jc w:val="center"/>
            </w:pPr>
            <w:r>
              <w:t>4</w:t>
            </w:r>
          </w:p>
        </w:tc>
        <w:tc>
          <w:tcPr>
            <w:tcW w:w="1316" w:type="dxa"/>
          </w:tcPr>
          <w:p w:rsidR="003114C1" w:rsidRPr="003A38BA" w:rsidRDefault="003114C1" w:rsidP="003114C1">
            <w:pPr>
              <w:spacing w:after="120"/>
              <w:ind w:left="0" w:firstLine="0"/>
              <w:jc w:val="center"/>
            </w:pPr>
            <w:r>
              <w:t>300 000</w:t>
            </w:r>
          </w:p>
        </w:tc>
        <w:tc>
          <w:tcPr>
            <w:tcW w:w="1316" w:type="dxa"/>
          </w:tcPr>
          <w:p w:rsidR="003114C1" w:rsidRPr="003A38BA" w:rsidRDefault="003114C1" w:rsidP="003114C1">
            <w:pPr>
              <w:spacing w:after="120"/>
              <w:ind w:left="0" w:firstLine="0"/>
              <w:jc w:val="center"/>
            </w:pPr>
            <w:r>
              <w:t>-</w:t>
            </w:r>
          </w:p>
        </w:tc>
        <w:tc>
          <w:tcPr>
            <w:tcW w:w="1316" w:type="dxa"/>
          </w:tcPr>
          <w:p w:rsidR="003114C1" w:rsidRPr="003A38BA" w:rsidRDefault="003114C1" w:rsidP="003114C1">
            <w:pPr>
              <w:spacing w:after="120"/>
              <w:ind w:left="0" w:firstLine="0"/>
              <w:jc w:val="center"/>
            </w:pPr>
            <w:r>
              <w:t>290 000</w:t>
            </w:r>
          </w:p>
        </w:tc>
        <w:tc>
          <w:tcPr>
            <w:tcW w:w="1316" w:type="dxa"/>
          </w:tcPr>
          <w:p w:rsidR="003114C1" w:rsidRPr="003A38BA" w:rsidRDefault="003114C1" w:rsidP="003114C1">
            <w:pPr>
              <w:spacing w:after="120"/>
              <w:ind w:left="0" w:firstLine="0"/>
              <w:jc w:val="center"/>
            </w:pPr>
            <w:r>
              <w:t>10 000</w:t>
            </w:r>
          </w:p>
        </w:tc>
        <w:tc>
          <w:tcPr>
            <w:tcW w:w="1316" w:type="dxa"/>
          </w:tcPr>
          <w:p w:rsidR="003114C1" w:rsidRPr="003A38BA" w:rsidRDefault="003114C1" w:rsidP="003114C1">
            <w:pPr>
              <w:spacing w:after="120"/>
              <w:ind w:left="0" w:firstLine="0"/>
              <w:jc w:val="center"/>
            </w:pPr>
            <w:r>
              <w:t>25 000</w:t>
            </w:r>
          </w:p>
        </w:tc>
        <w:tc>
          <w:tcPr>
            <w:tcW w:w="1316" w:type="dxa"/>
          </w:tcPr>
          <w:p w:rsidR="003114C1" w:rsidRPr="003A38BA" w:rsidRDefault="003114C1" w:rsidP="003114C1">
            <w:pPr>
              <w:spacing w:after="120"/>
              <w:ind w:left="0" w:firstLine="0"/>
              <w:jc w:val="center"/>
            </w:pPr>
            <w:r>
              <w:t>500 000</w:t>
            </w:r>
          </w:p>
        </w:tc>
      </w:tr>
      <w:tr w:rsidR="003114C1" w:rsidRPr="003A38BA" w:rsidTr="00C34F3E">
        <w:tc>
          <w:tcPr>
            <w:tcW w:w="1316" w:type="dxa"/>
          </w:tcPr>
          <w:p w:rsidR="003114C1" w:rsidRPr="003A38BA" w:rsidRDefault="003114C1" w:rsidP="00C34F3E">
            <w:pPr>
              <w:spacing w:after="120"/>
              <w:ind w:left="0" w:firstLine="0"/>
              <w:jc w:val="center"/>
            </w:pPr>
            <w:r>
              <w:t>5</w:t>
            </w:r>
          </w:p>
        </w:tc>
        <w:tc>
          <w:tcPr>
            <w:tcW w:w="1316" w:type="dxa"/>
          </w:tcPr>
          <w:p w:rsidR="003114C1" w:rsidRPr="003A38BA" w:rsidRDefault="003114C1" w:rsidP="003114C1">
            <w:pPr>
              <w:spacing w:after="120"/>
              <w:ind w:left="0" w:firstLine="0"/>
              <w:jc w:val="center"/>
            </w:pPr>
            <w:r>
              <w:t>500 000</w:t>
            </w:r>
          </w:p>
        </w:tc>
        <w:tc>
          <w:tcPr>
            <w:tcW w:w="1316" w:type="dxa"/>
          </w:tcPr>
          <w:p w:rsidR="003114C1" w:rsidRPr="003A38BA" w:rsidRDefault="003114C1" w:rsidP="003114C1">
            <w:pPr>
              <w:spacing w:after="120"/>
              <w:ind w:left="0" w:firstLine="0"/>
              <w:jc w:val="center"/>
            </w:pPr>
            <w:r>
              <w:t>-</w:t>
            </w:r>
          </w:p>
        </w:tc>
        <w:tc>
          <w:tcPr>
            <w:tcW w:w="1316" w:type="dxa"/>
          </w:tcPr>
          <w:p w:rsidR="003114C1" w:rsidRPr="003A38BA" w:rsidRDefault="003114C1" w:rsidP="003114C1">
            <w:pPr>
              <w:spacing w:after="120"/>
              <w:ind w:left="0" w:firstLine="0"/>
              <w:jc w:val="center"/>
            </w:pPr>
            <w:r>
              <w:t>490 000</w:t>
            </w:r>
          </w:p>
        </w:tc>
        <w:tc>
          <w:tcPr>
            <w:tcW w:w="1316" w:type="dxa"/>
          </w:tcPr>
          <w:p w:rsidR="003114C1" w:rsidRPr="003A38BA" w:rsidRDefault="003114C1" w:rsidP="003114C1">
            <w:pPr>
              <w:spacing w:after="120"/>
              <w:ind w:left="0" w:firstLine="0"/>
              <w:jc w:val="center"/>
            </w:pPr>
            <w:r>
              <w:t>10 000</w:t>
            </w:r>
          </w:p>
        </w:tc>
        <w:tc>
          <w:tcPr>
            <w:tcW w:w="1316" w:type="dxa"/>
          </w:tcPr>
          <w:p w:rsidR="003114C1" w:rsidRPr="003A38BA" w:rsidRDefault="003114C1" w:rsidP="003114C1">
            <w:pPr>
              <w:spacing w:after="120"/>
              <w:ind w:left="0" w:firstLine="0"/>
              <w:jc w:val="center"/>
            </w:pPr>
            <w:r>
              <w:t>25 000</w:t>
            </w:r>
          </w:p>
        </w:tc>
        <w:tc>
          <w:tcPr>
            <w:tcW w:w="1316" w:type="dxa"/>
          </w:tcPr>
          <w:p w:rsidR="003114C1" w:rsidRPr="003A38BA" w:rsidRDefault="003114C1" w:rsidP="003114C1">
            <w:pPr>
              <w:spacing w:after="120"/>
              <w:ind w:left="0" w:firstLine="0"/>
              <w:jc w:val="center"/>
            </w:pPr>
            <w:r>
              <w:t>1 000 000</w:t>
            </w:r>
          </w:p>
        </w:tc>
      </w:tr>
      <w:tr w:rsidR="003114C1" w:rsidRPr="003A38BA" w:rsidTr="00C34F3E">
        <w:tc>
          <w:tcPr>
            <w:tcW w:w="1316" w:type="dxa"/>
          </w:tcPr>
          <w:p w:rsidR="003114C1" w:rsidRPr="003A38BA" w:rsidRDefault="003114C1" w:rsidP="00C34F3E">
            <w:pPr>
              <w:spacing w:after="120"/>
              <w:ind w:left="0" w:firstLine="0"/>
              <w:jc w:val="center"/>
            </w:pPr>
            <w:r>
              <w:t>6</w:t>
            </w:r>
          </w:p>
        </w:tc>
        <w:tc>
          <w:tcPr>
            <w:tcW w:w="1316" w:type="dxa"/>
          </w:tcPr>
          <w:p w:rsidR="003114C1" w:rsidRPr="003A38BA" w:rsidRDefault="003114C1" w:rsidP="003114C1">
            <w:pPr>
              <w:spacing w:after="120"/>
              <w:ind w:left="0" w:firstLine="0"/>
              <w:jc w:val="center"/>
            </w:pPr>
            <w:r>
              <w:t>1 000 000</w:t>
            </w:r>
          </w:p>
        </w:tc>
        <w:tc>
          <w:tcPr>
            <w:tcW w:w="1316" w:type="dxa"/>
          </w:tcPr>
          <w:p w:rsidR="003114C1" w:rsidRPr="003A38BA" w:rsidRDefault="003114C1" w:rsidP="003114C1">
            <w:pPr>
              <w:spacing w:after="120"/>
              <w:ind w:left="0" w:firstLine="0"/>
              <w:jc w:val="center"/>
            </w:pPr>
            <w:r>
              <w:t>-</w:t>
            </w:r>
          </w:p>
        </w:tc>
        <w:tc>
          <w:tcPr>
            <w:tcW w:w="1316" w:type="dxa"/>
          </w:tcPr>
          <w:p w:rsidR="003114C1" w:rsidRPr="003A38BA" w:rsidRDefault="003114C1" w:rsidP="003114C1">
            <w:pPr>
              <w:spacing w:after="120"/>
              <w:ind w:left="0" w:firstLine="0"/>
              <w:jc w:val="center"/>
            </w:pPr>
            <w:r>
              <w:t>980 000</w:t>
            </w:r>
          </w:p>
        </w:tc>
        <w:tc>
          <w:tcPr>
            <w:tcW w:w="1316" w:type="dxa"/>
          </w:tcPr>
          <w:p w:rsidR="003114C1" w:rsidRPr="003A38BA" w:rsidRDefault="003114C1" w:rsidP="003114C1">
            <w:pPr>
              <w:spacing w:after="120"/>
              <w:ind w:left="0" w:firstLine="0"/>
              <w:jc w:val="center"/>
            </w:pPr>
            <w:r>
              <w:t>20 000</w:t>
            </w:r>
          </w:p>
        </w:tc>
        <w:tc>
          <w:tcPr>
            <w:tcW w:w="1316" w:type="dxa"/>
          </w:tcPr>
          <w:p w:rsidR="003114C1" w:rsidRPr="003A38BA" w:rsidRDefault="003114C1" w:rsidP="003114C1">
            <w:pPr>
              <w:spacing w:after="120"/>
              <w:ind w:left="0" w:firstLine="0"/>
              <w:jc w:val="center"/>
            </w:pPr>
            <w:r>
              <w:t>25 000</w:t>
            </w:r>
          </w:p>
        </w:tc>
        <w:tc>
          <w:tcPr>
            <w:tcW w:w="1316" w:type="dxa"/>
          </w:tcPr>
          <w:p w:rsidR="003114C1" w:rsidRPr="003A38BA" w:rsidRDefault="003114C1" w:rsidP="003114C1">
            <w:pPr>
              <w:spacing w:after="120"/>
              <w:ind w:left="0" w:firstLine="0"/>
              <w:jc w:val="center"/>
            </w:pPr>
            <w:r>
              <w:t>2 000 000</w:t>
            </w:r>
          </w:p>
        </w:tc>
      </w:tr>
      <w:tr w:rsidR="003114C1" w:rsidRPr="003A38BA" w:rsidTr="00C34F3E">
        <w:tc>
          <w:tcPr>
            <w:tcW w:w="1316" w:type="dxa"/>
          </w:tcPr>
          <w:p w:rsidR="003114C1" w:rsidRPr="003A38BA" w:rsidRDefault="003114C1" w:rsidP="00C34F3E">
            <w:pPr>
              <w:spacing w:after="120"/>
              <w:ind w:left="0" w:firstLine="0"/>
              <w:jc w:val="center"/>
            </w:pPr>
            <w:r>
              <w:t>7</w:t>
            </w:r>
          </w:p>
        </w:tc>
        <w:tc>
          <w:tcPr>
            <w:tcW w:w="1316" w:type="dxa"/>
          </w:tcPr>
          <w:p w:rsidR="003114C1" w:rsidRPr="003A38BA" w:rsidRDefault="003114C1" w:rsidP="003114C1">
            <w:pPr>
              <w:spacing w:after="120"/>
              <w:ind w:left="0" w:firstLine="0"/>
              <w:jc w:val="center"/>
            </w:pPr>
            <w:r>
              <w:t>1 000 000</w:t>
            </w:r>
          </w:p>
        </w:tc>
        <w:tc>
          <w:tcPr>
            <w:tcW w:w="1316" w:type="dxa"/>
          </w:tcPr>
          <w:p w:rsidR="003114C1" w:rsidRPr="003A38BA" w:rsidRDefault="003114C1" w:rsidP="003114C1">
            <w:pPr>
              <w:spacing w:after="120"/>
              <w:ind w:left="0" w:firstLine="0"/>
              <w:jc w:val="center"/>
            </w:pPr>
            <w:r>
              <w:t>-</w:t>
            </w:r>
          </w:p>
        </w:tc>
        <w:tc>
          <w:tcPr>
            <w:tcW w:w="1316" w:type="dxa"/>
          </w:tcPr>
          <w:p w:rsidR="003114C1" w:rsidRPr="003A38BA" w:rsidRDefault="003114C1" w:rsidP="003114C1">
            <w:pPr>
              <w:spacing w:after="120"/>
              <w:ind w:left="0" w:firstLine="0"/>
              <w:jc w:val="center"/>
            </w:pPr>
            <w:r>
              <w:t>980 000</w:t>
            </w:r>
          </w:p>
        </w:tc>
        <w:tc>
          <w:tcPr>
            <w:tcW w:w="1316" w:type="dxa"/>
          </w:tcPr>
          <w:p w:rsidR="003114C1" w:rsidRPr="003A38BA" w:rsidRDefault="003114C1" w:rsidP="003114C1">
            <w:pPr>
              <w:spacing w:after="120"/>
              <w:ind w:left="0" w:firstLine="0"/>
              <w:jc w:val="center"/>
            </w:pPr>
            <w:r>
              <w:t>20 000</w:t>
            </w:r>
          </w:p>
        </w:tc>
        <w:tc>
          <w:tcPr>
            <w:tcW w:w="1316" w:type="dxa"/>
          </w:tcPr>
          <w:p w:rsidR="003114C1" w:rsidRPr="003A38BA" w:rsidRDefault="003114C1" w:rsidP="003114C1">
            <w:pPr>
              <w:spacing w:after="120"/>
              <w:ind w:left="0" w:firstLine="0"/>
              <w:jc w:val="center"/>
            </w:pPr>
            <w:r>
              <w:t>25 000</w:t>
            </w:r>
          </w:p>
        </w:tc>
        <w:tc>
          <w:tcPr>
            <w:tcW w:w="1316" w:type="dxa"/>
          </w:tcPr>
          <w:p w:rsidR="003114C1" w:rsidRPr="003A38BA" w:rsidRDefault="003114C1" w:rsidP="003114C1">
            <w:pPr>
              <w:spacing w:after="120"/>
              <w:ind w:left="0" w:firstLine="0"/>
              <w:jc w:val="center"/>
            </w:pPr>
            <w:r>
              <w:t>3 000 000</w:t>
            </w:r>
          </w:p>
        </w:tc>
      </w:tr>
      <w:tr w:rsidR="003114C1" w:rsidRPr="003A38BA" w:rsidTr="00C34F3E">
        <w:tc>
          <w:tcPr>
            <w:tcW w:w="1316" w:type="dxa"/>
          </w:tcPr>
          <w:p w:rsidR="003114C1" w:rsidRPr="003A38BA" w:rsidRDefault="003114C1" w:rsidP="00EB7D09">
            <w:pPr>
              <w:spacing w:after="120"/>
              <w:ind w:left="0" w:firstLine="0"/>
              <w:jc w:val="center"/>
            </w:pPr>
            <w:r>
              <w:t>8</w:t>
            </w:r>
          </w:p>
        </w:tc>
        <w:tc>
          <w:tcPr>
            <w:tcW w:w="1316" w:type="dxa"/>
          </w:tcPr>
          <w:p w:rsidR="003114C1" w:rsidRPr="003A38BA" w:rsidRDefault="003114C1" w:rsidP="003114C1">
            <w:pPr>
              <w:spacing w:after="120"/>
              <w:ind w:left="0" w:firstLine="0"/>
              <w:jc w:val="center"/>
            </w:pPr>
            <w:r>
              <w:t>1 000 000</w:t>
            </w:r>
          </w:p>
        </w:tc>
        <w:tc>
          <w:tcPr>
            <w:tcW w:w="1316" w:type="dxa"/>
          </w:tcPr>
          <w:p w:rsidR="003114C1" w:rsidRPr="003A38BA" w:rsidRDefault="003114C1" w:rsidP="003114C1">
            <w:pPr>
              <w:spacing w:after="120"/>
              <w:ind w:left="0" w:firstLine="0"/>
              <w:jc w:val="center"/>
            </w:pPr>
            <w:r>
              <w:t>-</w:t>
            </w:r>
          </w:p>
        </w:tc>
        <w:tc>
          <w:tcPr>
            <w:tcW w:w="1316" w:type="dxa"/>
          </w:tcPr>
          <w:p w:rsidR="003114C1" w:rsidRPr="003A38BA" w:rsidRDefault="003114C1" w:rsidP="003114C1">
            <w:pPr>
              <w:spacing w:after="120"/>
              <w:ind w:left="0" w:firstLine="0"/>
              <w:jc w:val="center"/>
            </w:pPr>
            <w:r>
              <w:t>980 000</w:t>
            </w:r>
          </w:p>
        </w:tc>
        <w:tc>
          <w:tcPr>
            <w:tcW w:w="1316" w:type="dxa"/>
          </w:tcPr>
          <w:p w:rsidR="003114C1" w:rsidRPr="003A38BA" w:rsidRDefault="003114C1" w:rsidP="003114C1">
            <w:pPr>
              <w:spacing w:after="120"/>
              <w:ind w:left="0" w:firstLine="0"/>
              <w:jc w:val="center"/>
            </w:pPr>
            <w:r>
              <w:t>20 000</w:t>
            </w:r>
          </w:p>
        </w:tc>
        <w:tc>
          <w:tcPr>
            <w:tcW w:w="1316" w:type="dxa"/>
          </w:tcPr>
          <w:p w:rsidR="003114C1" w:rsidRPr="003A38BA" w:rsidRDefault="003114C1" w:rsidP="003114C1">
            <w:pPr>
              <w:spacing w:after="120"/>
              <w:ind w:left="0" w:firstLine="0"/>
              <w:jc w:val="center"/>
            </w:pPr>
            <w:r>
              <w:t>25 000</w:t>
            </w:r>
          </w:p>
        </w:tc>
        <w:tc>
          <w:tcPr>
            <w:tcW w:w="1316" w:type="dxa"/>
          </w:tcPr>
          <w:p w:rsidR="003114C1" w:rsidRPr="003A38BA" w:rsidRDefault="003114C1" w:rsidP="003114C1">
            <w:pPr>
              <w:spacing w:after="120"/>
              <w:ind w:left="0" w:firstLine="0"/>
              <w:jc w:val="center"/>
            </w:pPr>
            <w:r>
              <w:t>4 000 000</w:t>
            </w:r>
          </w:p>
        </w:tc>
      </w:tr>
      <w:tr w:rsidR="003114C1" w:rsidRPr="003A38BA" w:rsidTr="00234C80">
        <w:tc>
          <w:tcPr>
            <w:tcW w:w="9212" w:type="dxa"/>
            <w:gridSpan w:val="7"/>
          </w:tcPr>
          <w:p w:rsidR="003114C1" w:rsidRPr="003A38BA" w:rsidRDefault="003114C1" w:rsidP="00C94718">
            <w:pPr>
              <w:spacing w:after="120"/>
              <w:ind w:left="0" w:firstLine="0"/>
            </w:pPr>
            <w:r>
              <w:t xml:space="preserve">*) Para a irrigação, deve utilizar-se exclusivamente água sem quaisquer aditivos. No ensaio de sistemas de marcação termoplásticos, o número das rolagens com irrigação aumenta 50 %. O número das rolagens em estado seco é adaptado em conformidade. </w:t>
            </w:r>
          </w:p>
        </w:tc>
      </w:tr>
    </w:tbl>
    <w:p w:rsidR="00B2761F" w:rsidRPr="003A38BA" w:rsidRDefault="00B2761F" w:rsidP="007C21AF">
      <w:pPr>
        <w:pStyle w:val="Heading1"/>
        <w:numPr>
          <w:ilvl w:val="2"/>
          <w:numId w:val="5"/>
        </w:numPr>
        <w:ind w:left="1440" w:hanging="720"/>
        <w:jc w:val="both"/>
        <w:rPr>
          <w:sz w:val="24"/>
          <w:szCs w:val="24"/>
        </w:rPr>
      </w:pPr>
      <w:bookmarkStart w:id="41" w:name="_Toc2194173"/>
      <w:bookmarkStart w:id="42" w:name="_Toc12478637"/>
      <w:r>
        <w:rPr>
          <w:sz w:val="24"/>
        </w:rPr>
        <w:t>Medições referentes ao equipamento e às condições de ensaio</w:t>
      </w:r>
      <w:bookmarkEnd w:id="41"/>
      <w:bookmarkEnd w:id="42"/>
    </w:p>
    <w:p w:rsidR="009759A4" w:rsidRPr="003A38BA" w:rsidRDefault="00061E4E" w:rsidP="007C21AF">
      <w:pPr>
        <w:spacing w:after="120"/>
        <w:ind w:left="0" w:firstLine="0"/>
        <w:jc w:val="both"/>
      </w:pPr>
      <w:r>
        <w:t>A pressão dos pneus, o sopé e o ângulo de articulação devem ser verificados em conformidade com a secção 4.1.1 e, se necessário, corrigidos.</w:t>
      </w:r>
    </w:p>
    <w:p w:rsidR="00061E4E" w:rsidRPr="003A38BA" w:rsidRDefault="00061E4E" w:rsidP="007C21AF">
      <w:pPr>
        <w:spacing w:after="120"/>
        <w:ind w:left="0" w:firstLine="0"/>
        <w:jc w:val="both"/>
      </w:pPr>
      <w:r>
        <w:t>A temperatura ambiente, a temperatura da superfície das placas de ensaio, a carga da roda, a velocidade e o número das rolagens devem ser continuamente monitorizados e registados durante o ensaio.</w:t>
      </w:r>
    </w:p>
    <w:p w:rsidR="00B2761F" w:rsidRPr="003A38BA" w:rsidRDefault="00B2761F" w:rsidP="007C21AF">
      <w:pPr>
        <w:pStyle w:val="Heading1"/>
        <w:numPr>
          <w:ilvl w:val="2"/>
          <w:numId w:val="5"/>
        </w:numPr>
        <w:ind w:left="1440" w:hanging="720"/>
        <w:jc w:val="both"/>
        <w:rPr>
          <w:sz w:val="24"/>
          <w:szCs w:val="24"/>
        </w:rPr>
      </w:pPr>
      <w:bookmarkStart w:id="43" w:name="_Toc2194174"/>
      <w:bookmarkStart w:id="44" w:name="_Toc12478638"/>
      <w:r>
        <w:rPr>
          <w:sz w:val="24"/>
        </w:rPr>
        <w:lastRenderedPageBreak/>
        <w:t>Medições das propriedades técnicas de circulação dos sistemas de marcação</w:t>
      </w:r>
      <w:bookmarkEnd w:id="43"/>
      <w:bookmarkEnd w:id="44"/>
    </w:p>
    <w:p w:rsidR="00DF3B72" w:rsidRPr="003A38BA" w:rsidRDefault="00DF3B72" w:rsidP="007C21AF">
      <w:pPr>
        <w:spacing w:after="120"/>
        <w:ind w:left="0" w:firstLine="0"/>
        <w:jc w:val="both"/>
      </w:pPr>
      <w:r>
        <w:t>As propriedades técnicas de circulação dos sistemas de marcação são determinadas continuamente durante o ensaio de aptidão. As medições são sempre realizadas em conformidade com as especificações da norma DIN EN 1436.</w:t>
      </w:r>
    </w:p>
    <w:p w:rsidR="00D9642C" w:rsidRPr="003A38BA" w:rsidRDefault="00D9642C" w:rsidP="007C21AF">
      <w:pPr>
        <w:spacing w:after="120"/>
        <w:ind w:left="0" w:firstLine="0"/>
        <w:jc w:val="both"/>
      </w:pPr>
      <w:r>
        <w:t>Procede-se à determinação da visibilidade diurna com base no coeficiente de luminância com iluminação difusa Qd e da qualidade da cor (x,y) do espaço de cor, da visibilidade noturna no estado seco com base no coeficiente de luminância com retrorreflexão RL(seco), da visibilidade noturna no estado molhado com base no coeficiente de luminância com retrorreflexão RL(molhado) com marcações do tipo II, da aderência em unidades SRT e do desgaste em percentagem.</w:t>
      </w:r>
    </w:p>
    <w:p w:rsidR="001D17DA" w:rsidRPr="003A38BA" w:rsidRDefault="001D17DA" w:rsidP="007C21AF">
      <w:pPr>
        <w:spacing w:after="120"/>
        <w:ind w:left="0" w:firstLine="0"/>
        <w:jc w:val="both"/>
      </w:pPr>
      <w:r>
        <w:t xml:space="preserve">A determinação do coeficiente de luminância com retrorreflexão RL (molhado) é realizada com 2 % de inclinação transversal das placas de ensaio. </w:t>
      </w:r>
    </w:p>
    <w:p w:rsidR="00A13538" w:rsidRPr="003A38BA" w:rsidRDefault="00A13538" w:rsidP="007C21AF">
      <w:pPr>
        <w:spacing w:after="120"/>
        <w:ind w:left="0" w:firstLine="0"/>
        <w:jc w:val="both"/>
      </w:pPr>
      <w:r>
        <w:t>No que se refere ao desgaste, determina-se o rácio da superfície coberta por marcação no estado com rolagem para a mesma superfície no estado sem rolagem. A versão revista do Folheto informativo para marcações de aglomerados (atualmente em fase de projeto) contém indicações precisas a este respeito.</w:t>
      </w:r>
    </w:p>
    <w:p w:rsidR="00D9642C" w:rsidRPr="003A38BA" w:rsidRDefault="00D9642C" w:rsidP="007C21AF">
      <w:pPr>
        <w:spacing w:after="120"/>
        <w:ind w:left="0" w:firstLine="0"/>
        <w:jc w:val="both"/>
      </w:pPr>
      <w:r>
        <w:t>As medições são realizadas nas três placas de ensaio, sendo indicado como resultado o valor médio respetivo calculado. A superfície coberta pelas medições nas três placas de ensaio deve corresponder, pelo menos, a 400 cm².</w:t>
      </w:r>
    </w:p>
    <w:p w:rsidR="008B4E60" w:rsidRPr="003A38BA" w:rsidRDefault="00D9642C" w:rsidP="007C21AF">
      <w:pPr>
        <w:spacing w:after="120"/>
        <w:ind w:left="0" w:firstLine="0"/>
        <w:jc w:val="both"/>
      </w:pPr>
      <w:r>
        <w:t>As medições são realizadas antes do início das rolagens e após o término de um ciclo de medição. No que se refere às propriedades técnicas de luminosidade, o estado «novo» é medido após 10 000 rolagens. A medição das propriedades técnicas de luminosidade antes do início das rolagens tem fins exclusivamente informativos e não é relevante para o resultado do ensaio.</w:t>
      </w:r>
    </w:p>
    <w:p w:rsidR="00D9642C" w:rsidRPr="003A38BA" w:rsidRDefault="001D17DA" w:rsidP="007C21AF">
      <w:pPr>
        <w:spacing w:after="120"/>
        <w:ind w:left="0" w:firstLine="0"/>
        <w:jc w:val="both"/>
      </w:pPr>
      <w:r>
        <w:t>Na medição da aderência, o estado «novo» é medido antes do início das rolagens. A divisão dos ciclos de medição orienta-se, entre outros aspetos, pelas classes de circulação e pode ser retirada do quadro 5. O ciclo de medição 1 termina após 10 000 rolagens.</w:t>
      </w:r>
    </w:p>
    <w:p w:rsidR="003114C1" w:rsidRPr="003A38BA" w:rsidRDefault="003E3497" w:rsidP="00A11530">
      <w:pPr>
        <w:pStyle w:val="Subtitle"/>
        <w:keepNext/>
        <w:ind w:left="1440" w:hanging="1440"/>
        <w:jc w:val="both"/>
        <w:rPr>
          <w:spacing w:val="0"/>
        </w:rPr>
      </w:pPr>
      <w:r>
        <w:t>Quadro 5:</w:t>
      </w:r>
      <w:r>
        <w:tab/>
        <w:t>Atribuição das classes de circulação aos ciclos de medição</w:t>
      </w:r>
    </w:p>
    <w:tbl>
      <w:tblPr>
        <w:tblStyle w:val="TableGrid"/>
        <w:tblW w:w="0" w:type="auto"/>
        <w:tblInd w:w="357" w:type="dxa"/>
        <w:tblLook w:val="04A0" w:firstRow="1" w:lastRow="0" w:firstColumn="1" w:lastColumn="0" w:noHBand="0" w:noVBand="1"/>
      </w:tblPr>
      <w:tblGrid>
        <w:gridCol w:w="2965"/>
        <w:gridCol w:w="2984"/>
        <w:gridCol w:w="2982"/>
      </w:tblGrid>
      <w:tr w:rsidR="003114C1" w:rsidRPr="003A38BA" w:rsidTr="003114C1">
        <w:tc>
          <w:tcPr>
            <w:tcW w:w="2965" w:type="dxa"/>
          </w:tcPr>
          <w:p w:rsidR="003114C1" w:rsidRPr="003A38BA" w:rsidRDefault="003114C1" w:rsidP="003114C1">
            <w:pPr>
              <w:ind w:left="0" w:firstLine="0"/>
              <w:jc w:val="center"/>
            </w:pPr>
            <w:r>
              <w:t>Ciclo de medição</w:t>
            </w:r>
          </w:p>
        </w:tc>
        <w:tc>
          <w:tcPr>
            <w:tcW w:w="2984" w:type="dxa"/>
          </w:tcPr>
          <w:p w:rsidR="003114C1" w:rsidRPr="003A38BA" w:rsidRDefault="003114C1" w:rsidP="003114C1">
            <w:pPr>
              <w:ind w:left="0" w:firstLine="0"/>
              <w:jc w:val="center"/>
            </w:pPr>
            <w:r>
              <w:t>Classe de circulação</w:t>
            </w:r>
          </w:p>
        </w:tc>
        <w:tc>
          <w:tcPr>
            <w:tcW w:w="2982" w:type="dxa"/>
          </w:tcPr>
          <w:p w:rsidR="003114C1" w:rsidRPr="003A38BA" w:rsidRDefault="003114C1" w:rsidP="003114C1">
            <w:pPr>
              <w:ind w:left="0" w:firstLine="0"/>
              <w:jc w:val="center"/>
            </w:pPr>
            <w:r>
              <w:t>Número de rolagens</w:t>
            </w:r>
          </w:p>
        </w:tc>
      </w:tr>
      <w:tr w:rsidR="003114C1" w:rsidRPr="003A38BA" w:rsidTr="003114C1">
        <w:tc>
          <w:tcPr>
            <w:tcW w:w="2965" w:type="dxa"/>
          </w:tcPr>
          <w:p w:rsidR="003114C1" w:rsidRPr="003A38BA" w:rsidRDefault="003114C1" w:rsidP="003114C1">
            <w:pPr>
              <w:ind w:left="0" w:firstLine="0"/>
              <w:jc w:val="center"/>
            </w:pPr>
            <w:r>
              <w:t>1</w:t>
            </w:r>
          </w:p>
        </w:tc>
        <w:tc>
          <w:tcPr>
            <w:tcW w:w="2984" w:type="dxa"/>
          </w:tcPr>
          <w:p w:rsidR="003114C1" w:rsidRPr="003A38BA" w:rsidRDefault="003114C1" w:rsidP="003114C1">
            <w:pPr>
              <w:ind w:left="0" w:firstLine="0"/>
              <w:jc w:val="center"/>
            </w:pPr>
            <w:r>
              <w:t>P0</w:t>
            </w:r>
          </w:p>
        </w:tc>
        <w:tc>
          <w:tcPr>
            <w:tcW w:w="2982" w:type="dxa"/>
          </w:tcPr>
          <w:p w:rsidR="003114C1" w:rsidRPr="003A38BA" w:rsidRDefault="003114C1" w:rsidP="003114C1">
            <w:pPr>
              <w:ind w:left="0" w:firstLine="0"/>
              <w:jc w:val="center"/>
            </w:pPr>
            <w:r>
              <w:t>&lt; 50 000</w:t>
            </w:r>
          </w:p>
        </w:tc>
      </w:tr>
      <w:tr w:rsidR="003114C1" w:rsidRPr="003A38BA" w:rsidTr="003114C1">
        <w:tc>
          <w:tcPr>
            <w:tcW w:w="2965" w:type="dxa"/>
          </w:tcPr>
          <w:p w:rsidR="003114C1" w:rsidRPr="003A38BA" w:rsidRDefault="003114C1" w:rsidP="003114C1">
            <w:pPr>
              <w:ind w:left="0" w:firstLine="0"/>
              <w:jc w:val="center"/>
            </w:pPr>
            <w:r>
              <w:t>2</w:t>
            </w:r>
          </w:p>
        </w:tc>
        <w:tc>
          <w:tcPr>
            <w:tcW w:w="2984" w:type="dxa"/>
          </w:tcPr>
          <w:p w:rsidR="003114C1" w:rsidRPr="003A38BA" w:rsidRDefault="003114C1" w:rsidP="003114C1">
            <w:pPr>
              <w:ind w:left="0" w:firstLine="0"/>
              <w:jc w:val="center"/>
            </w:pPr>
            <w:r>
              <w:t>P2</w:t>
            </w:r>
          </w:p>
        </w:tc>
        <w:tc>
          <w:tcPr>
            <w:tcW w:w="2982" w:type="dxa"/>
          </w:tcPr>
          <w:p w:rsidR="003114C1" w:rsidRPr="003A38BA" w:rsidRDefault="003114C1" w:rsidP="003114C1">
            <w:pPr>
              <w:ind w:left="0" w:firstLine="0"/>
              <w:jc w:val="center"/>
            </w:pPr>
            <w:r>
              <w:t>100 000</w:t>
            </w:r>
          </w:p>
        </w:tc>
      </w:tr>
      <w:tr w:rsidR="003114C1" w:rsidRPr="003A38BA" w:rsidTr="003114C1">
        <w:tc>
          <w:tcPr>
            <w:tcW w:w="2965" w:type="dxa"/>
          </w:tcPr>
          <w:p w:rsidR="003114C1" w:rsidRPr="003A38BA" w:rsidRDefault="003114C1" w:rsidP="003114C1">
            <w:pPr>
              <w:ind w:left="0" w:firstLine="0"/>
              <w:jc w:val="center"/>
            </w:pPr>
            <w:r>
              <w:t>3</w:t>
            </w:r>
          </w:p>
        </w:tc>
        <w:tc>
          <w:tcPr>
            <w:tcW w:w="2984" w:type="dxa"/>
          </w:tcPr>
          <w:p w:rsidR="003114C1" w:rsidRPr="003A38BA" w:rsidRDefault="003114C1" w:rsidP="003114C1">
            <w:pPr>
              <w:ind w:left="0" w:firstLine="0"/>
              <w:jc w:val="center"/>
            </w:pPr>
            <w:r>
              <w:t>P3</w:t>
            </w:r>
          </w:p>
        </w:tc>
        <w:tc>
          <w:tcPr>
            <w:tcW w:w="2982" w:type="dxa"/>
          </w:tcPr>
          <w:p w:rsidR="003114C1" w:rsidRPr="003A38BA" w:rsidRDefault="003114C1" w:rsidP="003114C1">
            <w:pPr>
              <w:ind w:left="0" w:firstLine="0"/>
              <w:jc w:val="center"/>
            </w:pPr>
            <w:r>
              <w:t>200 000</w:t>
            </w:r>
          </w:p>
        </w:tc>
      </w:tr>
      <w:tr w:rsidR="003114C1" w:rsidRPr="003A38BA" w:rsidTr="003114C1">
        <w:tc>
          <w:tcPr>
            <w:tcW w:w="2965" w:type="dxa"/>
          </w:tcPr>
          <w:p w:rsidR="003114C1" w:rsidRPr="003A38BA" w:rsidRDefault="003114C1" w:rsidP="003114C1">
            <w:pPr>
              <w:ind w:left="0" w:firstLine="0"/>
              <w:jc w:val="center"/>
            </w:pPr>
            <w:r>
              <w:t>4</w:t>
            </w:r>
          </w:p>
        </w:tc>
        <w:tc>
          <w:tcPr>
            <w:tcW w:w="2984" w:type="dxa"/>
          </w:tcPr>
          <w:p w:rsidR="003114C1" w:rsidRPr="003A38BA" w:rsidRDefault="003114C1" w:rsidP="003114C1">
            <w:pPr>
              <w:ind w:left="0" w:firstLine="0"/>
              <w:jc w:val="center"/>
            </w:pPr>
            <w:r>
              <w:t>P4</w:t>
            </w:r>
          </w:p>
        </w:tc>
        <w:tc>
          <w:tcPr>
            <w:tcW w:w="2982" w:type="dxa"/>
          </w:tcPr>
          <w:p w:rsidR="003114C1" w:rsidRPr="003A38BA" w:rsidRDefault="003114C1" w:rsidP="003114C1">
            <w:pPr>
              <w:ind w:left="0" w:firstLine="0"/>
              <w:jc w:val="center"/>
            </w:pPr>
            <w:r>
              <w:t>500 000</w:t>
            </w:r>
          </w:p>
        </w:tc>
      </w:tr>
      <w:tr w:rsidR="003114C1" w:rsidRPr="003A38BA" w:rsidTr="003114C1">
        <w:tc>
          <w:tcPr>
            <w:tcW w:w="2965" w:type="dxa"/>
          </w:tcPr>
          <w:p w:rsidR="003114C1" w:rsidRPr="003A38BA" w:rsidRDefault="003114C1" w:rsidP="003114C1">
            <w:pPr>
              <w:ind w:left="0" w:firstLine="0"/>
              <w:jc w:val="center"/>
            </w:pPr>
            <w:r>
              <w:t>5</w:t>
            </w:r>
          </w:p>
        </w:tc>
        <w:tc>
          <w:tcPr>
            <w:tcW w:w="2984" w:type="dxa"/>
          </w:tcPr>
          <w:p w:rsidR="003114C1" w:rsidRPr="003A38BA" w:rsidRDefault="003114C1" w:rsidP="003114C1">
            <w:pPr>
              <w:ind w:left="0" w:firstLine="0"/>
              <w:jc w:val="center"/>
            </w:pPr>
            <w:r>
              <w:t>P5</w:t>
            </w:r>
          </w:p>
        </w:tc>
        <w:tc>
          <w:tcPr>
            <w:tcW w:w="2982" w:type="dxa"/>
          </w:tcPr>
          <w:p w:rsidR="003114C1" w:rsidRPr="003A38BA" w:rsidRDefault="003114C1" w:rsidP="003114C1">
            <w:pPr>
              <w:ind w:left="0" w:firstLine="0"/>
              <w:jc w:val="center"/>
            </w:pPr>
            <w:r>
              <w:t>1 000 000</w:t>
            </w:r>
          </w:p>
        </w:tc>
      </w:tr>
      <w:tr w:rsidR="003114C1" w:rsidRPr="003A38BA" w:rsidTr="003114C1">
        <w:tc>
          <w:tcPr>
            <w:tcW w:w="2965" w:type="dxa"/>
          </w:tcPr>
          <w:p w:rsidR="003114C1" w:rsidRPr="003A38BA" w:rsidRDefault="003114C1" w:rsidP="003114C1">
            <w:pPr>
              <w:ind w:left="0" w:firstLine="0"/>
              <w:jc w:val="center"/>
            </w:pPr>
            <w:r>
              <w:t>6</w:t>
            </w:r>
          </w:p>
        </w:tc>
        <w:tc>
          <w:tcPr>
            <w:tcW w:w="2984" w:type="dxa"/>
          </w:tcPr>
          <w:p w:rsidR="003114C1" w:rsidRPr="003A38BA" w:rsidRDefault="003114C1" w:rsidP="003114C1">
            <w:pPr>
              <w:ind w:left="0" w:firstLine="0"/>
              <w:jc w:val="center"/>
            </w:pPr>
            <w:r>
              <w:t>P6</w:t>
            </w:r>
          </w:p>
        </w:tc>
        <w:tc>
          <w:tcPr>
            <w:tcW w:w="2982" w:type="dxa"/>
          </w:tcPr>
          <w:p w:rsidR="003114C1" w:rsidRPr="003A38BA" w:rsidRDefault="003114C1" w:rsidP="003114C1">
            <w:pPr>
              <w:ind w:left="0" w:firstLine="0"/>
              <w:jc w:val="center"/>
            </w:pPr>
            <w:r>
              <w:t>2 000 000</w:t>
            </w:r>
          </w:p>
        </w:tc>
      </w:tr>
      <w:tr w:rsidR="003114C1" w:rsidRPr="003A38BA" w:rsidTr="003114C1">
        <w:tc>
          <w:tcPr>
            <w:tcW w:w="2965" w:type="dxa"/>
          </w:tcPr>
          <w:p w:rsidR="003114C1" w:rsidRPr="003A38BA" w:rsidRDefault="003114C1" w:rsidP="003114C1">
            <w:pPr>
              <w:ind w:left="0" w:firstLine="0"/>
              <w:jc w:val="center"/>
            </w:pPr>
            <w:r>
              <w:t>7</w:t>
            </w:r>
          </w:p>
        </w:tc>
        <w:tc>
          <w:tcPr>
            <w:tcW w:w="2984" w:type="dxa"/>
          </w:tcPr>
          <w:p w:rsidR="003114C1" w:rsidRPr="003A38BA" w:rsidRDefault="003114C1" w:rsidP="003114C1">
            <w:pPr>
              <w:ind w:left="0" w:firstLine="0"/>
              <w:jc w:val="center"/>
            </w:pPr>
            <w:r>
              <w:t>-</w:t>
            </w:r>
          </w:p>
        </w:tc>
        <w:tc>
          <w:tcPr>
            <w:tcW w:w="2982" w:type="dxa"/>
          </w:tcPr>
          <w:p w:rsidR="003114C1" w:rsidRPr="003A38BA" w:rsidRDefault="003114C1" w:rsidP="003114C1">
            <w:pPr>
              <w:ind w:left="0" w:firstLine="0"/>
              <w:jc w:val="center"/>
            </w:pPr>
            <w:r>
              <w:t>3 000 000</w:t>
            </w:r>
          </w:p>
        </w:tc>
      </w:tr>
      <w:tr w:rsidR="003114C1" w:rsidRPr="003A38BA" w:rsidTr="003114C1">
        <w:tc>
          <w:tcPr>
            <w:tcW w:w="2965" w:type="dxa"/>
          </w:tcPr>
          <w:p w:rsidR="003114C1" w:rsidRPr="003A38BA" w:rsidRDefault="003114C1" w:rsidP="003114C1">
            <w:pPr>
              <w:ind w:left="0" w:firstLine="0"/>
              <w:jc w:val="center"/>
            </w:pPr>
            <w:r>
              <w:t>8</w:t>
            </w:r>
          </w:p>
        </w:tc>
        <w:tc>
          <w:tcPr>
            <w:tcW w:w="2984" w:type="dxa"/>
          </w:tcPr>
          <w:p w:rsidR="003114C1" w:rsidRPr="003A38BA" w:rsidRDefault="003114C1" w:rsidP="003114C1">
            <w:pPr>
              <w:ind w:left="0" w:firstLine="0"/>
              <w:jc w:val="center"/>
            </w:pPr>
            <w:r>
              <w:t>P7</w:t>
            </w:r>
          </w:p>
        </w:tc>
        <w:tc>
          <w:tcPr>
            <w:tcW w:w="2982" w:type="dxa"/>
          </w:tcPr>
          <w:p w:rsidR="003114C1" w:rsidRPr="003A38BA" w:rsidRDefault="003114C1" w:rsidP="003114C1">
            <w:pPr>
              <w:ind w:left="0" w:firstLine="0"/>
              <w:jc w:val="center"/>
            </w:pPr>
            <w:r>
              <w:t>4 000 000</w:t>
            </w:r>
          </w:p>
        </w:tc>
      </w:tr>
    </w:tbl>
    <w:p w:rsidR="00993CFC" w:rsidRPr="003A38BA" w:rsidRDefault="00993CFC" w:rsidP="007C21AF">
      <w:pPr>
        <w:pStyle w:val="Heading1"/>
        <w:numPr>
          <w:ilvl w:val="2"/>
          <w:numId w:val="5"/>
        </w:numPr>
        <w:ind w:left="1440" w:hanging="720"/>
        <w:jc w:val="both"/>
        <w:rPr>
          <w:sz w:val="24"/>
          <w:szCs w:val="24"/>
        </w:rPr>
      </w:pPr>
      <w:bookmarkStart w:id="45" w:name="_Toc2194175"/>
      <w:bookmarkStart w:id="46" w:name="_Toc12478639"/>
      <w:r>
        <w:rPr>
          <w:sz w:val="24"/>
        </w:rPr>
        <w:t>Avaliação dos ensaios</w:t>
      </w:r>
      <w:bookmarkEnd w:id="45"/>
      <w:bookmarkEnd w:id="46"/>
    </w:p>
    <w:p w:rsidR="00993CFC" w:rsidRPr="003A38BA" w:rsidRDefault="00993CFC" w:rsidP="007C21AF">
      <w:pPr>
        <w:spacing w:after="120"/>
        <w:ind w:left="0" w:firstLine="0"/>
        <w:jc w:val="both"/>
      </w:pPr>
      <w:r>
        <w:t>Os resultados do ensaio de aptidão são resumidos num quadro de valores de medição. Se os requisitos mínimos nos termos das ZTV M para os estados «novo» e «usado» e os requisitos das TL M forem cumpridos, é possível emitir um certificado de ensaio (cf. anexo A). No que se refere aos requisitos mínimos nos termos das ZTV M, foram selecionadas classes superiores nos termos da norma DIN EN 1436 para as propriedades técnicas de luminosidade. Se os requisitos mínimos nos termos das ZTV M não forem alcançados e/ou os requisitos das TL M não forem cumpridos, mas os requisitos mínimos nos termos da norma DIN EN 1436 forem cumpridos, é possível emitir uma declaração do ensaio (cf. anexo A). Ao contrário do que acontece no caso de um certificado de ensaio nos termos das ZTV M, é possível não indicar qualquer desempenho para uma ou mais propriedades no caso de uma declaração nos termos da norma DIN EN 1436, desde que seja essa a vontade do requerente.</w:t>
      </w:r>
    </w:p>
    <w:p w:rsidR="00617E85" w:rsidRPr="003A38BA" w:rsidRDefault="00617E85" w:rsidP="007C21AF">
      <w:pPr>
        <w:spacing w:after="120"/>
        <w:ind w:left="0" w:firstLine="0"/>
        <w:jc w:val="both"/>
      </w:pPr>
      <w:r>
        <w:lastRenderedPageBreak/>
        <w:t>Com base em comparações cruzadas dos valores de medição da aderência de campos de ensaio e da mesa giratória, foram estabelecidos desvios nos requisitos para a mesa giratória, no que se refere à avaliação da aderência. A um valor SRT determinado no ensaio da mesa giratória são somados cinco pontos, para que a classe S1 mais baixa já seja avaliada como cumprida com um valor SRT de 40. A presente regulamentação não é, contudo, válida para a medição da aderência no estado «novo» antes do início das rolagens. Neste caso, é necessário um valor SRT de 45.</w:t>
      </w:r>
    </w:p>
    <w:p w:rsidR="00D9642C" w:rsidRPr="003A38BA" w:rsidRDefault="00D9642C" w:rsidP="007C21AF">
      <w:pPr>
        <w:pStyle w:val="Heading1"/>
        <w:numPr>
          <w:ilvl w:val="2"/>
          <w:numId w:val="5"/>
        </w:numPr>
        <w:ind w:left="1440" w:hanging="720"/>
        <w:jc w:val="both"/>
        <w:rPr>
          <w:sz w:val="24"/>
          <w:szCs w:val="24"/>
        </w:rPr>
      </w:pPr>
      <w:bookmarkStart w:id="47" w:name="_Toc2194176"/>
      <w:bookmarkStart w:id="48" w:name="_Toc12478640"/>
      <w:r>
        <w:rPr>
          <w:sz w:val="24"/>
        </w:rPr>
        <w:t>Controlo dos ensaios (reprodutibilidade)</w:t>
      </w:r>
      <w:bookmarkEnd w:id="47"/>
      <w:bookmarkEnd w:id="48"/>
    </w:p>
    <w:p w:rsidR="00D9642C" w:rsidRPr="003A38BA" w:rsidRDefault="00D9642C" w:rsidP="007C21AF">
      <w:pPr>
        <w:spacing w:after="120"/>
        <w:ind w:left="0" w:firstLine="0"/>
        <w:jc w:val="both"/>
      </w:pPr>
      <w:r>
        <w:t xml:space="preserve">Por forma a assegurar um processo de ensaio irrepreensível, cada teste deve conter uma amostra de referência, para o controlo. </w:t>
      </w:r>
    </w:p>
    <w:p w:rsidR="00D9642C" w:rsidRPr="003A38BA" w:rsidRDefault="00946519" w:rsidP="007C21AF">
      <w:pPr>
        <w:spacing w:after="120"/>
        <w:ind w:left="0" w:firstLine="0"/>
        <w:jc w:val="both"/>
      </w:pPr>
      <w:r>
        <w:t>Em cada amostra de referência devem ser igualmente medidas, no âmbito do ensaio de aptidão, todas as propriedades citadas na secção 4.4.3. Os resultados da medição não devem apresentar desvios dos resultados da medição original para a amostra selecionada, tendo em consideração as tolerâncias citadas de seguida.</w:t>
      </w:r>
    </w:p>
    <w:p w:rsidR="00946519" w:rsidRPr="003A38BA" w:rsidRDefault="00946519" w:rsidP="007C21AF">
      <w:pPr>
        <w:spacing w:after="120"/>
        <w:ind w:left="0" w:firstLine="0"/>
        <w:jc w:val="both"/>
      </w:pPr>
      <w:r>
        <w:t>15 % para a visibilidade diurna</w:t>
      </w:r>
    </w:p>
    <w:p w:rsidR="00946519" w:rsidRPr="003A38BA" w:rsidRDefault="00946519" w:rsidP="007C21AF">
      <w:pPr>
        <w:spacing w:after="120"/>
        <w:ind w:left="0" w:firstLine="0"/>
        <w:jc w:val="both"/>
      </w:pPr>
      <w:r>
        <w:t>15 % para a visibilidade noturna após 100 000 rolagens</w:t>
      </w:r>
    </w:p>
    <w:p w:rsidR="00DF3B72" w:rsidRPr="003A38BA" w:rsidRDefault="00946519" w:rsidP="007C21AF">
      <w:pPr>
        <w:spacing w:after="120"/>
        <w:ind w:left="0" w:firstLine="0"/>
        <w:jc w:val="both"/>
      </w:pPr>
      <w:r>
        <w:t>± 5 unidades SRT para a aderência</w:t>
      </w:r>
    </w:p>
    <w:p w:rsidR="00993CFC" w:rsidRPr="003A38BA" w:rsidRDefault="00F653D9" w:rsidP="007C21AF">
      <w:pPr>
        <w:spacing w:after="120"/>
        <w:ind w:left="0" w:firstLine="0"/>
        <w:jc w:val="both"/>
      </w:pPr>
      <w:r>
        <w:t>Se os desvios forem superiores, devem analisar-se as condições do ensaio, bem como o próprio material de referência, para que seja possível presumir a existência de um processo de ensaio irrepreensível.</w:t>
      </w:r>
    </w:p>
    <w:p w:rsidR="00536458" w:rsidRPr="003A38BA" w:rsidRDefault="00536458" w:rsidP="007C21AF">
      <w:pPr>
        <w:pStyle w:val="Heading1"/>
        <w:numPr>
          <w:ilvl w:val="0"/>
          <w:numId w:val="5"/>
        </w:numPr>
        <w:jc w:val="both"/>
        <w:rPr>
          <w:sz w:val="24"/>
          <w:szCs w:val="24"/>
        </w:rPr>
      </w:pPr>
      <w:bookmarkStart w:id="49" w:name="_Toc353893698"/>
      <w:bookmarkStart w:id="50" w:name="_Toc2194177"/>
      <w:bookmarkStart w:id="51" w:name="_Toc12478641"/>
      <w:r>
        <w:rPr>
          <w:sz w:val="24"/>
        </w:rPr>
        <w:t>Ensaios físico-químicos dos materiais de marcação e coformulantes (ensaio de protótipo)</w:t>
      </w:r>
      <w:bookmarkEnd w:id="49"/>
      <w:bookmarkEnd w:id="50"/>
      <w:bookmarkEnd w:id="51"/>
    </w:p>
    <w:p w:rsidR="00536458" w:rsidRPr="003A38BA" w:rsidRDefault="00536458" w:rsidP="007C21AF">
      <w:pPr>
        <w:pStyle w:val="Heading1"/>
        <w:numPr>
          <w:ilvl w:val="1"/>
          <w:numId w:val="5"/>
        </w:numPr>
        <w:jc w:val="both"/>
        <w:rPr>
          <w:sz w:val="24"/>
          <w:szCs w:val="24"/>
        </w:rPr>
      </w:pPr>
      <w:bookmarkStart w:id="52" w:name="_Toc86465553"/>
      <w:bookmarkStart w:id="53" w:name="_Toc115598045"/>
      <w:bookmarkStart w:id="54" w:name="_Toc120375499"/>
      <w:bookmarkStart w:id="55" w:name="_Toc150173015"/>
      <w:bookmarkStart w:id="56" w:name="_Toc150819913"/>
      <w:bookmarkStart w:id="57" w:name="_Toc353893699"/>
      <w:bookmarkStart w:id="58" w:name="_Toc2194178"/>
      <w:bookmarkStart w:id="59" w:name="_Toc12478642"/>
      <w:r>
        <w:rPr>
          <w:sz w:val="24"/>
        </w:rPr>
        <w:t>Aspetos gerais</w:t>
      </w:r>
      <w:bookmarkEnd w:id="52"/>
      <w:bookmarkEnd w:id="53"/>
      <w:bookmarkEnd w:id="54"/>
      <w:bookmarkEnd w:id="55"/>
      <w:bookmarkEnd w:id="56"/>
      <w:bookmarkEnd w:id="57"/>
      <w:bookmarkEnd w:id="58"/>
      <w:bookmarkEnd w:id="59"/>
    </w:p>
    <w:p w:rsidR="00536458" w:rsidRPr="003A38BA" w:rsidRDefault="00536458" w:rsidP="007C21AF">
      <w:pPr>
        <w:spacing w:after="120"/>
        <w:ind w:left="0" w:firstLine="0"/>
        <w:jc w:val="both"/>
      </w:pPr>
      <w:r>
        <w:t>Os ensaios de protótipo visam a garantia da qualidade e o controlo da presença de eventuais substâncias perigosas proibidas nas substâncias de marcação. Simultaneamente, o ensaio de protótipo serve como base para posteriores ensaios de igualdade de amostras. A norma DIN EN 1871 estabelece os requisitos físico-químicos aplicáveis a substâncias de marcação enquanto componentes de sistemas de marcação. Os requisitos aplicáveis a materiais de projeção e microesferas de vidro de pré-mistura orientam-se pelas normas DIN EN 1423 e DIN EN 1424. Os ensaios para a identificação de substâncias e películas de marcação são descritos nas normas DIN EN 12802 e DIN EN 1790.</w:t>
      </w:r>
    </w:p>
    <w:p w:rsidR="00536458" w:rsidRPr="003A38BA" w:rsidRDefault="00536458" w:rsidP="007C21AF">
      <w:pPr>
        <w:spacing w:after="120"/>
        <w:ind w:left="0" w:firstLine="0"/>
        <w:jc w:val="both"/>
      </w:pPr>
      <w:r>
        <w:t xml:space="preserve">As análises do protótipo a realizar no ensaio de aptidão de sistemas de marcação são citadas no quadro 7. Os desvios necessários para métodos existentes são descritos na secção 5.3. </w:t>
      </w:r>
    </w:p>
    <w:p w:rsidR="00536458" w:rsidRPr="003A38BA" w:rsidRDefault="00536458" w:rsidP="007C21AF">
      <w:pPr>
        <w:pStyle w:val="Subtitle"/>
        <w:keepNext/>
        <w:ind w:left="1440" w:hanging="1440"/>
        <w:jc w:val="both"/>
        <w:rPr>
          <w:spacing w:val="0"/>
        </w:rPr>
      </w:pPr>
      <w:r>
        <w:t>Quadro 7:</w:t>
      </w:r>
      <w:r>
        <w:tab/>
        <w:t>Resumo dos métodos de ensaio normalizados</w:t>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1559"/>
        <w:gridCol w:w="992"/>
        <w:gridCol w:w="992"/>
        <w:gridCol w:w="1134"/>
        <w:gridCol w:w="993"/>
        <w:gridCol w:w="1417"/>
      </w:tblGrid>
      <w:tr w:rsidR="00536458" w:rsidRPr="003A38BA" w:rsidTr="003E3497">
        <w:tc>
          <w:tcPr>
            <w:tcW w:w="2197" w:type="dxa"/>
            <w:tcBorders>
              <w:top w:val="single" w:sz="12" w:space="0" w:color="auto"/>
              <w:left w:val="single" w:sz="12" w:space="0" w:color="auto"/>
              <w:bottom w:val="single" w:sz="12" w:space="0" w:color="auto"/>
              <w:right w:val="nil"/>
            </w:tcBorders>
          </w:tcPr>
          <w:p w:rsidR="00536458" w:rsidRPr="003A38BA" w:rsidRDefault="00536458" w:rsidP="00536458">
            <w:pPr>
              <w:pStyle w:val="Tab-Kopf"/>
              <w:rPr>
                <w:sz w:val="22"/>
                <w:szCs w:val="22"/>
              </w:rPr>
            </w:pPr>
            <w:r>
              <w:rPr>
                <w:sz w:val="22"/>
              </w:rPr>
              <w:t>Parâmetro</w:t>
            </w:r>
          </w:p>
        </w:tc>
        <w:tc>
          <w:tcPr>
            <w:tcW w:w="1559" w:type="dxa"/>
            <w:tcBorders>
              <w:top w:val="single" w:sz="12" w:space="0" w:color="auto"/>
              <w:left w:val="single" w:sz="4" w:space="0" w:color="auto"/>
              <w:bottom w:val="single" w:sz="12" w:space="0" w:color="auto"/>
            </w:tcBorders>
          </w:tcPr>
          <w:p w:rsidR="00536458" w:rsidRPr="003A38BA" w:rsidRDefault="00536458" w:rsidP="00536458">
            <w:pPr>
              <w:pStyle w:val="Tab-Kopf"/>
              <w:rPr>
                <w:sz w:val="22"/>
                <w:szCs w:val="22"/>
              </w:rPr>
            </w:pPr>
            <w:r>
              <w:rPr>
                <w:sz w:val="22"/>
              </w:rPr>
              <w:t>Tintas contendo solventes (primário)</w:t>
            </w:r>
          </w:p>
        </w:tc>
        <w:tc>
          <w:tcPr>
            <w:tcW w:w="992" w:type="dxa"/>
            <w:tcBorders>
              <w:top w:val="single" w:sz="12" w:space="0" w:color="auto"/>
              <w:bottom w:val="single" w:sz="12" w:space="0" w:color="auto"/>
            </w:tcBorders>
          </w:tcPr>
          <w:p w:rsidR="00536458" w:rsidRPr="003A38BA" w:rsidRDefault="00536458" w:rsidP="00536458">
            <w:pPr>
              <w:pStyle w:val="Tab-Kopf"/>
              <w:rPr>
                <w:sz w:val="22"/>
                <w:szCs w:val="22"/>
              </w:rPr>
            </w:pPr>
            <w:r>
              <w:rPr>
                <w:sz w:val="22"/>
              </w:rPr>
              <w:t>Dispersões</w:t>
            </w:r>
          </w:p>
        </w:tc>
        <w:tc>
          <w:tcPr>
            <w:tcW w:w="992" w:type="dxa"/>
            <w:tcBorders>
              <w:top w:val="single" w:sz="12" w:space="0" w:color="auto"/>
              <w:bottom w:val="single" w:sz="12" w:space="0" w:color="auto"/>
            </w:tcBorders>
          </w:tcPr>
          <w:p w:rsidR="00536458" w:rsidRPr="003A38BA" w:rsidRDefault="00536458" w:rsidP="00536458">
            <w:pPr>
              <w:pStyle w:val="Tab-Kopf"/>
              <w:rPr>
                <w:sz w:val="22"/>
                <w:szCs w:val="22"/>
              </w:rPr>
            </w:pPr>
            <w:r>
              <w:rPr>
                <w:sz w:val="22"/>
              </w:rPr>
              <w:t>Substâncias reativas</w:t>
            </w:r>
          </w:p>
        </w:tc>
        <w:tc>
          <w:tcPr>
            <w:tcW w:w="1134" w:type="dxa"/>
            <w:tcBorders>
              <w:top w:val="single" w:sz="12" w:space="0" w:color="auto"/>
              <w:bottom w:val="single" w:sz="12" w:space="0" w:color="auto"/>
            </w:tcBorders>
          </w:tcPr>
          <w:p w:rsidR="00536458" w:rsidRPr="003A38BA" w:rsidRDefault="00536458" w:rsidP="00536458">
            <w:pPr>
              <w:pStyle w:val="Tab-Kopf"/>
              <w:rPr>
                <w:sz w:val="22"/>
                <w:szCs w:val="22"/>
              </w:rPr>
            </w:pPr>
            <w:r>
              <w:rPr>
                <w:sz w:val="22"/>
              </w:rPr>
              <w:t>Substâncias termoplásticas</w:t>
            </w:r>
          </w:p>
        </w:tc>
        <w:tc>
          <w:tcPr>
            <w:tcW w:w="993" w:type="dxa"/>
            <w:tcBorders>
              <w:top w:val="single" w:sz="12" w:space="0" w:color="auto"/>
              <w:bottom w:val="single" w:sz="12" w:space="0" w:color="auto"/>
            </w:tcBorders>
          </w:tcPr>
          <w:p w:rsidR="00536458" w:rsidRPr="003A38BA" w:rsidRDefault="00536458" w:rsidP="00536458">
            <w:pPr>
              <w:pStyle w:val="Tab-Kopf"/>
              <w:rPr>
                <w:sz w:val="22"/>
                <w:szCs w:val="22"/>
              </w:rPr>
            </w:pPr>
            <w:r>
              <w:rPr>
                <w:sz w:val="22"/>
              </w:rPr>
              <w:t>Películas</w:t>
            </w:r>
          </w:p>
        </w:tc>
        <w:tc>
          <w:tcPr>
            <w:tcW w:w="1417" w:type="dxa"/>
            <w:tcBorders>
              <w:top w:val="single" w:sz="12" w:space="0" w:color="auto"/>
              <w:bottom w:val="single" w:sz="12" w:space="0" w:color="auto"/>
              <w:right w:val="single" w:sz="12" w:space="0" w:color="auto"/>
            </w:tcBorders>
          </w:tcPr>
          <w:p w:rsidR="00536458" w:rsidRPr="003A38BA" w:rsidRDefault="00536458" w:rsidP="00536458">
            <w:pPr>
              <w:pStyle w:val="Tab-Kopf"/>
              <w:rPr>
                <w:kern w:val="0"/>
                <w:sz w:val="22"/>
                <w:szCs w:val="22"/>
              </w:rPr>
            </w:pPr>
            <w:r>
              <w:rPr>
                <w:kern w:val="0"/>
                <w:sz w:val="22"/>
              </w:rPr>
              <w:t>Referência</w:t>
            </w:r>
          </w:p>
        </w:tc>
      </w:tr>
      <w:tr w:rsidR="00536458" w:rsidRPr="003A38BA" w:rsidTr="003E3497">
        <w:tc>
          <w:tcPr>
            <w:tcW w:w="2197" w:type="dxa"/>
            <w:tcBorders>
              <w:top w:val="single" w:sz="12" w:space="0" w:color="auto"/>
              <w:left w:val="single" w:sz="12" w:space="0" w:color="auto"/>
            </w:tcBorders>
          </w:tcPr>
          <w:p w:rsidR="00536458" w:rsidRPr="003A38BA" w:rsidRDefault="00536458" w:rsidP="00536458">
            <w:pPr>
              <w:spacing w:line="280" w:lineRule="exact"/>
              <w:ind w:left="0" w:firstLine="0"/>
            </w:pPr>
            <w:r>
              <w:t>Massa volúmica</w:t>
            </w:r>
          </w:p>
        </w:tc>
        <w:tc>
          <w:tcPr>
            <w:tcW w:w="1559" w:type="dxa"/>
            <w:tcBorders>
              <w:top w:val="single" w:sz="12" w:space="0" w:color="auto"/>
            </w:tcBorders>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tcBorders>
              <w:top w:val="single" w:sz="12" w:space="0" w:color="auto"/>
            </w:tcBorders>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tcBorders>
              <w:top w:val="single" w:sz="12" w:space="0" w:color="auto"/>
            </w:tcBorders>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tcBorders>
              <w:top w:val="single" w:sz="12" w:space="0" w:color="auto"/>
            </w:tcBorders>
            <w:vAlign w:val="center"/>
          </w:tcPr>
          <w:p w:rsidR="00536458" w:rsidRPr="003A38BA" w:rsidRDefault="00536458" w:rsidP="0088418C">
            <w:pPr>
              <w:spacing w:after="80" w:line="300" w:lineRule="exact"/>
              <w:jc w:val="center"/>
              <w:rPr>
                <w:rFonts w:ascii="Arial" w:hAnsi="Arial" w:cs="Arial"/>
                <w:bCs/>
                <w:sz w:val="20"/>
                <w:szCs w:val="20"/>
              </w:rPr>
            </w:pPr>
          </w:p>
        </w:tc>
        <w:tc>
          <w:tcPr>
            <w:tcW w:w="993" w:type="dxa"/>
            <w:tcBorders>
              <w:top w:val="single" w:sz="12" w:space="0" w:color="auto"/>
            </w:tcBorders>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top w:val="single" w:sz="12" w:space="0" w:color="auto"/>
              <w:right w:val="single" w:sz="12" w:space="0" w:color="auto"/>
            </w:tcBorders>
          </w:tcPr>
          <w:p w:rsidR="00536458" w:rsidRPr="003A38BA" w:rsidRDefault="00536458" w:rsidP="00536458">
            <w:pPr>
              <w:pStyle w:val="Einzug-1"/>
              <w:rPr>
                <w:rFonts w:asciiTheme="minorHAnsi" w:hAnsiTheme="minorHAnsi"/>
                <w:sz w:val="22"/>
                <w:szCs w:val="22"/>
              </w:rPr>
            </w:pPr>
            <w:r>
              <w:rPr>
                <w:rFonts w:asciiTheme="minorHAnsi" w:hAnsiTheme="minorHAnsi"/>
                <w:sz w:val="22"/>
              </w:rPr>
              <w:t>ISO – 2811-1</w:t>
            </w:r>
          </w:p>
        </w:tc>
      </w:tr>
      <w:tr w:rsidR="00536458" w:rsidRPr="003A38BA" w:rsidTr="003E3497">
        <w:tc>
          <w:tcPr>
            <w:tcW w:w="2197" w:type="dxa"/>
            <w:tcBorders>
              <w:left w:val="single" w:sz="12" w:space="0" w:color="auto"/>
            </w:tcBorders>
          </w:tcPr>
          <w:p w:rsidR="00536458" w:rsidRPr="003A38BA" w:rsidRDefault="00536458" w:rsidP="00536458">
            <w:pPr>
              <w:spacing w:line="280" w:lineRule="exact"/>
              <w:ind w:left="0" w:firstLine="0"/>
            </w:pPr>
            <w:r>
              <w:t>Fração de matéria volátil</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p>
        </w:tc>
      </w:tr>
      <w:tr w:rsidR="00536458" w:rsidRPr="003A38BA" w:rsidTr="003E3497">
        <w:tc>
          <w:tcPr>
            <w:tcW w:w="2197" w:type="dxa"/>
            <w:tcBorders>
              <w:left w:val="single" w:sz="12" w:space="0" w:color="auto"/>
            </w:tcBorders>
          </w:tcPr>
          <w:p w:rsidR="00536458" w:rsidRPr="003A38BA" w:rsidRDefault="00536458" w:rsidP="00536458">
            <w:pPr>
              <w:spacing w:line="280" w:lineRule="exact"/>
              <w:ind w:left="0" w:firstLine="0"/>
            </w:pPr>
            <w:r>
              <w:t>Fração de ligantes</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p>
        </w:tc>
      </w:tr>
      <w:tr w:rsidR="00536458" w:rsidRPr="003A38BA" w:rsidTr="003E3497">
        <w:tc>
          <w:tcPr>
            <w:tcW w:w="2197" w:type="dxa"/>
            <w:tcBorders>
              <w:left w:val="single" w:sz="12" w:space="0" w:color="auto"/>
            </w:tcBorders>
          </w:tcPr>
          <w:p w:rsidR="00536458" w:rsidRPr="003A38BA" w:rsidRDefault="00536458" w:rsidP="00536458">
            <w:pPr>
              <w:spacing w:line="280" w:lineRule="exact"/>
              <w:ind w:left="0" w:firstLine="0"/>
            </w:pPr>
            <w:r>
              <w:t>Teor de dióxido de titânio</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p>
        </w:tc>
      </w:tr>
      <w:tr w:rsidR="00536458" w:rsidRPr="003A38BA" w:rsidTr="003E3497">
        <w:tc>
          <w:tcPr>
            <w:tcW w:w="2197" w:type="dxa"/>
            <w:tcBorders>
              <w:left w:val="single" w:sz="12" w:space="0" w:color="auto"/>
            </w:tcBorders>
          </w:tcPr>
          <w:p w:rsidR="00536458" w:rsidRPr="003A38BA" w:rsidRDefault="00536458" w:rsidP="00536458">
            <w:pPr>
              <w:pStyle w:val="Header"/>
              <w:tabs>
                <w:tab w:val="clear" w:pos="4536"/>
                <w:tab w:val="clear" w:pos="9072"/>
              </w:tabs>
              <w:spacing w:before="60" w:after="60" w:line="240" w:lineRule="exact"/>
              <w:rPr>
                <w:rFonts w:asciiTheme="minorHAnsi" w:hAnsiTheme="minorHAnsi"/>
                <w:sz w:val="22"/>
                <w:szCs w:val="22"/>
              </w:rPr>
            </w:pPr>
            <w:r>
              <w:rPr>
                <w:rFonts w:asciiTheme="minorHAnsi" w:hAnsiTheme="minorHAnsi"/>
                <w:sz w:val="22"/>
              </w:rPr>
              <w:lastRenderedPageBreak/>
              <w:t>Frações dos corpos de pré-mistura</w:t>
            </w:r>
          </w:p>
        </w:tc>
        <w:tc>
          <w:tcPr>
            <w:tcW w:w="1559" w:type="dxa"/>
            <w:vAlign w:val="center"/>
          </w:tcPr>
          <w:p w:rsidR="00536458" w:rsidRPr="003A38BA" w:rsidRDefault="00536458" w:rsidP="0088418C">
            <w:pPr>
              <w:spacing w:after="80" w:line="300" w:lineRule="exact"/>
              <w:jc w:val="center"/>
              <w:rPr>
                <w:rFonts w:ascii="Arial" w:hAnsi="Arial" w:cs="Arial"/>
                <w:sz w:val="20"/>
                <w:szCs w:val="20"/>
              </w:rPr>
            </w:pPr>
          </w:p>
        </w:tc>
        <w:tc>
          <w:tcPr>
            <w:tcW w:w="992" w:type="dxa"/>
            <w:vAlign w:val="center"/>
          </w:tcPr>
          <w:p w:rsidR="00536458" w:rsidRPr="003A38BA" w:rsidRDefault="00536458" w:rsidP="0088418C">
            <w:pPr>
              <w:spacing w:after="80" w:line="300" w:lineRule="exact"/>
              <w:jc w:val="center"/>
              <w:rPr>
                <w:rFonts w:ascii="Arial" w:hAnsi="Arial" w:cs="Arial"/>
                <w:sz w:val="20"/>
                <w:szCs w:val="20"/>
              </w:rPr>
            </w:pP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40" w:lineRule="exact"/>
              <w:ind w:left="0" w:firstLine="0"/>
            </w:pPr>
            <w:r>
              <w:t>Análise dos materiais de projeção</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1423, TP M</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40" w:lineRule="exact"/>
              <w:ind w:left="0" w:firstLine="0"/>
            </w:pPr>
            <w:r>
              <w:t>Análise da presença de chumbo e cádmio</w:t>
            </w:r>
          </w:p>
        </w:tc>
        <w:tc>
          <w:tcPr>
            <w:tcW w:w="1559"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 xml:space="preserve">x </w:t>
            </w:r>
            <w:r>
              <w:rPr>
                <w:rFonts w:ascii="Arial" w:hAnsi="Arial"/>
                <w:sz w:val="20"/>
                <w:vertAlign w:val="superscript"/>
              </w:rPr>
              <w:t>1)</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 xml:space="preserve">x </w:t>
            </w:r>
            <w:r>
              <w:rPr>
                <w:rFonts w:ascii="Arial" w:hAnsi="Arial"/>
                <w:sz w:val="20"/>
                <w:vertAlign w:val="superscript"/>
              </w:rPr>
              <w:t>1)</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 xml:space="preserve">x </w:t>
            </w:r>
            <w:r>
              <w:rPr>
                <w:rFonts w:ascii="Arial" w:hAnsi="Arial"/>
                <w:sz w:val="20"/>
                <w:vertAlign w:val="superscript"/>
              </w:rPr>
              <w:t>1)</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 xml:space="preserve">x </w:t>
            </w:r>
            <w:r>
              <w:rPr>
                <w:rFonts w:ascii="Arial" w:hAnsi="Arial"/>
                <w:sz w:val="20"/>
                <w:vertAlign w:val="superscript"/>
              </w:rPr>
              <w:t>1)</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 xml:space="preserve">x </w:t>
            </w:r>
            <w:r>
              <w:rPr>
                <w:rFonts w:ascii="Arial" w:hAnsi="Arial"/>
                <w:sz w:val="20"/>
                <w:vertAlign w:val="superscript"/>
              </w:rPr>
              <w:t>1)</w:t>
            </w:r>
          </w:p>
        </w:tc>
        <w:tc>
          <w:tcPr>
            <w:tcW w:w="1417" w:type="dxa"/>
            <w:tcBorders>
              <w:right w:val="single" w:sz="12" w:space="0" w:color="auto"/>
            </w:tcBorders>
          </w:tcPr>
          <w:p w:rsidR="00536458" w:rsidRPr="003A38BA" w:rsidRDefault="00536458" w:rsidP="00536458">
            <w:pPr>
              <w:pStyle w:val="Einzug-1"/>
              <w:rPr>
                <w:rFonts w:asciiTheme="minorHAnsi" w:hAnsiTheme="minorHAnsi"/>
                <w:sz w:val="22"/>
                <w:szCs w:val="22"/>
              </w:rPr>
            </w:pPr>
            <w:r>
              <w:rPr>
                <w:rFonts w:asciiTheme="minorHAnsi" w:hAnsiTheme="minorHAnsi"/>
                <w:sz w:val="22"/>
              </w:rPr>
              <w:t>ISO 11466</w:t>
            </w:r>
          </w:p>
        </w:tc>
      </w:tr>
      <w:tr w:rsidR="00536458" w:rsidRPr="003A38BA" w:rsidTr="003E3497">
        <w:tc>
          <w:tcPr>
            <w:tcW w:w="2197" w:type="dxa"/>
            <w:tcBorders>
              <w:left w:val="single" w:sz="12" w:space="0" w:color="auto"/>
            </w:tcBorders>
          </w:tcPr>
          <w:p w:rsidR="00536458" w:rsidRPr="003A38BA" w:rsidRDefault="00536458" w:rsidP="00536458">
            <w:pPr>
              <w:spacing w:line="280" w:lineRule="exact"/>
              <w:ind w:left="0" w:firstLine="0"/>
            </w:pPr>
            <w:r>
              <w:t>Resíduos de incineração</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40" w:lineRule="exact"/>
              <w:ind w:left="0" w:firstLine="0"/>
            </w:pPr>
            <w:r>
              <w:t>Espetro de infravermelhos do ligante</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r>
              <w:rPr>
                <w:b/>
                <w:vertAlign w:val="superscript"/>
              </w:rPr>
              <w:t>2)</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40" w:lineRule="exact"/>
              <w:ind w:left="0" w:firstLine="0"/>
            </w:pPr>
            <w:r>
              <w:t>Espetro de infravermelhos dos pigmentos e materiais de enchimento</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40" w:lineRule="exact"/>
              <w:ind w:left="0" w:firstLine="0"/>
            </w:pPr>
            <w:r>
              <w:t>Determinação dos COV/monómeros/oligómeros</w:t>
            </w:r>
          </w:p>
        </w:tc>
        <w:tc>
          <w:tcPr>
            <w:tcW w:w="1559" w:type="dxa"/>
            <w:vAlign w:val="center"/>
          </w:tcPr>
          <w:p w:rsidR="00536458" w:rsidRPr="003A38BA" w:rsidRDefault="00686B2A"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536458" w:rsidP="0088418C">
            <w:pPr>
              <w:spacing w:after="80" w:line="300" w:lineRule="exact"/>
              <w:jc w:val="center"/>
              <w:rPr>
                <w:rFonts w:ascii="Arial" w:hAnsi="Arial" w:cs="Arial"/>
                <w:sz w:val="20"/>
                <w:szCs w:val="20"/>
              </w:rPr>
            </w:pPr>
            <w:r>
              <w:rPr>
                <w:rFonts w:ascii="Arial" w:hAnsi="Arial"/>
                <w:sz w:val="20"/>
              </w:rPr>
              <w:t>x</w:t>
            </w:r>
          </w:p>
        </w:tc>
        <w:tc>
          <w:tcPr>
            <w:tcW w:w="992" w:type="dxa"/>
            <w:vAlign w:val="center"/>
          </w:tcPr>
          <w:p w:rsidR="00536458" w:rsidRPr="003A38BA" w:rsidRDefault="000E20DE" w:rsidP="0088418C">
            <w:pPr>
              <w:spacing w:after="80" w:line="300" w:lineRule="exact"/>
              <w:jc w:val="center"/>
              <w:rPr>
                <w:rFonts w:ascii="Arial" w:hAnsi="Arial" w:cs="Arial"/>
                <w:sz w:val="20"/>
                <w:szCs w:val="20"/>
              </w:rPr>
            </w:pPr>
            <w:r>
              <w:rPr>
                <w:rFonts w:ascii="Arial" w:hAnsi="Arial"/>
                <w:sz w:val="20"/>
              </w:rPr>
              <w:t>X</w:t>
            </w: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p>
        </w:tc>
        <w:tc>
          <w:tcPr>
            <w:tcW w:w="993" w:type="dxa"/>
            <w:vAlign w:val="center"/>
          </w:tcPr>
          <w:p w:rsidR="00536458" w:rsidRPr="003A38BA" w:rsidRDefault="00536458" w:rsidP="0088418C">
            <w:pPr>
              <w:spacing w:after="80" w:line="30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12802</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40" w:lineRule="exact"/>
              <w:ind w:left="0" w:firstLine="0"/>
            </w:pPr>
            <w:r>
              <w:t>Análise da camada adesiva</w:t>
            </w:r>
          </w:p>
        </w:tc>
        <w:tc>
          <w:tcPr>
            <w:tcW w:w="1559" w:type="dxa"/>
            <w:vAlign w:val="center"/>
          </w:tcPr>
          <w:p w:rsidR="00536458" w:rsidRPr="003A38BA" w:rsidRDefault="00536458" w:rsidP="0088418C">
            <w:pPr>
              <w:spacing w:after="80" w:line="300" w:lineRule="exact"/>
              <w:jc w:val="center"/>
              <w:rPr>
                <w:rFonts w:ascii="Arial" w:hAnsi="Arial" w:cs="Arial"/>
                <w:sz w:val="20"/>
                <w:szCs w:val="20"/>
              </w:rPr>
            </w:pPr>
          </w:p>
        </w:tc>
        <w:tc>
          <w:tcPr>
            <w:tcW w:w="992" w:type="dxa"/>
            <w:vAlign w:val="center"/>
          </w:tcPr>
          <w:p w:rsidR="00536458" w:rsidRPr="003A38BA" w:rsidRDefault="00536458" w:rsidP="0088418C">
            <w:pPr>
              <w:spacing w:after="80" w:line="300" w:lineRule="exact"/>
              <w:jc w:val="center"/>
              <w:rPr>
                <w:rFonts w:ascii="Arial" w:hAnsi="Arial" w:cs="Arial"/>
                <w:sz w:val="20"/>
                <w:szCs w:val="20"/>
              </w:rPr>
            </w:pPr>
          </w:p>
        </w:tc>
        <w:tc>
          <w:tcPr>
            <w:tcW w:w="992" w:type="dxa"/>
            <w:vAlign w:val="center"/>
          </w:tcPr>
          <w:p w:rsidR="00536458" w:rsidRPr="003A38BA" w:rsidRDefault="00536458" w:rsidP="0088418C">
            <w:pPr>
              <w:spacing w:after="80" w:line="300" w:lineRule="exact"/>
              <w:jc w:val="center"/>
              <w:rPr>
                <w:rFonts w:ascii="Arial" w:hAnsi="Arial" w:cs="Arial"/>
                <w:sz w:val="20"/>
                <w:szCs w:val="20"/>
              </w:rPr>
            </w:pP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p>
        </w:tc>
        <w:tc>
          <w:tcPr>
            <w:tcW w:w="993" w:type="dxa"/>
            <w:vAlign w:val="center"/>
          </w:tcPr>
          <w:p w:rsidR="00536458" w:rsidRPr="003A38BA" w:rsidRDefault="0088418C" w:rsidP="0088418C">
            <w:pPr>
              <w:spacing w:after="80" w:line="300" w:lineRule="exact"/>
              <w:jc w:val="center"/>
              <w:rPr>
                <w:rFonts w:ascii="Arial" w:hAnsi="Arial" w:cs="Arial"/>
                <w:sz w:val="20"/>
                <w:szCs w:val="20"/>
              </w:rPr>
            </w:pPr>
            <w:r>
              <w:rPr>
                <w:rFonts w:ascii="Arial" w:hAnsi="Arial"/>
                <w:sz w:val="20"/>
              </w:rPr>
              <w:t>x</w:t>
            </w:r>
          </w:p>
        </w:tc>
        <w:tc>
          <w:tcPr>
            <w:tcW w:w="1417" w:type="dxa"/>
            <w:tcBorders>
              <w:right w:val="single" w:sz="12" w:space="0" w:color="auto"/>
            </w:tcBorders>
          </w:tcPr>
          <w:p w:rsidR="00536458" w:rsidRPr="003A38BA" w:rsidRDefault="00536458" w:rsidP="00536458">
            <w:pPr>
              <w:spacing w:line="280" w:lineRule="exact"/>
            </w:pPr>
            <w:r>
              <w:t>DIN EN 1790</w:t>
            </w:r>
          </w:p>
        </w:tc>
      </w:tr>
      <w:tr w:rsidR="00536458" w:rsidRPr="003A38BA" w:rsidTr="003E3497">
        <w:tc>
          <w:tcPr>
            <w:tcW w:w="2197" w:type="dxa"/>
            <w:tcBorders>
              <w:left w:val="single" w:sz="12" w:space="0" w:color="auto"/>
            </w:tcBorders>
          </w:tcPr>
          <w:p w:rsidR="00536458" w:rsidRPr="003A38BA" w:rsidRDefault="00536458" w:rsidP="00536458">
            <w:pPr>
              <w:spacing w:line="280" w:lineRule="exact"/>
              <w:ind w:left="0" w:firstLine="0"/>
            </w:pPr>
            <w:r>
              <w:t>Termograma</w:t>
            </w:r>
          </w:p>
        </w:tc>
        <w:tc>
          <w:tcPr>
            <w:tcW w:w="1559" w:type="dxa"/>
            <w:vAlign w:val="center"/>
          </w:tcPr>
          <w:p w:rsidR="00536458" w:rsidRPr="003A38BA" w:rsidRDefault="00536458" w:rsidP="0088418C">
            <w:pPr>
              <w:spacing w:after="80" w:line="300" w:lineRule="exact"/>
              <w:jc w:val="center"/>
              <w:rPr>
                <w:rFonts w:ascii="Arial" w:hAnsi="Arial" w:cs="Arial"/>
                <w:sz w:val="20"/>
                <w:szCs w:val="20"/>
              </w:rPr>
            </w:pPr>
          </w:p>
        </w:tc>
        <w:tc>
          <w:tcPr>
            <w:tcW w:w="992" w:type="dxa"/>
            <w:vAlign w:val="center"/>
          </w:tcPr>
          <w:p w:rsidR="00536458" w:rsidRPr="003A38BA" w:rsidRDefault="00536458" w:rsidP="0088418C">
            <w:pPr>
              <w:spacing w:after="80" w:line="300" w:lineRule="exact"/>
              <w:jc w:val="center"/>
              <w:rPr>
                <w:rFonts w:ascii="Arial" w:hAnsi="Arial" w:cs="Arial"/>
                <w:sz w:val="20"/>
                <w:szCs w:val="20"/>
              </w:rPr>
            </w:pPr>
          </w:p>
        </w:tc>
        <w:tc>
          <w:tcPr>
            <w:tcW w:w="992" w:type="dxa"/>
            <w:vAlign w:val="center"/>
          </w:tcPr>
          <w:p w:rsidR="00536458" w:rsidRPr="003A38BA" w:rsidRDefault="00536458" w:rsidP="0088418C">
            <w:pPr>
              <w:spacing w:after="80" w:line="300" w:lineRule="exact"/>
              <w:jc w:val="center"/>
              <w:rPr>
                <w:rFonts w:ascii="Arial" w:hAnsi="Arial" w:cs="Arial"/>
                <w:sz w:val="20"/>
                <w:szCs w:val="20"/>
              </w:rPr>
            </w:pPr>
          </w:p>
        </w:tc>
        <w:tc>
          <w:tcPr>
            <w:tcW w:w="1134" w:type="dxa"/>
            <w:vAlign w:val="center"/>
          </w:tcPr>
          <w:p w:rsidR="00536458" w:rsidRPr="003A38BA" w:rsidRDefault="00536458" w:rsidP="0088418C">
            <w:pPr>
              <w:spacing w:after="80" w:line="300" w:lineRule="exact"/>
              <w:jc w:val="center"/>
              <w:rPr>
                <w:rFonts w:ascii="Arial" w:hAnsi="Arial" w:cs="Arial"/>
                <w:sz w:val="20"/>
                <w:szCs w:val="20"/>
              </w:rPr>
            </w:pPr>
          </w:p>
        </w:tc>
        <w:tc>
          <w:tcPr>
            <w:tcW w:w="993" w:type="dxa"/>
            <w:vAlign w:val="center"/>
          </w:tcPr>
          <w:p w:rsidR="00536458" w:rsidRPr="003A38BA" w:rsidRDefault="0088418C" w:rsidP="0088418C">
            <w:pPr>
              <w:spacing w:after="80" w:line="300" w:lineRule="exact"/>
              <w:jc w:val="center"/>
              <w:rPr>
                <w:rFonts w:ascii="Arial" w:hAnsi="Arial" w:cs="Arial"/>
                <w:sz w:val="20"/>
                <w:szCs w:val="20"/>
              </w:rPr>
            </w:pPr>
            <w:r>
              <w:rPr>
                <w:rFonts w:ascii="Arial" w:hAnsi="Arial"/>
                <w:sz w:val="20"/>
              </w:rPr>
              <w:t>x</w:t>
            </w:r>
          </w:p>
        </w:tc>
        <w:tc>
          <w:tcPr>
            <w:tcW w:w="1417" w:type="dxa"/>
            <w:tcBorders>
              <w:right w:val="single" w:sz="12" w:space="0" w:color="auto"/>
            </w:tcBorders>
          </w:tcPr>
          <w:p w:rsidR="00536458" w:rsidRPr="003A38BA" w:rsidRDefault="00536458" w:rsidP="00536458">
            <w:pPr>
              <w:spacing w:line="280" w:lineRule="exact"/>
            </w:pPr>
            <w:r>
              <w:t>DIN EN 1790</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60" w:lineRule="exact"/>
              <w:ind w:left="0" w:firstLine="0"/>
            </w:pPr>
            <w:r>
              <w:t>Análise de imagem</w:t>
            </w:r>
          </w:p>
        </w:tc>
        <w:tc>
          <w:tcPr>
            <w:tcW w:w="1559"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992"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992"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1134"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993" w:type="dxa"/>
            <w:vAlign w:val="center"/>
          </w:tcPr>
          <w:p w:rsidR="00536458" w:rsidRPr="003A38BA" w:rsidRDefault="0088418C" w:rsidP="0088418C">
            <w:pPr>
              <w:spacing w:before="60" w:after="60" w:line="260" w:lineRule="exact"/>
              <w:jc w:val="center"/>
              <w:rPr>
                <w:rFonts w:ascii="Arial" w:hAnsi="Arial" w:cs="Arial"/>
                <w:sz w:val="20"/>
                <w:szCs w:val="20"/>
              </w:rPr>
            </w:pPr>
            <w:r>
              <w:rPr>
                <w:rFonts w:ascii="Arial" w:hAnsi="Arial"/>
                <w:sz w:val="20"/>
              </w:rPr>
              <w:t>x</w:t>
            </w:r>
          </w:p>
        </w:tc>
        <w:tc>
          <w:tcPr>
            <w:tcW w:w="1417" w:type="dxa"/>
            <w:tcBorders>
              <w:right w:val="single" w:sz="12" w:space="0" w:color="auto"/>
            </w:tcBorders>
          </w:tcPr>
          <w:p w:rsidR="00536458" w:rsidRPr="003A38BA" w:rsidRDefault="00C32DCC" w:rsidP="00536458">
            <w:pPr>
              <w:spacing w:line="280" w:lineRule="exact"/>
            </w:pPr>
            <w:r>
              <w:t>TP M</w:t>
            </w:r>
          </w:p>
        </w:tc>
      </w:tr>
      <w:tr w:rsidR="00536458" w:rsidRPr="003A38BA" w:rsidTr="003E3497">
        <w:tc>
          <w:tcPr>
            <w:tcW w:w="2197" w:type="dxa"/>
            <w:tcBorders>
              <w:left w:val="single" w:sz="12" w:space="0" w:color="auto"/>
            </w:tcBorders>
          </w:tcPr>
          <w:p w:rsidR="00536458" w:rsidRPr="003A38BA" w:rsidRDefault="00536458" w:rsidP="00536458">
            <w:pPr>
              <w:spacing w:before="60" w:after="60" w:line="260" w:lineRule="exact"/>
              <w:ind w:left="0" w:firstLine="0"/>
            </w:pPr>
            <w:r>
              <w:t>Temperatura de amolecimento segundo Wilhelmi</w:t>
            </w:r>
          </w:p>
        </w:tc>
        <w:tc>
          <w:tcPr>
            <w:tcW w:w="1559"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992"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992"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1134" w:type="dxa"/>
            <w:vAlign w:val="center"/>
          </w:tcPr>
          <w:p w:rsidR="00536458" w:rsidRPr="003A38BA" w:rsidRDefault="00BD23B3" w:rsidP="0088418C">
            <w:pPr>
              <w:spacing w:before="60" w:after="60" w:line="260" w:lineRule="exact"/>
              <w:jc w:val="center"/>
              <w:rPr>
                <w:rFonts w:ascii="Arial" w:hAnsi="Arial" w:cs="Arial"/>
                <w:sz w:val="20"/>
                <w:szCs w:val="20"/>
              </w:rPr>
            </w:pPr>
            <w:r>
              <w:rPr>
                <w:rFonts w:ascii="Arial" w:hAnsi="Arial"/>
                <w:sz w:val="20"/>
              </w:rPr>
              <w:t>x</w:t>
            </w:r>
          </w:p>
        </w:tc>
        <w:tc>
          <w:tcPr>
            <w:tcW w:w="993" w:type="dxa"/>
            <w:vAlign w:val="center"/>
          </w:tcPr>
          <w:p w:rsidR="00536458" w:rsidRPr="003A38BA" w:rsidRDefault="00536458" w:rsidP="0088418C">
            <w:pPr>
              <w:spacing w:before="60" w:after="60" w:line="260" w:lineRule="exact"/>
              <w:jc w:val="center"/>
              <w:rPr>
                <w:rFonts w:ascii="Arial" w:hAnsi="Arial" w:cs="Arial"/>
                <w:sz w:val="20"/>
                <w:szCs w:val="20"/>
              </w:rPr>
            </w:pPr>
          </w:p>
        </w:tc>
        <w:tc>
          <w:tcPr>
            <w:tcW w:w="1417" w:type="dxa"/>
            <w:tcBorders>
              <w:right w:val="single" w:sz="12" w:space="0" w:color="auto"/>
            </w:tcBorders>
          </w:tcPr>
          <w:p w:rsidR="00536458" w:rsidRPr="003A38BA" w:rsidRDefault="00536458" w:rsidP="00536458">
            <w:pPr>
              <w:spacing w:line="280" w:lineRule="exact"/>
            </w:pPr>
            <w:r>
              <w:t>DIN EN 1871</w:t>
            </w:r>
          </w:p>
        </w:tc>
      </w:tr>
      <w:tr w:rsidR="00DF4A21" w:rsidRPr="003A38BA" w:rsidTr="003E3497">
        <w:tc>
          <w:tcPr>
            <w:tcW w:w="2197" w:type="dxa"/>
            <w:tcBorders>
              <w:left w:val="single" w:sz="12" w:space="0" w:color="auto"/>
              <w:bottom w:val="single" w:sz="12" w:space="0" w:color="auto"/>
            </w:tcBorders>
          </w:tcPr>
          <w:p w:rsidR="00DF4A21" w:rsidRPr="003A38BA" w:rsidRDefault="00DF4A21" w:rsidP="00536458">
            <w:pPr>
              <w:spacing w:before="60" w:after="60" w:line="260" w:lineRule="exact"/>
              <w:ind w:left="0" w:firstLine="0"/>
            </w:pPr>
            <w:r>
              <w:t xml:space="preserve">Teste de penetração </w:t>
            </w:r>
          </w:p>
        </w:tc>
        <w:tc>
          <w:tcPr>
            <w:tcW w:w="1559" w:type="dxa"/>
            <w:tcBorders>
              <w:bottom w:val="single" w:sz="12" w:space="0" w:color="auto"/>
            </w:tcBorders>
            <w:vAlign w:val="center"/>
          </w:tcPr>
          <w:p w:rsidR="00DF4A21" w:rsidRPr="003A38BA" w:rsidRDefault="00DF4A21" w:rsidP="0088418C">
            <w:pPr>
              <w:spacing w:before="60" w:after="60" w:line="260" w:lineRule="exact"/>
              <w:jc w:val="center"/>
              <w:rPr>
                <w:rFonts w:ascii="Arial" w:hAnsi="Arial" w:cs="Arial"/>
                <w:sz w:val="20"/>
                <w:szCs w:val="20"/>
              </w:rPr>
            </w:pPr>
          </w:p>
        </w:tc>
        <w:tc>
          <w:tcPr>
            <w:tcW w:w="992" w:type="dxa"/>
            <w:tcBorders>
              <w:bottom w:val="single" w:sz="12" w:space="0" w:color="auto"/>
            </w:tcBorders>
            <w:vAlign w:val="center"/>
          </w:tcPr>
          <w:p w:rsidR="00DF4A21" w:rsidRPr="003A38BA" w:rsidRDefault="00DF4A21" w:rsidP="0088418C">
            <w:pPr>
              <w:spacing w:before="60" w:after="60" w:line="260" w:lineRule="exact"/>
              <w:jc w:val="center"/>
              <w:rPr>
                <w:rFonts w:ascii="Arial" w:hAnsi="Arial" w:cs="Arial"/>
                <w:sz w:val="20"/>
                <w:szCs w:val="20"/>
              </w:rPr>
            </w:pPr>
          </w:p>
        </w:tc>
        <w:tc>
          <w:tcPr>
            <w:tcW w:w="992" w:type="dxa"/>
            <w:tcBorders>
              <w:bottom w:val="single" w:sz="12" w:space="0" w:color="auto"/>
            </w:tcBorders>
            <w:vAlign w:val="center"/>
          </w:tcPr>
          <w:p w:rsidR="00DF4A21" w:rsidRPr="003A38BA" w:rsidRDefault="00DF4A21" w:rsidP="0088418C">
            <w:pPr>
              <w:spacing w:before="60" w:after="60" w:line="260" w:lineRule="exact"/>
              <w:jc w:val="center"/>
              <w:rPr>
                <w:rFonts w:ascii="Arial" w:hAnsi="Arial" w:cs="Arial"/>
                <w:sz w:val="20"/>
                <w:szCs w:val="20"/>
              </w:rPr>
            </w:pPr>
          </w:p>
        </w:tc>
        <w:tc>
          <w:tcPr>
            <w:tcW w:w="1134" w:type="dxa"/>
            <w:tcBorders>
              <w:bottom w:val="single" w:sz="12" w:space="0" w:color="auto"/>
            </w:tcBorders>
            <w:vAlign w:val="center"/>
          </w:tcPr>
          <w:p w:rsidR="00DF4A21" w:rsidRPr="003A38BA" w:rsidRDefault="00DF4A21" w:rsidP="0088418C">
            <w:pPr>
              <w:spacing w:before="60" w:after="60" w:line="260" w:lineRule="exact"/>
              <w:jc w:val="center"/>
              <w:rPr>
                <w:rFonts w:ascii="Arial" w:hAnsi="Arial" w:cs="Arial"/>
                <w:sz w:val="20"/>
                <w:szCs w:val="20"/>
              </w:rPr>
            </w:pPr>
            <w:r>
              <w:rPr>
                <w:rFonts w:ascii="Arial" w:hAnsi="Arial"/>
                <w:sz w:val="20"/>
              </w:rPr>
              <w:t>x</w:t>
            </w:r>
          </w:p>
        </w:tc>
        <w:tc>
          <w:tcPr>
            <w:tcW w:w="993" w:type="dxa"/>
            <w:tcBorders>
              <w:bottom w:val="single" w:sz="12" w:space="0" w:color="auto"/>
            </w:tcBorders>
            <w:vAlign w:val="center"/>
          </w:tcPr>
          <w:p w:rsidR="00DF4A21" w:rsidRPr="003A38BA" w:rsidRDefault="00DF4A21" w:rsidP="0088418C">
            <w:pPr>
              <w:spacing w:before="60" w:after="60" w:line="260" w:lineRule="exact"/>
              <w:jc w:val="center"/>
              <w:rPr>
                <w:rFonts w:ascii="Arial" w:hAnsi="Arial" w:cs="Arial"/>
                <w:sz w:val="20"/>
                <w:szCs w:val="20"/>
              </w:rPr>
            </w:pPr>
          </w:p>
        </w:tc>
        <w:tc>
          <w:tcPr>
            <w:tcW w:w="1417" w:type="dxa"/>
            <w:tcBorders>
              <w:bottom w:val="single" w:sz="12" w:space="0" w:color="auto"/>
              <w:right w:val="single" w:sz="12" w:space="0" w:color="auto"/>
            </w:tcBorders>
          </w:tcPr>
          <w:p w:rsidR="00DF4A21" w:rsidRPr="003A38BA" w:rsidRDefault="00DF4A21" w:rsidP="00536458">
            <w:pPr>
              <w:spacing w:line="280" w:lineRule="exact"/>
            </w:pPr>
            <w:r>
              <w:t>DIN EN 1871</w:t>
            </w:r>
          </w:p>
        </w:tc>
      </w:tr>
    </w:tbl>
    <w:p w:rsidR="00536458" w:rsidRPr="003A38BA" w:rsidRDefault="00536458" w:rsidP="007C21AF">
      <w:pPr>
        <w:pStyle w:val="FootnoteText"/>
        <w:numPr>
          <w:ilvl w:val="0"/>
          <w:numId w:val="7"/>
        </w:numPr>
        <w:spacing w:after="80"/>
        <w:ind w:left="357" w:hanging="357"/>
        <w:jc w:val="both"/>
        <w:rPr>
          <w:rFonts w:asciiTheme="minorHAnsi" w:hAnsiTheme="minorHAnsi"/>
          <w:sz w:val="18"/>
        </w:rPr>
      </w:pPr>
      <w:r>
        <w:rPr>
          <w:rFonts w:asciiTheme="minorHAnsi" w:hAnsiTheme="minorHAnsi"/>
          <w:sz w:val="18"/>
        </w:rPr>
        <w:t>Se necessário, no caso de substâncias para marcações temporárias</w:t>
      </w:r>
    </w:p>
    <w:p w:rsidR="00536458" w:rsidRPr="003A38BA" w:rsidRDefault="00536458" w:rsidP="007C21AF">
      <w:pPr>
        <w:pStyle w:val="FootnoteText"/>
        <w:numPr>
          <w:ilvl w:val="0"/>
          <w:numId w:val="7"/>
        </w:numPr>
        <w:spacing w:after="80"/>
        <w:ind w:left="357" w:hanging="357"/>
        <w:jc w:val="both"/>
        <w:rPr>
          <w:rFonts w:asciiTheme="minorHAnsi" w:hAnsiTheme="minorHAnsi"/>
          <w:sz w:val="18"/>
        </w:rPr>
      </w:pPr>
      <w:r>
        <w:rPr>
          <w:rFonts w:asciiTheme="minorHAnsi" w:hAnsiTheme="minorHAnsi"/>
          <w:sz w:val="18"/>
        </w:rPr>
        <w:t>No caso de dispersões, o ligante deve ser extraído com tetra-hidrofurano (THF), para evitar precipitações</w:t>
      </w:r>
    </w:p>
    <w:p w:rsidR="00536458" w:rsidRPr="003A38BA" w:rsidRDefault="00536458" w:rsidP="007C21AF">
      <w:pPr>
        <w:pStyle w:val="Heading1"/>
        <w:numPr>
          <w:ilvl w:val="1"/>
          <w:numId w:val="5"/>
        </w:numPr>
        <w:jc w:val="both"/>
        <w:rPr>
          <w:sz w:val="24"/>
          <w:szCs w:val="24"/>
        </w:rPr>
      </w:pPr>
      <w:bookmarkStart w:id="60" w:name="_Toc150157103"/>
      <w:bookmarkStart w:id="61" w:name="_Toc150172942"/>
      <w:bookmarkStart w:id="62" w:name="_Toc150173017"/>
      <w:bookmarkStart w:id="63" w:name="_Toc150174570"/>
      <w:bookmarkStart w:id="64" w:name="_Toc150819423"/>
      <w:bookmarkStart w:id="65" w:name="_Toc150819855"/>
      <w:bookmarkStart w:id="66" w:name="_Toc150819915"/>
      <w:bookmarkStart w:id="67" w:name="_Toc297110226"/>
      <w:bookmarkStart w:id="68" w:name="_Toc297110277"/>
      <w:bookmarkStart w:id="69" w:name="_Toc86465554"/>
      <w:bookmarkStart w:id="70" w:name="_Toc115598046"/>
      <w:bookmarkStart w:id="71" w:name="_Toc120375500"/>
      <w:bookmarkStart w:id="72" w:name="_Toc150173018"/>
      <w:bookmarkStart w:id="73" w:name="_Toc150819916"/>
      <w:bookmarkStart w:id="74" w:name="_Toc353893700"/>
      <w:bookmarkStart w:id="75" w:name="_Toc2194179"/>
      <w:bookmarkStart w:id="76" w:name="_Toc12478643"/>
      <w:bookmarkEnd w:id="60"/>
      <w:bookmarkEnd w:id="61"/>
      <w:bookmarkEnd w:id="62"/>
      <w:bookmarkEnd w:id="63"/>
      <w:bookmarkEnd w:id="64"/>
      <w:bookmarkEnd w:id="65"/>
      <w:bookmarkEnd w:id="66"/>
      <w:bookmarkEnd w:id="67"/>
      <w:bookmarkEnd w:id="68"/>
      <w:r>
        <w:rPr>
          <w:sz w:val="24"/>
        </w:rPr>
        <w:t>Amostragem</w:t>
      </w:r>
      <w:bookmarkEnd w:id="69"/>
      <w:bookmarkEnd w:id="70"/>
      <w:bookmarkEnd w:id="71"/>
      <w:bookmarkEnd w:id="72"/>
      <w:bookmarkEnd w:id="73"/>
      <w:bookmarkEnd w:id="74"/>
      <w:bookmarkEnd w:id="75"/>
      <w:bookmarkEnd w:id="76"/>
    </w:p>
    <w:p w:rsidR="00E54343" w:rsidRPr="003A38BA" w:rsidRDefault="00E54343" w:rsidP="007C21AF">
      <w:pPr>
        <w:spacing w:after="120"/>
        <w:ind w:left="0" w:firstLine="0"/>
        <w:jc w:val="both"/>
      </w:pPr>
      <w:bookmarkStart w:id="77" w:name="_Toc150157105"/>
      <w:bookmarkStart w:id="78" w:name="_Toc150172944"/>
      <w:bookmarkStart w:id="79" w:name="_Toc150173019"/>
      <w:bookmarkStart w:id="80" w:name="_Toc150174572"/>
      <w:bookmarkStart w:id="81" w:name="_Toc150819425"/>
      <w:bookmarkStart w:id="82" w:name="_Toc150819857"/>
      <w:bookmarkStart w:id="83" w:name="_Toc150819917"/>
      <w:bookmarkEnd w:id="77"/>
      <w:bookmarkEnd w:id="78"/>
      <w:bookmarkEnd w:id="79"/>
      <w:bookmarkEnd w:id="80"/>
      <w:bookmarkEnd w:id="81"/>
      <w:bookmarkEnd w:id="82"/>
      <w:bookmarkEnd w:id="83"/>
      <w:r>
        <w:t>No âmbito do ensaio de aptidão, o requerente comprova por escrito que as substâncias e os coformulantes disponibilizados para a aplicação são representativos da produção. O requerente é responsável por assegurar que as quantidades de amostra (cf. 4.2.3) apresentadas para o ensaio de protótipo são suficientes.</w:t>
      </w:r>
    </w:p>
    <w:p w:rsidR="00536458" w:rsidRPr="003A38BA" w:rsidRDefault="00536458" w:rsidP="007C21AF">
      <w:pPr>
        <w:spacing w:after="120"/>
        <w:ind w:left="0" w:firstLine="0"/>
        <w:jc w:val="both"/>
      </w:pPr>
      <w:r>
        <w:t>Os recipientes de amostragem devem ser fechados após o enchimento e ser protegidos contra manipulação através de uma selagem adequada. Constituem exemplos de recipientes de amostra adequados as latas de 1 L com tampas de pressão, ou os recipientes de plástico enroscáveis, estanques ao gás, de polietileno ou polipropileno. As perdas de solventes podem ser evitadas, se os recipientes de amostra forem enchidos até ao máximo possível e, após o fecho, forem virados uma vez. No caso de substâncias de marcação à base de água, é necessária a utilização de recipientes de plástico estanques ao gás ou de uma lata revestida internamente, dotada de tampa de pressão.</w:t>
      </w:r>
    </w:p>
    <w:p w:rsidR="00536458" w:rsidRPr="003A38BA" w:rsidRDefault="00536458" w:rsidP="007C21AF">
      <w:pPr>
        <w:spacing w:after="120"/>
        <w:ind w:left="0" w:firstLine="0"/>
        <w:jc w:val="both"/>
      </w:pPr>
      <w:r>
        <w:t xml:space="preserve">As amostras devem ser claramente rotuladas. </w:t>
      </w:r>
    </w:p>
    <w:p w:rsidR="00536458" w:rsidRPr="003A38BA" w:rsidRDefault="007F44BC" w:rsidP="007C21AF">
      <w:pPr>
        <w:pStyle w:val="Heading1"/>
        <w:numPr>
          <w:ilvl w:val="1"/>
          <w:numId w:val="5"/>
        </w:numPr>
        <w:jc w:val="both"/>
        <w:rPr>
          <w:sz w:val="24"/>
          <w:szCs w:val="24"/>
        </w:rPr>
      </w:pPr>
      <w:bookmarkStart w:id="84" w:name="_Toc297110228"/>
      <w:bookmarkStart w:id="85" w:name="_Toc297110279"/>
      <w:bookmarkStart w:id="86" w:name="_Toc2194180"/>
      <w:bookmarkStart w:id="87" w:name="_Toc84303240"/>
      <w:bookmarkStart w:id="88" w:name="_Toc86465557"/>
      <w:bookmarkStart w:id="89" w:name="_Toc115598049"/>
      <w:bookmarkStart w:id="90" w:name="_Toc12478644"/>
      <w:bookmarkEnd w:id="84"/>
      <w:bookmarkEnd w:id="85"/>
      <w:r>
        <w:rPr>
          <w:sz w:val="24"/>
        </w:rPr>
        <w:t>Ensaio de protótipo de sistemas de marcação não prefabricados</w:t>
      </w:r>
      <w:bookmarkEnd w:id="86"/>
      <w:bookmarkEnd w:id="90"/>
    </w:p>
    <w:bookmarkEnd w:id="87"/>
    <w:bookmarkEnd w:id="88"/>
    <w:bookmarkEnd w:id="89"/>
    <w:p w:rsidR="00536458" w:rsidRPr="003A38BA" w:rsidRDefault="00536458" w:rsidP="007C21AF">
      <w:pPr>
        <w:ind w:left="0" w:firstLine="0"/>
        <w:jc w:val="both"/>
      </w:pPr>
      <w:r>
        <w:t xml:space="preserve">As características distintivas de um sistema de marcação são apresentadas pelo requerente com o pedido de ensaio de aptidão, e registadas, verificadas e documentadas no ensaio de protótipo, para </w:t>
      </w:r>
      <w:r>
        <w:lastRenderedPageBreak/>
        <w:t>permitir uma identificação no âmbito de um ensaio de controlo posterior em conformidade com as ZTV. Os métodos de ensaio do ensaio de protótipo são descritos de seguida.</w:t>
      </w:r>
    </w:p>
    <w:p w:rsidR="00536458" w:rsidRPr="003A38BA" w:rsidRDefault="00536458" w:rsidP="007C21AF">
      <w:pPr>
        <w:pStyle w:val="Heading1"/>
        <w:numPr>
          <w:ilvl w:val="2"/>
          <w:numId w:val="5"/>
        </w:numPr>
        <w:ind w:left="1440" w:hanging="872"/>
        <w:jc w:val="both"/>
        <w:rPr>
          <w:sz w:val="24"/>
          <w:szCs w:val="24"/>
        </w:rPr>
      </w:pPr>
      <w:bookmarkStart w:id="91" w:name="_Toc2194181"/>
      <w:bookmarkStart w:id="92" w:name="_Toc84303245"/>
      <w:bookmarkStart w:id="93" w:name="_Toc86465562"/>
      <w:bookmarkStart w:id="94" w:name="_Toc115598053"/>
      <w:bookmarkStart w:id="95" w:name="_Toc150174577"/>
      <w:bookmarkStart w:id="96" w:name="_Toc273346566"/>
      <w:bookmarkStart w:id="97" w:name="_Toc353893703"/>
      <w:bookmarkStart w:id="98" w:name="_Toc12478645"/>
      <w:r>
        <w:rPr>
          <w:sz w:val="24"/>
        </w:rPr>
        <w:t>Determinação das frações orgânicas e inorgânicas</w:t>
      </w:r>
      <w:bookmarkEnd w:id="91"/>
      <w:bookmarkEnd w:id="98"/>
    </w:p>
    <w:p w:rsidR="00536458" w:rsidRPr="003A38BA" w:rsidRDefault="00536458" w:rsidP="007C21AF">
      <w:pPr>
        <w:ind w:left="0" w:firstLine="0"/>
        <w:jc w:val="both"/>
      </w:pPr>
      <w:r>
        <w:t>A fração de componentes voláteis de tintas de marcação e primários é sempre determinada nos termos da norma DIN EN 12802 mediante pesagem dos resíduos obtidos após três horas de condicionamento térmico a 105 °C na estufa de secagem com recirculação de ar. Os referidos resíduos são reutilizados para a medição da fração de ligantes e da fração de componentes inorgânicos. Após um tratamento térmico de quatro horas a 4450°C em forno de mufla, os ligantes orgânicos são totalmente decompostos. Os resíduos restantes correspondem à fração inorgânica. A determinação das frações mássicas respetivas é realizada através da pesagem antes e após o tratamento térmico. Os resíduos inorgânicos obtidos são utilizados para identificar pigmentos e materiais de enchimento e determinar o teor de dióxido de titânio.</w:t>
      </w:r>
    </w:p>
    <w:p w:rsidR="00536458" w:rsidRPr="003A38BA" w:rsidRDefault="00536458" w:rsidP="007C21AF">
      <w:pPr>
        <w:pStyle w:val="Heading1"/>
        <w:numPr>
          <w:ilvl w:val="2"/>
          <w:numId w:val="5"/>
        </w:numPr>
        <w:ind w:left="1440" w:hanging="872"/>
        <w:jc w:val="both"/>
        <w:rPr>
          <w:sz w:val="24"/>
          <w:szCs w:val="24"/>
        </w:rPr>
      </w:pPr>
      <w:bookmarkStart w:id="99" w:name="_Toc2194182"/>
      <w:bookmarkStart w:id="100" w:name="_Toc12478646"/>
      <w:r>
        <w:rPr>
          <w:sz w:val="24"/>
        </w:rPr>
        <w:t>Determinação dos composto</w:t>
      </w:r>
      <w:bookmarkEnd w:id="92"/>
      <w:r>
        <w:rPr>
          <w:sz w:val="24"/>
        </w:rPr>
        <w:t>s orgânicos voláteis e monómeros/oligómeros</w:t>
      </w:r>
      <w:bookmarkEnd w:id="93"/>
      <w:bookmarkEnd w:id="94"/>
      <w:bookmarkEnd w:id="95"/>
      <w:bookmarkEnd w:id="96"/>
      <w:bookmarkEnd w:id="97"/>
      <w:bookmarkEnd w:id="99"/>
      <w:bookmarkEnd w:id="100"/>
    </w:p>
    <w:p w:rsidR="00667BC9" w:rsidRPr="003A38BA" w:rsidRDefault="00536458" w:rsidP="007C21AF">
      <w:pPr>
        <w:ind w:left="0" w:firstLine="0"/>
        <w:jc w:val="both"/>
      </w:pPr>
      <w:r>
        <w:t xml:space="preserve">A determinação dos componentes orgânicos voláteis em substâncias de marcação e coformulantes é sempre realizada nos termos da norma EN 12802, com cromatografia gasosa, recorrendo a um detetor seletivo de massa (GC-MS). </w:t>
      </w:r>
    </w:p>
    <w:p w:rsidR="00667BC9" w:rsidRPr="003A38BA" w:rsidRDefault="00667BC9" w:rsidP="007C21AF">
      <w:pPr>
        <w:ind w:left="0" w:firstLine="0"/>
        <w:jc w:val="both"/>
      </w:pPr>
      <w:r>
        <w:t xml:space="preserve">Os seguintes requisitos são aplicáveis nos termos das TL M: </w:t>
      </w:r>
    </w:p>
    <w:p w:rsidR="00536458" w:rsidRPr="003A38BA" w:rsidRDefault="00536458" w:rsidP="007C21AF">
      <w:pPr>
        <w:ind w:left="0" w:firstLine="0"/>
        <w:jc w:val="both"/>
      </w:pPr>
      <w:r>
        <w:t xml:space="preserve">As substâncias de marcação podem conter no máximo 25 por cento de peso de solventes orgânicos voláteis. </w:t>
      </w:r>
    </w:p>
    <w:p w:rsidR="00536458" w:rsidRPr="003A38BA" w:rsidRDefault="00536458" w:rsidP="007C21AF">
      <w:pPr>
        <w:ind w:left="0" w:firstLine="0"/>
        <w:jc w:val="both"/>
      </w:pPr>
      <w:r>
        <w:t>Os solventes, classificados como tóxicos (muito tóxicos, categoria 1, 2 ou 3) ou perigosos no sistema GHS (mutagénicos, cancerígenos, muito tóxicos, tóxicos para a reprodução, tóxicos para os órgãos, categoria 1, 1A ou 1B) só podem estar presentes em frações de um total de &lt; 0,1 por cento de peso.</w:t>
      </w:r>
    </w:p>
    <w:p w:rsidR="00536458" w:rsidRPr="003A38BA" w:rsidRDefault="00536458" w:rsidP="007C21AF">
      <w:pPr>
        <w:ind w:left="0" w:firstLine="0"/>
        <w:jc w:val="both"/>
      </w:pPr>
      <w:r>
        <w:t>As frações de solventes classificados como nocivos (muito tóxicos, categoria 4, ou perigosos, categoria 2: mutagénicos, cancerígenos, muito tóxicos, tóxicos para a reprodução, tóxicos para os órgãos) não podem ultrapassar, no total, 1,0 por cento de peso. O que precede é independente do facto de as substâncias estarem disponíveis como impurezas ou aditivos.</w:t>
      </w:r>
    </w:p>
    <w:p w:rsidR="00536458" w:rsidRPr="003A38BA" w:rsidRDefault="00536458" w:rsidP="007C21AF">
      <w:pPr>
        <w:pStyle w:val="Heading1"/>
        <w:numPr>
          <w:ilvl w:val="2"/>
          <w:numId w:val="5"/>
        </w:numPr>
        <w:ind w:left="1440" w:hanging="872"/>
        <w:jc w:val="both"/>
        <w:rPr>
          <w:sz w:val="24"/>
          <w:szCs w:val="24"/>
        </w:rPr>
      </w:pPr>
      <w:bookmarkStart w:id="101" w:name="_Toc84303246"/>
      <w:bookmarkStart w:id="102" w:name="_Toc86465563"/>
      <w:bookmarkStart w:id="103" w:name="_Toc115598054"/>
      <w:bookmarkStart w:id="104" w:name="_Toc150174578"/>
      <w:bookmarkStart w:id="105" w:name="_Toc273346567"/>
      <w:bookmarkStart w:id="106" w:name="_Toc353893704"/>
      <w:bookmarkStart w:id="107" w:name="_Toc2194183"/>
      <w:bookmarkStart w:id="108" w:name="_Toc12478647"/>
      <w:r>
        <w:rPr>
          <w:sz w:val="24"/>
        </w:rPr>
        <w:t>Determinação do teor de dióxido de titânio nos resíduos inorgânicos</w:t>
      </w:r>
      <w:bookmarkEnd w:id="101"/>
      <w:bookmarkEnd w:id="102"/>
      <w:bookmarkEnd w:id="103"/>
      <w:bookmarkEnd w:id="104"/>
      <w:bookmarkEnd w:id="105"/>
      <w:bookmarkEnd w:id="106"/>
      <w:bookmarkEnd w:id="107"/>
      <w:bookmarkEnd w:id="108"/>
    </w:p>
    <w:p w:rsidR="00536458" w:rsidRPr="003A38BA" w:rsidRDefault="00536458" w:rsidP="007C21AF">
      <w:pPr>
        <w:ind w:left="0" w:firstLine="0"/>
        <w:jc w:val="both"/>
      </w:pPr>
      <w:r>
        <w:t xml:space="preserve">O teor de dióxido de titânio é determinado a partir dos resíduos inorgânicos obtidos após a incineração das substâncias de marcação a 450°C. </w:t>
      </w:r>
    </w:p>
    <w:p w:rsidR="00DF4A21" w:rsidRPr="003A38BA" w:rsidRDefault="00536458" w:rsidP="007C21AF">
      <w:pPr>
        <w:ind w:left="0" w:firstLine="0"/>
        <w:jc w:val="both"/>
      </w:pPr>
      <w:r>
        <w:t xml:space="preserve">A determinação é sempre realizada segundo o método descrito na norma DIN EN 12802. Após a digestão do material da amostra em ácido sulfúrico concentrado e a redução com alumínio, tem lugar a titulação redox com sulfato férrico (III) amoniacal. Ao invés da deteção visual do ponto final, é aplicada a deteção potenciométrica do ponto final. </w:t>
      </w:r>
    </w:p>
    <w:p w:rsidR="00536458" w:rsidRPr="003A38BA" w:rsidRDefault="00536458" w:rsidP="007C21AF">
      <w:pPr>
        <w:pStyle w:val="Heading1"/>
        <w:numPr>
          <w:ilvl w:val="2"/>
          <w:numId w:val="5"/>
        </w:numPr>
        <w:ind w:left="1440" w:hanging="872"/>
        <w:jc w:val="both"/>
        <w:rPr>
          <w:sz w:val="24"/>
          <w:szCs w:val="24"/>
        </w:rPr>
      </w:pPr>
      <w:bookmarkStart w:id="109" w:name="_Toc84303247"/>
      <w:bookmarkStart w:id="110" w:name="_Toc86465564"/>
      <w:bookmarkStart w:id="111" w:name="_Toc115598055"/>
      <w:bookmarkStart w:id="112" w:name="_Toc273346568"/>
      <w:bookmarkStart w:id="113" w:name="_Toc353893705"/>
      <w:bookmarkStart w:id="114" w:name="_Toc2194184"/>
      <w:bookmarkStart w:id="115" w:name="_Toc12478648"/>
      <w:r>
        <w:rPr>
          <w:sz w:val="24"/>
        </w:rPr>
        <w:t>Determinação das frações dos corpos de pré-mistura</w:t>
      </w:r>
      <w:bookmarkEnd w:id="109"/>
      <w:bookmarkEnd w:id="110"/>
      <w:bookmarkEnd w:id="111"/>
      <w:bookmarkEnd w:id="112"/>
      <w:bookmarkEnd w:id="113"/>
      <w:bookmarkEnd w:id="114"/>
      <w:bookmarkEnd w:id="115"/>
    </w:p>
    <w:p w:rsidR="00536458" w:rsidRPr="003A38BA" w:rsidRDefault="00536458" w:rsidP="007C21AF">
      <w:pPr>
        <w:spacing w:after="120"/>
        <w:ind w:left="0" w:firstLine="0"/>
        <w:jc w:val="both"/>
      </w:pPr>
      <w:r>
        <w:t>Caso a substância de marcação utilizada no sistema de marcação contenha corpos de pré-mistura (corpos refletores e/ou agregados antiderrapantes), devem determinar-se as respetivas frações, sempre nos termos da norma DIN EN 12802, como se segue:</w:t>
      </w:r>
    </w:p>
    <w:p w:rsidR="00536458" w:rsidRPr="003A38BA" w:rsidRDefault="00536458" w:rsidP="007C21AF">
      <w:pPr>
        <w:ind w:left="0" w:firstLine="0"/>
        <w:jc w:val="both"/>
      </w:pPr>
      <w:r>
        <w:t>Uma amostra de 15 a 20 g da substância de marcação homogeneizada é tratada termicamente no forno de mufla a 450 °C. As frações inorgânicas restantes são peneiradas com um peneiro de 90 µm. A passagem no peneiro é utilizada para a análise de espetroscopia de infravermelhos dos materiais de enchimento e pigmentos. Seguidamente, os resíduos no peneiro são limpos com líquido até estarem livres de pigmentos e materiais de enchimento. Para auxiliar a separação, é possível utilizar complementarmente um banho de ultrassons e ácido acético diluído. Os resíduos são secados a cerca de 150 °C em estufa de secagem e novamente pesados.</w:t>
      </w:r>
    </w:p>
    <w:p w:rsidR="00536458" w:rsidRPr="003A38BA" w:rsidRDefault="00536458" w:rsidP="007C21AF">
      <w:pPr>
        <w:pStyle w:val="Heading1"/>
        <w:numPr>
          <w:ilvl w:val="2"/>
          <w:numId w:val="5"/>
        </w:numPr>
        <w:ind w:left="1440" w:hanging="872"/>
        <w:jc w:val="both"/>
        <w:rPr>
          <w:sz w:val="24"/>
          <w:szCs w:val="24"/>
        </w:rPr>
      </w:pPr>
      <w:bookmarkStart w:id="116" w:name="_Toc273346569"/>
      <w:bookmarkStart w:id="117" w:name="_Toc353893706"/>
      <w:bookmarkStart w:id="118" w:name="_Toc2194185"/>
      <w:bookmarkStart w:id="119" w:name="_Toc12478649"/>
      <w:r>
        <w:rPr>
          <w:sz w:val="24"/>
        </w:rPr>
        <w:lastRenderedPageBreak/>
        <w:t>Determinação da temperatura de amolecimento segundo Wilhelmi</w:t>
      </w:r>
      <w:bookmarkEnd w:id="116"/>
      <w:bookmarkEnd w:id="117"/>
      <w:bookmarkEnd w:id="118"/>
      <w:bookmarkEnd w:id="119"/>
    </w:p>
    <w:p w:rsidR="00536458" w:rsidRPr="003A38BA" w:rsidRDefault="00536458" w:rsidP="007C21AF">
      <w:pPr>
        <w:ind w:left="0" w:firstLine="0"/>
        <w:jc w:val="both"/>
      </w:pPr>
      <w:r>
        <w:t xml:space="preserve">As substâncias de marcação termoplásticas devem demonstrar estabilidade dimensional adequada, mesmo com temperaturas de verão. Caso contrário, os agregados antiderrapantes e os corpos refletores incorporados na superfície do sistema de marcação seriam afundados no sistema pela rolagem de pneus de veículos, vendo assim afetada a sua função. Para a caracterização da estabilidade dimensional, procede-se ao ensaio da temperatura de amolecimento em conformidade com a norma DIN EN 1871, anexo F («Ensaio de Wilhelmi»). Deve ser atingida, no mínimo, a classe SP2 (80 °C). </w:t>
      </w:r>
    </w:p>
    <w:p w:rsidR="00E35384" w:rsidRPr="003A38BA" w:rsidRDefault="007A6695" w:rsidP="007C21AF">
      <w:pPr>
        <w:pStyle w:val="Heading1"/>
        <w:numPr>
          <w:ilvl w:val="2"/>
          <w:numId w:val="5"/>
        </w:numPr>
        <w:ind w:left="1440" w:hanging="872"/>
        <w:jc w:val="both"/>
        <w:rPr>
          <w:sz w:val="24"/>
          <w:szCs w:val="24"/>
        </w:rPr>
      </w:pPr>
      <w:bookmarkStart w:id="120" w:name="_Toc2194186"/>
      <w:bookmarkStart w:id="121" w:name="_Toc12478650"/>
      <w:r>
        <w:rPr>
          <w:sz w:val="24"/>
        </w:rPr>
        <w:t>Resistência à penetração</w:t>
      </w:r>
      <w:bookmarkEnd w:id="120"/>
      <w:bookmarkEnd w:id="121"/>
    </w:p>
    <w:p w:rsidR="00E35384" w:rsidRPr="003A38BA" w:rsidRDefault="000B2B83" w:rsidP="0023536B">
      <w:pPr>
        <w:ind w:left="0" w:firstLine="0"/>
        <w:jc w:val="both"/>
      </w:pPr>
      <w:r>
        <w:t xml:space="preserve">A profundidade de penetração com uma determinada temperatura constitui um indicador sensível para alterações da composição de substâncias de marcação termoplásticas. A temperatura de ensaio deve ser determinada de acordo com o endurecimento do termoplástico. O método é descrito na norma DIN EN 1871. </w:t>
      </w:r>
    </w:p>
    <w:p w:rsidR="00536458" w:rsidRPr="003A38BA" w:rsidRDefault="00536458" w:rsidP="007C21AF">
      <w:pPr>
        <w:pStyle w:val="Heading1"/>
        <w:numPr>
          <w:ilvl w:val="2"/>
          <w:numId w:val="5"/>
        </w:numPr>
        <w:ind w:left="1440" w:hanging="872"/>
        <w:jc w:val="both"/>
        <w:rPr>
          <w:sz w:val="24"/>
          <w:szCs w:val="24"/>
        </w:rPr>
      </w:pPr>
      <w:bookmarkStart w:id="122" w:name="_Toc150173025"/>
      <w:bookmarkStart w:id="123" w:name="_Toc150174586"/>
      <w:bookmarkStart w:id="124" w:name="_Toc273346570"/>
      <w:bookmarkStart w:id="125" w:name="_Toc353893707"/>
      <w:bookmarkStart w:id="126" w:name="_Toc2194187"/>
      <w:bookmarkStart w:id="127" w:name="_Toc12478651"/>
      <w:r>
        <w:rPr>
          <w:sz w:val="24"/>
        </w:rPr>
        <w:t>Ensaio da presença de chumbo e cádmio</w:t>
      </w:r>
      <w:bookmarkEnd w:id="122"/>
      <w:bookmarkEnd w:id="123"/>
      <w:r>
        <w:rPr>
          <w:sz w:val="24"/>
        </w:rPr>
        <w:t xml:space="preserve"> em sistemas de marcação temporários</w:t>
      </w:r>
      <w:bookmarkEnd w:id="124"/>
      <w:bookmarkEnd w:id="125"/>
      <w:bookmarkEnd w:id="126"/>
      <w:bookmarkEnd w:id="127"/>
    </w:p>
    <w:p w:rsidR="00536458" w:rsidRPr="003A38BA" w:rsidRDefault="00536458" w:rsidP="007C21AF">
      <w:pPr>
        <w:spacing w:after="120"/>
        <w:ind w:left="0" w:firstLine="0"/>
        <w:jc w:val="both"/>
      </w:pPr>
      <w:r>
        <w:t xml:space="preserve">As substâncias de marcação e os coformulantes não podem conter frações extraíveis dos metais pesados chumbo, cádmio ou antimónio. O pré-tratamento das amostras tem sempre lugar segundo os métodos-padrão alemães para a análise de água, água residual e lamas, secção S4 (DEV-S4). O ensaio em questão é realizado como se segue, de forma complementar aos métodos da norma DIN EN 1790: </w:t>
      </w:r>
    </w:p>
    <w:p w:rsidR="00536458" w:rsidRPr="003A38BA" w:rsidRDefault="00536458" w:rsidP="007C21AF">
      <w:pPr>
        <w:ind w:left="0" w:firstLine="0"/>
        <w:jc w:val="both"/>
      </w:pPr>
      <w:r>
        <w:t>Procede-se à pesagem de duas amostras de película com cerca de 5 x 5 cm e à posterior incineração a 450°C. Os resíduos são digeridos e realiza-se a determinação dos metais pesados nos termos da norma ISO 11466 e a ICP-OES ou AAS.</w:t>
      </w:r>
    </w:p>
    <w:p w:rsidR="00536458" w:rsidRPr="003A38BA" w:rsidRDefault="00536458" w:rsidP="007C21AF">
      <w:pPr>
        <w:pStyle w:val="Heading1"/>
        <w:numPr>
          <w:ilvl w:val="1"/>
          <w:numId w:val="5"/>
        </w:numPr>
        <w:jc w:val="both"/>
        <w:rPr>
          <w:sz w:val="24"/>
          <w:szCs w:val="24"/>
        </w:rPr>
      </w:pPr>
      <w:bookmarkStart w:id="128" w:name="_Urmusterprüfung_bei_Markierungsfolien"/>
      <w:bookmarkStart w:id="129" w:name="_Toc150173023"/>
      <w:bookmarkStart w:id="130" w:name="_Toc150174579"/>
      <w:bookmarkStart w:id="131" w:name="_Toc273346571"/>
      <w:bookmarkStart w:id="132" w:name="_Toc353893708"/>
      <w:bookmarkStart w:id="133" w:name="_Toc2194188"/>
      <w:bookmarkStart w:id="134" w:name="_Toc12478652"/>
      <w:bookmarkEnd w:id="128"/>
      <w:r>
        <w:rPr>
          <w:sz w:val="24"/>
        </w:rPr>
        <w:t>Ensaio de protótipo de películas de marcação (métodos de identificação)</w:t>
      </w:r>
      <w:bookmarkEnd w:id="129"/>
      <w:bookmarkEnd w:id="130"/>
      <w:bookmarkEnd w:id="131"/>
      <w:bookmarkEnd w:id="132"/>
      <w:bookmarkEnd w:id="133"/>
      <w:bookmarkEnd w:id="134"/>
    </w:p>
    <w:p w:rsidR="00536458" w:rsidRPr="003A38BA" w:rsidRDefault="00536458" w:rsidP="007C21AF">
      <w:pPr>
        <w:ind w:left="0" w:firstLine="0"/>
        <w:jc w:val="both"/>
      </w:pPr>
      <w:r>
        <w:t>Os métodos para o ensaio de protótipo de películas de marcação rodoviária são descritos na norma DIN EN 1790. Abaixo são descritas disposições complementares ou derrogatórias.</w:t>
      </w:r>
    </w:p>
    <w:p w:rsidR="00536458" w:rsidRPr="003A38BA" w:rsidRDefault="00536458" w:rsidP="007C21AF">
      <w:pPr>
        <w:pStyle w:val="Heading1"/>
        <w:numPr>
          <w:ilvl w:val="2"/>
          <w:numId w:val="5"/>
        </w:numPr>
        <w:ind w:left="1440" w:hanging="720"/>
        <w:jc w:val="both"/>
        <w:rPr>
          <w:sz w:val="24"/>
          <w:szCs w:val="24"/>
        </w:rPr>
      </w:pPr>
      <w:bookmarkStart w:id="135" w:name="_Toc150174580"/>
      <w:bookmarkStart w:id="136" w:name="_Toc273346572"/>
      <w:bookmarkStart w:id="137" w:name="_Toc353893709"/>
      <w:bookmarkStart w:id="138" w:name="_Toc2194189"/>
      <w:bookmarkStart w:id="139" w:name="_Toc12478653"/>
      <w:r>
        <w:rPr>
          <w:sz w:val="24"/>
        </w:rPr>
        <w:t>Amostras de retenção de películas</w:t>
      </w:r>
      <w:bookmarkEnd w:id="135"/>
      <w:bookmarkEnd w:id="136"/>
      <w:bookmarkEnd w:id="137"/>
      <w:bookmarkEnd w:id="138"/>
      <w:bookmarkEnd w:id="139"/>
    </w:p>
    <w:p w:rsidR="00536458" w:rsidRPr="003A38BA" w:rsidRDefault="00536458" w:rsidP="007C21AF">
      <w:pPr>
        <w:ind w:left="0" w:firstLine="0"/>
        <w:jc w:val="both"/>
      </w:pPr>
      <w:r>
        <w:t>Procede-se à conservação de amostras de películas submetidas a ensaio de aptidão. As amostras de retenção têm cerca de 1 m e são armazenadas em estado de refrigeração e em ausência de luz.</w:t>
      </w:r>
    </w:p>
    <w:p w:rsidR="00536458" w:rsidRPr="003A38BA" w:rsidRDefault="00536458" w:rsidP="007C21AF">
      <w:pPr>
        <w:pStyle w:val="Heading1"/>
        <w:numPr>
          <w:ilvl w:val="2"/>
          <w:numId w:val="5"/>
        </w:numPr>
        <w:ind w:left="1440" w:hanging="720"/>
        <w:jc w:val="both"/>
        <w:rPr>
          <w:sz w:val="24"/>
          <w:szCs w:val="24"/>
        </w:rPr>
      </w:pPr>
      <w:bookmarkStart w:id="140" w:name="_Toc273346573"/>
      <w:bookmarkStart w:id="141" w:name="_Toc353893710"/>
      <w:bookmarkStart w:id="142" w:name="_Toc2194190"/>
      <w:bookmarkStart w:id="143" w:name="_Toc12478654"/>
      <w:r>
        <w:rPr>
          <w:sz w:val="24"/>
        </w:rPr>
        <w:t>Análise de imagem das películas de marcação rodoviária</w:t>
      </w:r>
      <w:bookmarkEnd w:id="140"/>
      <w:bookmarkEnd w:id="141"/>
      <w:bookmarkEnd w:id="142"/>
      <w:bookmarkEnd w:id="143"/>
    </w:p>
    <w:p w:rsidR="00536458" w:rsidRPr="003A38BA" w:rsidRDefault="00536458" w:rsidP="007C21AF">
      <w:pPr>
        <w:ind w:left="0" w:firstLine="0"/>
        <w:jc w:val="both"/>
      </w:pPr>
      <w:r>
        <w:t>De forma complementar aos métodos da norma DIN EN 1790, procede-se à produção de fotografias macroscópicas e microscópicas das películas de marcação rodoviária. Por forma a permitir uma comparação objetiva da dimensão de fotografias microscópicas, é sempre apresentada uma escala.</w:t>
      </w:r>
    </w:p>
    <w:p w:rsidR="00536458" w:rsidRPr="003A38BA" w:rsidRDefault="00536458" w:rsidP="007C21AF">
      <w:pPr>
        <w:pStyle w:val="Heading1"/>
        <w:numPr>
          <w:ilvl w:val="2"/>
          <w:numId w:val="5"/>
        </w:numPr>
        <w:ind w:left="1440" w:hanging="720"/>
        <w:jc w:val="both"/>
        <w:rPr>
          <w:sz w:val="24"/>
          <w:szCs w:val="24"/>
        </w:rPr>
      </w:pPr>
      <w:bookmarkStart w:id="144" w:name="_Thermogrammetrische_Analyse_von"/>
      <w:bookmarkStart w:id="145" w:name="_Toc84303250"/>
      <w:bookmarkStart w:id="146" w:name="_Toc86465567"/>
      <w:bookmarkStart w:id="147" w:name="_Toc115598058"/>
      <w:bookmarkStart w:id="148" w:name="_Toc150174581"/>
      <w:bookmarkStart w:id="149" w:name="_Toc273346574"/>
      <w:bookmarkStart w:id="150" w:name="_Toc353893711"/>
      <w:bookmarkStart w:id="151" w:name="_Toc2194191"/>
      <w:bookmarkStart w:id="152" w:name="_Toc84303249"/>
      <w:bookmarkStart w:id="153" w:name="_Toc86465566"/>
      <w:bookmarkStart w:id="154" w:name="_Toc115598057"/>
      <w:bookmarkStart w:id="155" w:name="_Toc12478655"/>
      <w:bookmarkEnd w:id="144"/>
      <w:r>
        <w:rPr>
          <w:sz w:val="24"/>
        </w:rPr>
        <w:t>Análise termogravimétrica de películas de marcaçã</w:t>
      </w:r>
      <w:bookmarkEnd w:id="145"/>
      <w:bookmarkEnd w:id="146"/>
      <w:bookmarkEnd w:id="147"/>
      <w:r>
        <w:rPr>
          <w:sz w:val="24"/>
        </w:rPr>
        <w:t>o</w:t>
      </w:r>
      <w:bookmarkEnd w:id="148"/>
      <w:bookmarkEnd w:id="149"/>
      <w:bookmarkEnd w:id="150"/>
      <w:bookmarkEnd w:id="151"/>
      <w:bookmarkEnd w:id="155"/>
    </w:p>
    <w:p w:rsidR="00536458" w:rsidRPr="003A38BA" w:rsidRDefault="00536458" w:rsidP="007C21AF">
      <w:pPr>
        <w:ind w:left="0" w:firstLine="0"/>
        <w:jc w:val="both"/>
      </w:pPr>
      <w:r>
        <w:t>Regra geral, as películas de marcação são compostas por vários componentes de diferentes tipos, apenas passíveis de separação com grande esforço. A análise química completa dos componentes individuais não é, por conseguinte, razoável. A análise termogravimétrica nos termos da norma DIN EN 1790 assegura, contudo, a possibilidade de caracterizar a composição de películas de forma simplificada. As porções representativas da película são retiradas da película com recurso a um punção. No caso das películas perfiladas, obtêm-se amostras dos intervalos do perfil e dos perfis, procedendo-se depois à ponderação dos resultados da termografia.</w:t>
      </w:r>
    </w:p>
    <w:p w:rsidR="00536458" w:rsidRPr="003A38BA" w:rsidRDefault="00FA1D3F" w:rsidP="007C21AF">
      <w:pPr>
        <w:ind w:left="0" w:firstLine="0"/>
        <w:jc w:val="both"/>
      </w:pPr>
      <w:r>
        <w:lastRenderedPageBreak/>
        <w:t>As amostras da película são aquecidas num aparelho de aquecimento, começando a temperatura ambiente com uma taxa de aquecimento de 10 °C/min até uma temperatura de 500 °C em atmosfera de azoto. Seguidamente, procede-se à manutenção de uma temperatura constante de 500 °C durante 15 minutos e, posteriormente, à calcinação com uma taxa de aquecimento de 10 °C/min com ar sintético até 1 000 °C. Na sequência da vaporização de componentes voláteis e da decomposição térmica ou oxidativa de substâncias orgânicas, a massa da amostra é reduzida de forma específica. A massa da amostra é medida em função da respetiva temperatura. Obtém-se um termograma característico para a amostra.</w:t>
      </w:r>
    </w:p>
    <w:p w:rsidR="00536458" w:rsidRPr="003A38BA" w:rsidRDefault="00536458" w:rsidP="007C21AF">
      <w:pPr>
        <w:pStyle w:val="Heading1"/>
        <w:numPr>
          <w:ilvl w:val="2"/>
          <w:numId w:val="5"/>
        </w:numPr>
        <w:ind w:left="1440" w:hanging="720"/>
        <w:jc w:val="both"/>
        <w:rPr>
          <w:sz w:val="24"/>
          <w:szCs w:val="24"/>
        </w:rPr>
      </w:pPr>
      <w:bookmarkStart w:id="156" w:name="_Toc150174582"/>
      <w:bookmarkStart w:id="157" w:name="_Toc273346575"/>
      <w:bookmarkStart w:id="158" w:name="_Toc353893712"/>
      <w:bookmarkStart w:id="159" w:name="_Toc2194192"/>
      <w:bookmarkStart w:id="160" w:name="_Toc12478656"/>
      <w:r>
        <w:rPr>
          <w:sz w:val="24"/>
        </w:rPr>
        <w:t>Análise da camada adesiva de películas</w:t>
      </w:r>
      <w:bookmarkEnd w:id="152"/>
      <w:bookmarkEnd w:id="153"/>
      <w:bookmarkEnd w:id="154"/>
      <w:bookmarkEnd w:id="156"/>
      <w:bookmarkEnd w:id="157"/>
      <w:bookmarkEnd w:id="158"/>
      <w:bookmarkEnd w:id="159"/>
      <w:bookmarkEnd w:id="160"/>
    </w:p>
    <w:p w:rsidR="00536458" w:rsidRPr="003A38BA" w:rsidRDefault="00536458" w:rsidP="007C21AF">
      <w:pPr>
        <w:ind w:left="0" w:firstLine="0"/>
        <w:jc w:val="both"/>
      </w:pPr>
      <w:r>
        <w:t>Para a análise da camada adesiva nos termos da norma DIN EN 1790, regista-se um espetro de infravermelhos entre 600 e 4 000 cm</w:t>
      </w:r>
      <w:r>
        <w:rPr>
          <w:vertAlign w:val="superscript"/>
        </w:rPr>
        <w:t>-1</w:t>
      </w:r>
      <w:r>
        <w:t xml:space="preserve">. Devido à preparação simplificada das amostras, utiliza-se a técnica ATR (reflexão total atenuada). </w:t>
      </w:r>
    </w:p>
    <w:p w:rsidR="009700EB" w:rsidRPr="003A38BA" w:rsidRDefault="00BB5DDD" w:rsidP="007C21AF">
      <w:pPr>
        <w:pStyle w:val="Heading1"/>
        <w:numPr>
          <w:ilvl w:val="2"/>
          <w:numId w:val="5"/>
        </w:numPr>
        <w:ind w:left="1440" w:hanging="720"/>
        <w:jc w:val="both"/>
        <w:rPr>
          <w:sz w:val="24"/>
          <w:szCs w:val="24"/>
        </w:rPr>
      </w:pPr>
      <w:bookmarkStart w:id="161" w:name="_Toc2194193"/>
      <w:bookmarkStart w:id="162" w:name="_Toc12478657"/>
      <w:r>
        <w:rPr>
          <w:sz w:val="24"/>
        </w:rPr>
        <w:t>Análise de primários betuminosos</w:t>
      </w:r>
      <w:bookmarkEnd w:id="161"/>
      <w:bookmarkEnd w:id="162"/>
    </w:p>
    <w:p w:rsidR="009700EB" w:rsidRPr="003A38BA" w:rsidRDefault="00BB5DDD" w:rsidP="007C21AF">
      <w:pPr>
        <w:ind w:left="0" w:firstLine="0"/>
        <w:jc w:val="both"/>
      </w:pPr>
      <w:r>
        <w:t>As pré-camadas e os primários betuminosos são caracterizados com recurso a processos físicos. Para tal, determinam-se a temperatura de amolecimento (nos termos da norma DIN EN 1427), a penetração com agulha (nos termos da norma DIN EN 1426) e a força-ductilidade (nos termos da norma EN 13589).</w:t>
      </w:r>
    </w:p>
    <w:p w:rsidR="00536458" w:rsidRPr="003A38BA" w:rsidRDefault="005F2E9C" w:rsidP="007C21AF">
      <w:pPr>
        <w:pStyle w:val="Heading1"/>
        <w:numPr>
          <w:ilvl w:val="1"/>
          <w:numId w:val="5"/>
        </w:numPr>
        <w:jc w:val="both"/>
        <w:rPr>
          <w:sz w:val="24"/>
          <w:szCs w:val="24"/>
        </w:rPr>
      </w:pPr>
      <w:bookmarkStart w:id="163" w:name="_Toc273346576"/>
      <w:bookmarkStart w:id="164" w:name="_Toc353893713"/>
      <w:bookmarkStart w:id="165" w:name="_Toc150173024"/>
      <w:bookmarkStart w:id="166" w:name="_Toc150174583"/>
      <w:bookmarkStart w:id="167" w:name="_Toc2194194"/>
      <w:bookmarkStart w:id="168" w:name="_Toc84303252"/>
      <w:bookmarkStart w:id="169" w:name="_Toc86465569"/>
      <w:bookmarkStart w:id="170" w:name="_Toc115598060"/>
      <w:bookmarkStart w:id="171" w:name="_Toc120375505"/>
      <w:bookmarkStart w:id="172" w:name="_Toc12478658"/>
      <w:r>
        <w:rPr>
          <w:sz w:val="24"/>
        </w:rPr>
        <w:t>Ensaio de protótipo de coformulante</w:t>
      </w:r>
      <w:bookmarkEnd w:id="163"/>
      <w:bookmarkEnd w:id="164"/>
      <w:r>
        <w:rPr>
          <w:sz w:val="24"/>
        </w:rPr>
        <w:t>s</w:t>
      </w:r>
      <w:bookmarkEnd w:id="165"/>
      <w:bookmarkEnd w:id="166"/>
      <w:bookmarkEnd w:id="167"/>
      <w:bookmarkEnd w:id="172"/>
    </w:p>
    <w:p w:rsidR="00536458" w:rsidRPr="003A38BA" w:rsidRDefault="00536458" w:rsidP="007C21AF">
      <w:pPr>
        <w:pStyle w:val="Heading1"/>
        <w:numPr>
          <w:ilvl w:val="2"/>
          <w:numId w:val="5"/>
        </w:numPr>
        <w:ind w:left="1440" w:hanging="720"/>
        <w:jc w:val="both"/>
        <w:rPr>
          <w:sz w:val="24"/>
          <w:szCs w:val="24"/>
        </w:rPr>
      </w:pPr>
      <w:bookmarkStart w:id="173" w:name="_Toc273346577"/>
      <w:bookmarkStart w:id="174" w:name="_Toc353893714"/>
      <w:bookmarkStart w:id="175" w:name="_Toc2194195"/>
      <w:bookmarkStart w:id="176" w:name="_Toc150174584"/>
      <w:bookmarkStart w:id="177" w:name="_Toc12478659"/>
      <w:bookmarkEnd w:id="168"/>
      <w:bookmarkEnd w:id="169"/>
      <w:bookmarkEnd w:id="170"/>
      <w:bookmarkEnd w:id="171"/>
      <w:r>
        <w:rPr>
          <w:sz w:val="24"/>
        </w:rPr>
        <w:t>Análise de pérolas refletoras e agregados antiderrapantes (sistemas de pré-mistura e de materiais de projeção)</w:t>
      </w:r>
      <w:bookmarkEnd w:id="173"/>
      <w:bookmarkEnd w:id="174"/>
      <w:bookmarkEnd w:id="175"/>
      <w:bookmarkEnd w:id="177"/>
    </w:p>
    <w:p w:rsidR="00536458" w:rsidRPr="003A38BA" w:rsidRDefault="00536458" w:rsidP="007C21AF">
      <w:pPr>
        <w:ind w:left="0" w:firstLine="0"/>
        <w:jc w:val="both"/>
      </w:pPr>
      <w:r>
        <w:t>Os requisitos aplicáveis aos corpos refletores e aos agregados antiderrapantes são descritos nas normas DIN EN 1423 (materiais de projeção) e DIN EN 1424 (corpos de pré-mistura)</w:t>
      </w:r>
      <w:r>
        <w:rPr>
          <w:rStyle w:val="FootnoteReference"/>
        </w:rPr>
        <w:footnoteReference w:id="4"/>
      </w:r>
      <w:r>
        <w:t xml:space="preserve">. Adicionalmente, são aplicáveis os requisitos nos termos do anexo C aos materiais de projeção, independentemente das substâncias, e aos corpos de pré-mistura, no que se refere a termoplásticos. </w:t>
      </w:r>
    </w:p>
    <w:p w:rsidR="007B668F" w:rsidRPr="003A38BA" w:rsidRDefault="00536458" w:rsidP="007C21AF">
      <w:pPr>
        <w:ind w:left="0" w:firstLine="0"/>
        <w:jc w:val="both"/>
      </w:pPr>
      <w:r>
        <w:t>A utilização da análise de partículas com suporte de vídeo e da microscopia digital permite determinar, numa mistura de corpos refletores e agregados antiderrapantes, tanto as respetivas frações na mistura como a granulometria e os parâmetros de formato do grão das frações individuais. A determinação do índice de refração é realizada (sempre que necessário) ao microscópio digital com líquidos de imersão adequados. No caso de misturas de corpos refletores e agregados antiderrapantes, deve indicar-se separadamente a razão de massa entre si (m/m), a identidade e o peso específico de todos os componentes utilizados e as curvas granulométricas dos corpos refletores e dos agregados antiderrapantes. A identidade dos componentes e o índice de refração de corpos refletores não podem ser alterados. Os revestimentos para melhoria da aderência e/ou revestimentos reativos devem ser indicados.</w:t>
      </w:r>
    </w:p>
    <w:p w:rsidR="00E35384" w:rsidRPr="003A38BA" w:rsidRDefault="00B533DC" w:rsidP="007C21AF">
      <w:pPr>
        <w:ind w:left="0" w:firstLine="0"/>
        <w:jc w:val="both"/>
      </w:pPr>
      <w:r>
        <w:t xml:space="preserve">A partir de uma dimensão nominal de 0,300 mm, a relação proporcional de dois peneiros sucessivos da curva granulométrica não pode corresponder a mais de 1,2. A presente regulamentação é válida separadamente para os corpos refletores e para os agregados antiderrapantes. </w:t>
      </w:r>
    </w:p>
    <w:p w:rsidR="00536458" w:rsidRPr="003A38BA" w:rsidRDefault="00536458" w:rsidP="007C21AF">
      <w:pPr>
        <w:pStyle w:val="Heading1"/>
        <w:numPr>
          <w:ilvl w:val="2"/>
          <w:numId w:val="5"/>
        </w:numPr>
        <w:ind w:left="1440" w:hanging="720"/>
        <w:jc w:val="both"/>
        <w:rPr>
          <w:sz w:val="24"/>
          <w:szCs w:val="24"/>
        </w:rPr>
      </w:pPr>
      <w:bookmarkStart w:id="178" w:name="_Toc273346578"/>
      <w:bookmarkStart w:id="179" w:name="_Toc353893715"/>
      <w:bookmarkStart w:id="180" w:name="_Toc2194196"/>
      <w:bookmarkStart w:id="181" w:name="_Toc12478660"/>
      <w:r>
        <w:rPr>
          <w:sz w:val="24"/>
        </w:rPr>
        <w:lastRenderedPageBreak/>
        <w:t>Análise do revestimento de corpos refletores e agregados antiderrapantes</w:t>
      </w:r>
      <w:bookmarkEnd w:id="178"/>
      <w:bookmarkEnd w:id="179"/>
      <w:bookmarkEnd w:id="180"/>
      <w:bookmarkEnd w:id="181"/>
    </w:p>
    <w:p w:rsidR="00536458" w:rsidRPr="003A38BA" w:rsidRDefault="00536458" w:rsidP="007C21AF">
      <w:pPr>
        <w:ind w:left="0" w:firstLine="0"/>
        <w:jc w:val="both"/>
      </w:pPr>
      <w:r>
        <w:t>As propriedades técnicas de circulação importantes de marcações rodoviárias são alcançadas mediante a fixação precisa e permanente dos materiais de projeção na superfície da substância de marcação. Por forma a melhorar a aderência dos materiais de projeção na substância de marcação, estes são muitas vezes revestidos com um silano ou siloxano. Estas substâncias têm como efeito uma incorporação mais consistente no ligante da substância de marcação. A esse respeito, a seleção do material de revestimento adequado para a substância de marcação em questão tem uma importância decisiva, pois a consistência da incorporação pode influenciar as propriedades técnicas de circulação e os respetivos valores de medição. A seleção é feita pelo produtor da substância em acordo com o produtor dos materiais de projeção. O material de revestimento deve ser comprovado no âmbito do ensaio de protótipo tanto quanto possível.</w:t>
      </w:r>
    </w:p>
    <w:p w:rsidR="00536458" w:rsidRPr="003A38BA" w:rsidRDefault="00536458" w:rsidP="007C21AF">
      <w:pPr>
        <w:pStyle w:val="Heading1"/>
        <w:numPr>
          <w:ilvl w:val="2"/>
          <w:numId w:val="5"/>
        </w:numPr>
        <w:ind w:left="1440" w:hanging="720"/>
        <w:jc w:val="both"/>
        <w:rPr>
          <w:sz w:val="24"/>
          <w:szCs w:val="24"/>
        </w:rPr>
      </w:pPr>
      <w:bookmarkStart w:id="182" w:name="_Toc150174585"/>
      <w:bookmarkStart w:id="183" w:name="_Toc273346579"/>
      <w:bookmarkStart w:id="184" w:name="_Toc353893716"/>
      <w:bookmarkStart w:id="185" w:name="_Toc2194197"/>
      <w:bookmarkStart w:id="186" w:name="_Toc12478661"/>
      <w:bookmarkEnd w:id="176"/>
      <w:r>
        <w:rPr>
          <w:sz w:val="24"/>
        </w:rPr>
        <w:t>Análise dos restantes coformulantes</w:t>
      </w:r>
      <w:bookmarkEnd w:id="182"/>
      <w:bookmarkEnd w:id="183"/>
      <w:bookmarkEnd w:id="184"/>
      <w:bookmarkEnd w:id="185"/>
      <w:bookmarkEnd w:id="186"/>
    </w:p>
    <w:p w:rsidR="00536458" w:rsidRPr="003A38BA" w:rsidRDefault="00536458" w:rsidP="007C21AF">
      <w:pPr>
        <w:ind w:left="0" w:firstLine="0"/>
        <w:jc w:val="both"/>
      </w:pPr>
      <w:r>
        <w:t>Os coformulantes, tais como materiais de pré-camada, primários, solventes, etc. são analisados da mesma forma que as tintas de marcação. Apenas se verificam desvios do que precede em casos justificados.</w:t>
      </w:r>
    </w:p>
    <w:p w:rsidR="00536458" w:rsidRPr="003A38BA" w:rsidRDefault="00536458" w:rsidP="007C21AF">
      <w:pPr>
        <w:ind w:left="0" w:firstLine="0"/>
        <w:jc w:val="both"/>
      </w:pPr>
      <w:r>
        <w:t>Os endurecedores (líquidos ou sólidos) são analisados com espetroscopia de infravermelhos. Estes últimos não podem ser expostos a qualquer carga térmica antes da análise. Os métodos de ensaio correspondem aos métodos descritos na norma DIN EN 12802 para a análise de ligantes.</w:t>
      </w:r>
    </w:p>
    <w:p w:rsidR="00E5609C" w:rsidRPr="003A38BA" w:rsidRDefault="00E5609C" w:rsidP="007C21AF">
      <w:pPr>
        <w:pStyle w:val="Heading1"/>
        <w:pageBreakBefore/>
        <w:ind w:left="0" w:firstLine="0"/>
        <w:jc w:val="both"/>
        <w:rPr>
          <w:sz w:val="24"/>
          <w:szCs w:val="24"/>
        </w:rPr>
      </w:pPr>
      <w:bookmarkStart w:id="187" w:name="_Anhang_2"/>
      <w:bookmarkStart w:id="188" w:name="_Toc2194198"/>
      <w:bookmarkStart w:id="189" w:name="_Toc12478662"/>
      <w:bookmarkEnd w:id="187"/>
      <w:r>
        <w:rPr>
          <w:sz w:val="24"/>
        </w:rPr>
        <w:lastRenderedPageBreak/>
        <w:t>Anexo A</w:t>
      </w:r>
      <w:bookmarkEnd w:id="188"/>
      <w:bookmarkEnd w:id="189"/>
    </w:p>
    <w:p w:rsidR="00E5609C" w:rsidRPr="003A38BA" w:rsidRDefault="003E1828" w:rsidP="007C21AF">
      <w:pPr>
        <w:jc w:val="both"/>
      </w:pPr>
      <w:r>
        <w:t>Certificado de ensaio</w:t>
      </w:r>
    </w:p>
    <w:p w:rsidR="003916B9" w:rsidRDefault="003916B9" w:rsidP="00E5609C"/>
    <w:p w:rsidR="0040352A" w:rsidRPr="008766C3" w:rsidRDefault="0040352A" w:rsidP="0040352A">
      <w:pPr>
        <w:tabs>
          <w:tab w:val="left" w:leader="hyphen" w:pos="8789"/>
        </w:tabs>
        <w:spacing w:after="60"/>
        <w:ind w:left="4820" w:firstLine="1134"/>
        <w:jc w:val="right"/>
        <w:rPr>
          <w:rFonts w:cs="Calibri"/>
        </w:rPr>
      </w:pPr>
      <w:r>
        <w:rPr>
          <w:color w:val="000000"/>
        </w:rPr>
        <w:t>Número de acreditação do laboratório de ensaio acreditado para o âmbito de ensaio «marcações de pavimento»</w:t>
      </w:r>
      <w:r>
        <w:tab/>
      </w:r>
    </w:p>
    <w:p w:rsidR="0040352A" w:rsidRPr="008766C3" w:rsidRDefault="0040352A" w:rsidP="0040352A">
      <w:pPr>
        <w:spacing w:after="60"/>
        <w:ind w:left="0" w:firstLine="0"/>
        <w:rPr>
          <w:rFonts w:eastAsia="Times New Roman" w:cs="Calibri"/>
        </w:rPr>
      </w:pPr>
      <w:r>
        <w:rPr>
          <w:b/>
          <w:color w:val="000000"/>
        </w:rPr>
        <w:t>Certificado sobre o ensaio de um sistema de marcação na mesa giratória</w:t>
      </w:r>
    </w:p>
    <w:p w:rsidR="0040352A" w:rsidRPr="008766C3" w:rsidRDefault="0040352A" w:rsidP="0040352A">
      <w:pPr>
        <w:tabs>
          <w:tab w:val="left" w:leader="underscore" w:pos="3119"/>
        </w:tabs>
        <w:spacing w:after="60"/>
        <w:ind w:left="0" w:firstLine="0"/>
        <w:rPr>
          <w:rFonts w:eastAsia="Times New Roman" w:cs="Calibri"/>
        </w:rPr>
      </w:pPr>
      <w:r>
        <w:rPr>
          <w:b/>
          <w:color w:val="000000"/>
        </w:rPr>
        <w:t>Número do ensaio:</w:t>
      </w:r>
      <w:r>
        <w:tab/>
      </w:r>
    </w:p>
    <w:p w:rsidR="0040352A" w:rsidRPr="008766C3" w:rsidRDefault="0040352A" w:rsidP="0040352A">
      <w:pPr>
        <w:numPr>
          <w:ilvl w:val="0"/>
          <w:numId w:val="16"/>
        </w:numPr>
        <w:spacing w:after="60"/>
        <w:ind w:left="284" w:hanging="284"/>
        <w:rPr>
          <w:rFonts w:eastAsia="Times New Roman" w:cs="Calibri"/>
          <w:b/>
          <w:bCs/>
          <w:color w:val="000000"/>
        </w:rPr>
      </w:pPr>
      <w:r>
        <w:rPr>
          <w:b/>
          <w:color w:val="000000"/>
        </w:rPr>
        <w:t>Requerimento</w:t>
      </w:r>
    </w:p>
    <w:p w:rsidR="0040352A" w:rsidRPr="008766C3" w:rsidRDefault="0040352A" w:rsidP="0040352A">
      <w:pPr>
        <w:tabs>
          <w:tab w:val="left" w:pos="1985"/>
          <w:tab w:val="left" w:leader="underscore" w:pos="3119"/>
        </w:tabs>
        <w:spacing w:after="60"/>
        <w:ind w:left="1985" w:hanging="1701"/>
        <w:rPr>
          <w:rFonts w:eastAsia="Times New Roman" w:cs="Calibri"/>
          <w:color w:val="000000"/>
        </w:rPr>
      </w:pPr>
      <w:r>
        <w:rPr>
          <w:color w:val="000000"/>
        </w:rPr>
        <w:t>Requerente:</w:t>
      </w:r>
      <w:r>
        <w:tab/>
      </w:r>
      <w:r>
        <w:tab/>
      </w:r>
    </w:p>
    <w:p w:rsidR="0040352A" w:rsidRPr="008766C3" w:rsidRDefault="0040352A" w:rsidP="0040352A">
      <w:pPr>
        <w:tabs>
          <w:tab w:val="left" w:pos="1985"/>
        </w:tabs>
        <w:spacing w:after="60"/>
        <w:ind w:left="1985" w:hanging="1701"/>
        <w:rPr>
          <w:rFonts w:eastAsia="Times New Roman" w:cs="Calibri"/>
          <w:color w:val="000000"/>
        </w:rPr>
      </w:pPr>
      <w:r>
        <w:rPr>
          <w:color w:val="000000"/>
        </w:rPr>
        <w:t>Objeto do requerimento:</w:t>
      </w:r>
      <w:r>
        <w:tab/>
      </w:r>
      <w:r>
        <w:rPr>
          <w:color w:val="000000"/>
        </w:rPr>
        <w:t>Ensaio da resistência ao desgaste e das propriedades técnicas de circulação de um sistema de marcação segundo as condições de ensaio das TP M (edição de fevereiro de 2017) e da norma DIN EN 13 197 (edição de julho de 2014). As classes das propriedades técnicas de circulação orientam-se pela norma DIN EN 1436 (edição de janeiro de 2009).</w:t>
      </w:r>
    </w:p>
    <w:p w:rsidR="0040352A" w:rsidRPr="008766C3" w:rsidRDefault="0040352A" w:rsidP="0040352A">
      <w:pPr>
        <w:numPr>
          <w:ilvl w:val="0"/>
          <w:numId w:val="16"/>
        </w:numPr>
        <w:spacing w:after="60"/>
        <w:ind w:left="284" w:hanging="284"/>
        <w:rPr>
          <w:rFonts w:eastAsia="Times New Roman" w:cs="Calibri"/>
          <w:b/>
          <w:bCs/>
          <w:color w:val="000000"/>
        </w:rPr>
      </w:pPr>
      <w:r>
        <w:rPr>
          <w:b/>
          <w:color w:val="000000"/>
        </w:rPr>
        <w:t>Objeto do ensaio</w:t>
      </w:r>
    </w:p>
    <w:p w:rsidR="0040352A" w:rsidRPr="008766C3" w:rsidRDefault="0040352A" w:rsidP="0040352A">
      <w:pPr>
        <w:tabs>
          <w:tab w:val="left" w:pos="4111"/>
          <w:tab w:val="left" w:leader="underscore" w:pos="5954"/>
        </w:tabs>
        <w:spacing w:after="60"/>
        <w:ind w:left="567" w:hanging="567"/>
        <w:rPr>
          <w:rFonts w:eastAsia="Times New Roman" w:cs="Calibri"/>
          <w:b/>
          <w:bCs/>
          <w:color w:val="000000"/>
        </w:rPr>
      </w:pPr>
      <w:r>
        <w:rPr>
          <w:b/>
          <w:color w:val="000000"/>
        </w:rPr>
        <w:t>2.1</w:t>
      </w:r>
      <w:r>
        <w:tab/>
      </w:r>
      <w:r>
        <w:rPr>
          <w:b/>
          <w:color w:val="000000"/>
        </w:rPr>
        <w:t>Tipo do sistema de marcação</w:t>
      </w:r>
      <w:r>
        <w:tab/>
      </w:r>
      <w:r>
        <w:tab/>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Designação do sistema:</w:t>
      </w:r>
      <w:r>
        <w:tab/>
      </w:r>
      <w:r>
        <w:tab/>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Designação da substância:</w:t>
      </w:r>
      <w:r>
        <w:tab/>
      </w:r>
      <w:r>
        <w:tab/>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Produtor da substância:</w:t>
      </w:r>
      <w:r>
        <w:tab/>
      </w:r>
      <w:r>
        <w:tab/>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Tipo da substância:</w:t>
      </w:r>
      <w:r>
        <w:tab/>
      </w:r>
      <w:r>
        <w:tab/>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Temperatura de processamento [°C]/</w:t>
      </w:r>
      <w:r>
        <w:br/>
        <w:t>Rácio de fórmula:</w:t>
      </w:r>
      <w:r>
        <w:tab/>
      </w:r>
      <w:r>
        <w:tab/>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Espessura da camada [pm]/ quantidade [kg/m</w:t>
      </w:r>
      <w:r>
        <w:rPr>
          <w:vertAlign w:val="superscript"/>
        </w:rPr>
        <w:t>2</w:t>
      </w:r>
      <w:r>
        <w:t>]:</w:t>
      </w:r>
      <w:r>
        <w:tab/>
      </w:r>
      <w:r>
        <w:tab/>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Método de aplicação:</w:t>
      </w:r>
      <w:r>
        <w:tab/>
      </w:r>
      <w:r>
        <w:tab/>
      </w:r>
    </w:p>
    <w:p w:rsidR="0040352A" w:rsidRPr="008766C3" w:rsidRDefault="0040352A" w:rsidP="0040352A">
      <w:pPr>
        <w:tabs>
          <w:tab w:val="left" w:pos="4111"/>
          <w:tab w:val="left" w:leader="underscore" w:pos="5954"/>
        </w:tabs>
        <w:spacing w:after="60"/>
        <w:ind w:left="567" w:hanging="567"/>
        <w:rPr>
          <w:rFonts w:eastAsia="Times New Roman" w:cs="Calibri"/>
          <w:b/>
          <w:bCs/>
          <w:color w:val="000000"/>
        </w:rPr>
      </w:pPr>
      <w:r>
        <w:rPr>
          <w:b/>
          <w:color w:val="000000"/>
        </w:rPr>
        <w:t>2.2</w:t>
      </w:r>
      <w:r>
        <w:tab/>
      </w:r>
      <w:r>
        <w:rPr>
          <w:b/>
          <w:color w:val="000000"/>
        </w:rPr>
        <w:t>Coformulantes projetados</w:t>
      </w:r>
    </w:p>
    <w:p w:rsidR="0040352A" w:rsidRPr="008766C3" w:rsidRDefault="0040352A" w:rsidP="0040352A">
      <w:pPr>
        <w:tabs>
          <w:tab w:val="left" w:pos="567"/>
          <w:tab w:val="left" w:pos="4536"/>
          <w:tab w:val="right" w:leader="underscore" w:pos="5954"/>
        </w:tabs>
        <w:spacing w:after="60"/>
        <w:ind w:left="567" w:hanging="283"/>
        <w:rPr>
          <w:rFonts w:cs="Calibri"/>
        </w:rPr>
      </w:pPr>
      <w:r>
        <w:t>-</w:t>
      </w:r>
      <w:r>
        <w:tab/>
        <w:t>Quantidades, produtor, designação dos corpos refletores:</w:t>
      </w:r>
      <w:r>
        <w:tab/>
      </w:r>
      <w:r>
        <w:tab/>
      </w:r>
    </w:p>
    <w:p w:rsidR="0040352A" w:rsidRPr="008766C3" w:rsidRDefault="0040352A" w:rsidP="0040352A">
      <w:pPr>
        <w:tabs>
          <w:tab w:val="left" w:pos="567"/>
          <w:tab w:val="left" w:pos="4536"/>
          <w:tab w:val="right" w:leader="underscore" w:pos="5954"/>
        </w:tabs>
        <w:spacing w:after="60"/>
        <w:ind w:left="4536" w:hanging="4252"/>
        <w:rPr>
          <w:rFonts w:cs="Calibri"/>
        </w:rPr>
      </w:pPr>
      <w:r>
        <w:t>-</w:t>
      </w:r>
      <w:r>
        <w:tab/>
        <w:t>Agregados antiderrapantes:</w:t>
      </w:r>
      <w:r>
        <w:tab/>
      </w:r>
      <w:r>
        <w:tab/>
      </w:r>
      <w:r>
        <w:tab/>
      </w:r>
      <w:r>
        <w:rPr>
          <w:b/>
        </w:rPr>
        <w:t xml:space="preserve">contidos nos corpos refletores como mistura no rácio </w:t>
      </w:r>
      <w:r>
        <w:rPr>
          <w:b/>
          <w:u w:val="single"/>
        </w:rPr>
        <w:t xml:space="preserve">       </w:t>
      </w:r>
    </w:p>
    <w:p w:rsidR="0040352A" w:rsidRPr="008766C3" w:rsidRDefault="0040352A" w:rsidP="0040352A">
      <w:pPr>
        <w:tabs>
          <w:tab w:val="left" w:pos="4111"/>
          <w:tab w:val="left" w:leader="underscore" w:pos="5954"/>
        </w:tabs>
        <w:spacing w:after="60"/>
        <w:ind w:left="567" w:hanging="567"/>
        <w:rPr>
          <w:rFonts w:eastAsia="Times New Roman" w:cs="Calibri"/>
          <w:color w:val="000000"/>
        </w:rPr>
      </w:pPr>
      <w:r>
        <w:rPr>
          <w:rFonts w:hint="eastAsia"/>
          <w:color w:val="000000"/>
        </w:rPr>
        <w:t>2.3</w:t>
      </w:r>
      <w:r>
        <w:tab/>
      </w:r>
      <w:r>
        <w:rPr>
          <w:color w:val="000000"/>
        </w:rPr>
        <w:t>A aplicação foi realizada, a pedido do requerente com indicação dos dados técnicos supramencionados (sempre que não mensuráveis), nos espaços do laboratório de ensaio acreditado, pelo próprio laboratório, ou por uma entidade por ele autorizada.</w:t>
      </w:r>
    </w:p>
    <w:p w:rsidR="0040352A" w:rsidRPr="008766C3" w:rsidRDefault="0040352A" w:rsidP="0040352A">
      <w:pPr>
        <w:numPr>
          <w:ilvl w:val="0"/>
          <w:numId w:val="16"/>
        </w:numPr>
        <w:spacing w:after="60"/>
        <w:ind w:left="284" w:hanging="284"/>
        <w:rPr>
          <w:rFonts w:eastAsia="Times New Roman" w:cs="Calibri"/>
          <w:b/>
          <w:bCs/>
          <w:color w:val="000000"/>
        </w:rPr>
      </w:pPr>
      <w:r>
        <w:rPr>
          <w:b/>
          <w:color w:val="000000"/>
        </w:rPr>
        <w:t>Resultados do ensaio:</w:t>
      </w:r>
    </w:p>
    <w:p w:rsidR="0040352A" w:rsidRPr="008766C3" w:rsidRDefault="0040352A" w:rsidP="0040352A">
      <w:pPr>
        <w:tabs>
          <w:tab w:val="left" w:pos="4111"/>
          <w:tab w:val="left" w:leader="underscore" w:pos="5954"/>
        </w:tabs>
        <w:spacing w:after="60"/>
        <w:ind w:left="567" w:hanging="567"/>
        <w:rPr>
          <w:rFonts w:cs="Calibri"/>
        </w:rPr>
      </w:pPr>
      <w:r>
        <w:rPr>
          <w:rFonts w:hint="eastAsia"/>
          <w:color w:val="000000"/>
        </w:rPr>
        <w:t>3.1</w:t>
      </w:r>
      <w:r>
        <w:tab/>
      </w:r>
      <w:r>
        <w:rPr>
          <w:color w:val="000000"/>
        </w:rPr>
        <w:t xml:space="preserve">Foram satisfeitos os requisitos da </w:t>
      </w:r>
      <w:r>
        <w:rPr>
          <w:b/>
          <w:color w:val="000000"/>
        </w:rPr>
        <w:t xml:space="preserve">classe de circulação P </w:t>
      </w:r>
      <w:r>
        <w:tab/>
      </w:r>
      <w:r>
        <w:rPr>
          <w:rFonts w:hint="eastAsia"/>
          <w:b/>
          <w:color w:val="000000"/>
        </w:rPr>
        <w:t>.</w:t>
      </w:r>
      <w:r>
        <w:rPr>
          <w:rFonts w:hint="eastAsia"/>
          <w:color w:val="000000"/>
        </w:rPr>
        <w:t xml:space="preserve"> </w:t>
      </w:r>
      <w:r>
        <w:rPr>
          <w:color w:val="000000"/>
        </w:rPr>
        <w:t>No que se refere às propriedades técnicas de circulação individuais, foram atingidas as seguintes classes em conformidade com a norma DIN EN 1436:</w:t>
      </w:r>
    </w:p>
    <w:tbl>
      <w:tblPr>
        <w:tblW w:w="0" w:type="auto"/>
        <w:tblInd w:w="250" w:type="dxa"/>
        <w:tblLook w:val="04A0" w:firstRow="1" w:lastRow="0" w:firstColumn="1" w:lastColumn="0" w:noHBand="0" w:noVBand="1"/>
      </w:tblPr>
      <w:tblGrid>
        <w:gridCol w:w="3686"/>
        <w:gridCol w:w="2126"/>
        <w:gridCol w:w="2126"/>
      </w:tblGrid>
      <w:tr w:rsidR="0040352A" w:rsidRPr="008766C3" w:rsidTr="007E2174">
        <w:tc>
          <w:tcPr>
            <w:tcW w:w="3686" w:type="dxa"/>
            <w:shd w:val="clear" w:color="auto" w:fill="auto"/>
          </w:tcPr>
          <w:p w:rsidR="0040352A" w:rsidRPr="008766C3" w:rsidRDefault="0040352A" w:rsidP="007E2174">
            <w:pPr>
              <w:spacing w:after="60"/>
              <w:ind w:left="0" w:firstLine="0"/>
              <w:rPr>
                <w:rFonts w:eastAsia="Times New Roman" w:cs="Calibri"/>
              </w:rPr>
            </w:pPr>
          </w:p>
        </w:tc>
        <w:tc>
          <w:tcPr>
            <w:tcW w:w="2126" w:type="dxa"/>
            <w:shd w:val="clear" w:color="auto" w:fill="auto"/>
          </w:tcPr>
          <w:p w:rsidR="0040352A" w:rsidRPr="008E0BFF" w:rsidRDefault="0040352A" w:rsidP="007E2174">
            <w:pPr>
              <w:spacing w:after="60"/>
              <w:ind w:left="0" w:firstLine="0"/>
              <w:jc w:val="center"/>
              <w:rPr>
                <w:rFonts w:cs="Calibri"/>
                <w:b/>
              </w:rPr>
            </w:pPr>
            <w:r>
              <w:rPr>
                <w:b/>
                <w:color w:val="000000"/>
              </w:rPr>
              <w:t>Estado «novo»</w:t>
            </w:r>
          </w:p>
        </w:tc>
        <w:tc>
          <w:tcPr>
            <w:tcW w:w="2126" w:type="dxa"/>
            <w:shd w:val="clear" w:color="auto" w:fill="auto"/>
          </w:tcPr>
          <w:p w:rsidR="0040352A" w:rsidRPr="008E0BFF" w:rsidRDefault="0040352A" w:rsidP="007E2174">
            <w:pPr>
              <w:spacing w:after="60"/>
              <w:ind w:left="0" w:firstLine="0"/>
              <w:jc w:val="center"/>
              <w:rPr>
                <w:rFonts w:eastAsia="Times New Roman" w:cs="Calibri"/>
                <w:b/>
              </w:rPr>
            </w:pPr>
            <w:r>
              <w:rPr>
                <w:b/>
                <w:color w:val="000000"/>
              </w:rPr>
              <w:t>Estado «usado»</w:t>
            </w:r>
          </w:p>
        </w:tc>
      </w:tr>
      <w:tr w:rsidR="0040352A" w:rsidRPr="008766C3" w:rsidTr="007E2174">
        <w:tc>
          <w:tcPr>
            <w:tcW w:w="3686" w:type="dxa"/>
            <w:shd w:val="clear" w:color="auto" w:fill="auto"/>
          </w:tcPr>
          <w:p w:rsidR="0040352A" w:rsidRPr="008766C3" w:rsidRDefault="0040352A" w:rsidP="007E2174">
            <w:pPr>
              <w:spacing w:after="60"/>
              <w:ind w:left="0" w:firstLine="0"/>
              <w:rPr>
                <w:rFonts w:eastAsia="Times New Roman" w:cs="Calibri"/>
              </w:rPr>
            </w:pPr>
            <w:r>
              <w:t>- Aderência:</w:t>
            </w:r>
          </w:p>
        </w:tc>
        <w:tc>
          <w:tcPr>
            <w:tcW w:w="2126" w:type="dxa"/>
            <w:shd w:val="clear" w:color="auto" w:fill="auto"/>
          </w:tcPr>
          <w:p w:rsidR="0040352A" w:rsidRPr="008E0BFF" w:rsidRDefault="0040352A" w:rsidP="007E2174">
            <w:pPr>
              <w:spacing w:after="60"/>
              <w:ind w:left="0" w:firstLine="0"/>
              <w:jc w:val="center"/>
              <w:rPr>
                <w:rFonts w:eastAsia="Times New Roman" w:cs="Calibri"/>
                <w:b/>
              </w:rPr>
            </w:pPr>
            <w:r>
              <w:rPr>
                <w:b/>
              </w:rPr>
              <w:t>≥ S 1</w:t>
            </w:r>
          </w:p>
        </w:tc>
        <w:tc>
          <w:tcPr>
            <w:tcW w:w="2126" w:type="dxa"/>
            <w:shd w:val="clear" w:color="auto" w:fill="auto"/>
          </w:tcPr>
          <w:p w:rsidR="0040352A" w:rsidRPr="008E0BFF" w:rsidRDefault="0040352A" w:rsidP="007E2174">
            <w:pPr>
              <w:spacing w:after="60"/>
              <w:ind w:left="0" w:firstLine="0"/>
              <w:jc w:val="center"/>
              <w:rPr>
                <w:rFonts w:cs="Calibri"/>
                <w:b/>
              </w:rPr>
            </w:pPr>
            <w:r>
              <w:rPr>
                <w:b/>
              </w:rPr>
              <w:t>S</w:t>
            </w:r>
          </w:p>
        </w:tc>
      </w:tr>
      <w:tr w:rsidR="0040352A" w:rsidRPr="008766C3" w:rsidTr="007E2174">
        <w:tc>
          <w:tcPr>
            <w:tcW w:w="3686" w:type="dxa"/>
            <w:shd w:val="clear" w:color="auto" w:fill="auto"/>
          </w:tcPr>
          <w:p w:rsidR="0040352A" w:rsidRPr="008766C3" w:rsidRDefault="0040352A" w:rsidP="007E2174">
            <w:pPr>
              <w:spacing w:after="60"/>
              <w:ind w:left="0" w:firstLine="0"/>
              <w:rPr>
                <w:rFonts w:eastAsia="Times New Roman" w:cs="Calibri"/>
              </w:rPr>
            </w:pPr>
            <w:r>
              <w:t>- Visibilidade noturna, estado seco:</w:t>
            </w:r>
          </w:p>
        </w:tc>
        <w:tc>
          <w:tcPr>
            <w:tcW w:w="2126" w:type="dxa"/>
            <w:shd w:val="clear" w:color="auto" w:fill="auto"/>
          </w:tcPr>
          <w:p w:rsidR="0040352A" w:rsidRPr="008E0BFF" w:rsidRDefault="0040352A" w:rsidP="007E2174">
            <w:pPr>
              <w:spacing w:after="60"/>
              <w:ind w:left="0" w:firstLine="0"/>
              <w:jc w:val="center"/>
              <w:rPr>
                <w:rFonts w:cs="Calibri"/>
                <w:b/>
              </w:rPr>
            </w:pPr>
            <w:r>
              <w:rPr>
                <w:b/>
              </w:rPr>
              <w:t>R</w:t>
            </w:r>
          </w:p>
        </w:tc>
        <w:tc>
          <w:tcPr>
            <w:tcW w:w="2126" w:type="dxa"/>
            <w:shd w:val="clear" w:color="auto" w:fill="auto"/>
          </w:tcPr>
          <w:p w:rsidR="0040352A" w:rsidRPr="008E0BFF" w:rsidRDefault="0040352A" w:rsidP="007E2174">
            <w:pPr>
              <w:spacing w:after="60"/>
              <w:ind w:left="0" w:firstLine="0"/>
              <w:jc w:val="center"/>
              <w:rPr>
                <w:rFonts w:cs="Calibri"/>
                <w:b/>
              </w:rPr>
            </w:pPr>
            <w:r>
              <w:rPr>
                <w:b/>
              </w:rPr>
              <w:t>R</w:t>
            </w:r>
          </w:p>
        </w:tc>
      </w:tr>
      <w:tr w:rsidR="0040352A" w:rsidRPr="008766C3" w:rsidTr="007E2174">
        <w:tc>
          <w:tcPr>
            <w:tcW w:w="3686" w:type="dxa"/>
            <w:shd w:val="clear" w:color="auto" w:fill="auto"/>
          </w:tcPr>
          <w:p w:rsidR="0040352A" w:rsidRPr="008766C3" w:rsidRDefault="0040352A" w:rsidP="007E2174">
            <w:pPr>
              <w:spacing w:after="60"/>
              <w:ind w:left="0" w:firstLine="0"/>
              <w:rPr>
                <w:rFonts w:cs="Calibri"/>
              </w:rPr>
            </w:pPr>
            <w:r>
              <w:t>- Visibilidade noturna, estado molhado:</w:t>
            </w:r>
          </w:p>
        </w:tc>
        <w:tc>
          <w:tcPr>
            <w:tcW w:w="2126" w:type="dxa"/>
            <w:shd w:val="clear" w:color="auto" w:fill="auto"/>
          </w:tcPr>
          <w:p w:rsidR="0040352A" w:rsidRPr="008E0BFF" w:rsidRDefault="0040352A" w:rsidP="007E2174">
            <w:pPr>
              <w:spacing w:after="60"/>
              <w:ind w:left="0" w:firstLine="0"/>
              <w:jc w:val="center"/>
              <w:rPr>
                <w:rFonts w:cs="Calibri"/>
                <w:b/>
              </w:rPr>
            </w:pPr>
            <w:r>
              <w:rPr>
                <w:b/>
              </w:rPr>
              <w:t>RW</w:t>
            </w:r>
          </w:p>
        </w:tc>
        <w:tc>
          <w:tcPr>
            <w:tcW w:w="2126" w:type="dxa"/>
            <w:shd w:val="clear" w:color="auto" w:fill="auto"/>
          </w:tcPr>
          <w:p w:rsidR="0040352A" w:rsidRPr="008E0BFF" w:rsidRDefault="0040352A" w:rsidP="007E2174">
            <w:pPr>
              <w:spacing w:after="60"/>
              <w:ind w:left="0" w:firstLine="0"/>
              <w:jc w:val="center"/>
              <w:rPr>
                <w:rFonts w:cs="Calibri"/>
                <w:b/>
              </w:rPr>
            </w:pPr>
            <w:r>
              <w:rPr>
                <w:b/>
              </w:rPr>
              <w:t>RW</w:t>
            </w:r>
          </w:p>
        </w:tc>
      </w:tr>
      <w:tr w:rsidR="0040352A" w:rsidRPr="008766C3" w:rsidTr="007E2174">
        <w:tc>
          <w:tcPr>
            <w:tcW w:w="3686" w:type="dxa"/>
            <w:shd w:val="clear" w:color="auto" w:fill="auto"/>
          </w:tcPr>
          <w:p w:rsidR="0040352A" w:rsidRPr="008766C3" w:rsidRDefault="0040352A" w:rsidP="007E2174">
            <w:pPr>
              <w:spacing w:after="60"/>
              <w:ind w:left="0" w:firstLine="0"/>
              <w:rPr>
                <w:rFonts w:eastAsia="Times New Roman" w:cs="Calibri"/>
              </w:rPr>
            </w:pPr>
            <w:r>
              <w:t>- Visibilidade diurna:</w:t>
            </w:r>
          </w:p>
        </w:tc>
        <w:tc>
          <w:tcPr>
            <w:tcW w:w="2126" w:type="dxa"/>
            <w:shd w:val="clear" w:color="auto" w:fill="auto"/>
          </w:tcPr>
          <w:p w:rsidR="0040352A" w:rsidRPr="008E0BFF" w:rsidRDefault="0040352A" w:rsidP="007E2174">
            <w:pPr>
              <w:spacing w:after="60"/>
              <w:ind w:left="0" w:firstLine="0"/>
              <w:jc w:val="center"/>
              <w:rPr>
                <w:rFonts w:cs="Calibri"/>
                <w:b/>
              </w:rPr>
            </w:pPr>
            <w:r>
              <w:rPr>
                <w:b/>
              </w:rPr>
              <w:t>Q</w:t>
            </w:r>
          </w:p>
        </w:tc>
        <w:tc>
          <w:tcPr>
            <w:tcW w:w="2126" w:type="dxa"/>
            <w:shd w:val="clear" w:color="auto" w:fill="auto"/>
          </w:tcPr>
          <w:p w:rsidR="0040352A" w:rsidRPr="008E0BFF" w:rsidRDefault="0040352A" w:rsidP="007E2174">
            <w:pPr>
              <w:spacing w:after="60"/>
              <w:ind w:left="0" w:firstLine="0"/>
              <w:jc w:val="center"/>
              <w:rPr>
                <w:rFonts w:cs="Calibri"/>
                <w:b/>
              </w:rPr>
            </w:pPr>
            <w:r>
              <w:rPr>
                <w:b/>
              </w:rPr>
              <w:t>Q</w:t>
            </w:r>
          </w:p>
        </w:tc>
      </w:tr>
      <w:tr w:rsidR="0040352A" w:rsidRPr="008766C3" w:rsidTr="007E2174">
        <w:tc>
          <w:tcPr>
            <w:tcW w:w="3686" w:type="dxa"/>
            <w:shd w:val="clear" w:color="auto" w:fill="auto"/>
          </w:tcPr>
          <w:p w:rsidR="0040352A" w:rsidRPr="008766C3" w:rsidRDefault="0040352A" w:rsidP="007E2174">
            <w:pPr>
              <w:spacing w:after="60"/>
              <w:ind w:left="0" w:firstLine="0"/>
              <w:rPr>
                <w:rFonts w:eastAsia="Times New Roman" w:cs="Calibri"/>
              </w:rPr>
            </w:pPr>
            <w:r>
              <w:t>- Capacidade de suporte da rolagem:</w:t>
            </w:r>
          </w:p>
        </w:tc>
        <w:tc>
          <w:tcPr>
            <w:tcW w:w="2126" w:type="dxa"/>
            <w:shd w:val="clear" w:color="auto" w:fill="auto"/>
          </w:tcPr>
          <w:p w:rsidR="0040352A" w:rsidRPr="008E0BFF" w:rsidRDefault="0040352A" w:rsidP="007E2174">
            <w:pPr>
              <w:spacing w:after="60"/>
              <w:ind w:left="0" w:firstLine="0"/>
              <w:jc w:val="center"/>
              <w:rPr>
                <w:rFonts w:cs="Calibri"/>
                <w:b/>
              </w:rPr>
            </w:pPr>
            <w:r>
              <w:rPr>
                <w:b/>
              </w:rPr>
              <w:t>T</w:t>
            </w:r>
          </w:p>
        </w:tc>
        <w:tc>
          <w:tcPr>
            <w:tcW w:w="2126" w:type="dxa"/>
            <w:shd w:val="clear" w:color="auto" w:fill="auto"/>
          </w:tcPr>
          <w:p w:rsidR="0040352A" w:rsidRPr="008E0BFF" w:rsidRDefault="0040352A" w:rsidP="007E2174">
            <w:pPr>
              <w:spacing w:after="60"/>
              <w:ind w:left="0" w:firstLine="0"/>
              <w:jc w:val="center"/>
              <w:rPr>
                <w:rFonts w:eastAsia="Times New Roman" w:cs="Calibri"/>
                <w:b/>
              </w:rPr>
            </w:pPr>
          </w:p>
        </w:tc>
      </w:tr>
    </w:tbl>
    <w:p w:rsidR="0040352A" w:rsidRPr="008766C3" w:rsidRDefault="0040352A" w:rsidP="0040352A">
      <w:pPr>
        <w:tabs>
          <w:tab w:val="left" w:pos="4111"/>
          <w:tab w:val="left" w:leader="underscore" w:pos="5954"/>
        </w:tabs>
        <w:spacing w:after="60"/>
        <w:ind w:left="567" w:hanging="567"/>
        <w:rPr>
          <w:rFonts w:eastAsia="Times New Roman" w:cs="Calibri"/>
          <w:color w:val="000000"/>
        </w:rPr>
      </w:pPr>
      <w:r>
        <w:rPr>
          <w:rFonts w:hint="eastAsia"/>
          <w:color w:val="000000"/>
        </w:rPr>
        <w:lastRenderedPageBreak/>
        <w:t>3.2</w:t>
      </w:r>
      <w:r>
        <w:tab/>
      </w:r>
      <w:r>
        <w:rPr>
          <w:color w:val="000000"/>
        </w:rPr>
        <w:t>Foram cumpridos os requisitos mínimos aplicáveis à resistência ao desgaste de 90 % da superfície restante. Os resultados do ensaio físico-químico de protótipo foram recebidos pelo laboratório de ensaio acreditado.</w:t>
      </w:r>
    </w:p>
    <w:p w:rsidR="0040352A" w:rsidRPr="008766C3" w:rsidRDefault="0040352A" w:rsidP="0040352A">
      <w:pPr>
        <w:spacing w:after="60"/>
        <w:ind w:left="0" w:firstLine="0"/>
        <w:jc w:val="both"/>
        <w:rPr>
          <w:rFonts w:eastAsia="Times New Roman" w:cs="Calibri"/>
        </w:rPr>
      </w:pPr>
      <w:r>
        <w:rPr>
          <w:color w:val="000000"/>
        </w:rPr>
        <w:t>O presente certificado de ensaio só pode ser encaminhado ou publicado na íntegra. A transmissão ou publicação de excertos exige a concordância por escrito do laboratório de ensaio acreditado.</w:t>
      </w:r>
    </w:p>
    <w:p w:rsidR="0040352A" w:rsidRPr="008766C3" w:rsidRDefault="0040352A" w:rsidP="0040352A">
      <w:pPr>
        <w:tabs>
          <w:tab w:val="left" w:leader="underscore" w:pos="3119"/>
        </w:tabs>
        <w:spacing w:after="60"/>
        <w:ind w:left="0" w:firstLine="0"/>
        <w:rPr>
          <w:rFonts w:eastAsia="Times New Roman" w:cs="Calibri"/>
        </w:rPr>
      </w:pPr>
      <w:r>
        <w:rPr>
          <w:color w:val="000000"/>
        </w:rPr>
        <w:t>Bergisch Gladbach,</w:t>
      </w:r>
      <w:r>
        <w:tab/>
      </w:r>
    </w:p>
    <w:p w:rsidR="0040352A" w:rsidRPr="008766C3" w:rsidRDefault="0040352A" w:rsidP="0040352A">
      <w:pPr>
        <w:spacing w:after="60"/>
        <w:ind w:left="0" w:firstLine="0"/>
        <w:rPr>
          <w:rFonts w:cs="Calibri"/>
          <w:color w:val="000000"/>
        </w:rPr>
      </w:pPr>
    </w:p>
    <w:p w:rsidR="0040352A" w:rsidRPr="008766C3" w:rsidRDefault="0040352A" w:rsidP="0040352A">
      <w:pPr>
        <w:spacing w:after="60"/>
        <w:ind w:left="0" w:firstLine="0"/>
        <w:rPr>
          <w:rFonts w:cs="Calibri"/>
          <w:color w:val="000000"/>
        </w:rPr>
      </w:pPr>
    </w:p>
    <w:p w:rsidR="0040352A" w:rsidRPr="008766C3" w:rsidRDefault="0040352A" w:rsidP="0040352A">
      <w:pPr>
        <w:tabs>
          <w:tab w:val="left" w:leader="underscore" w:pos="2410"/>
        </w:tabs>
        <w:spacing w:after="60"/>
        <w:ind w:left="0" w:firstLine="0"/>
        <w:rPr>
          <w:rFonts w:cs="Calibri"/>
          <w:color w:val="000000"/>
        </w:rPr>
      </w:pPr>
      <w:r>
        <w:tab/>
      </w:r>
    </w:p>
    <w:p w:rsidR="0040352A" w:rsidRPr="008766C3" w:rsidRDefault="0040352A" w:rsidP="0040352A">
      <w:pPr>
        <w:spacing w:after="60"/>
        <w:ind w:left="0" w:firstLine="0"/>
        <w:rPr>
          <w:rFonts w:eastAsia="Times New Roman" w:cs="Calibri"/>
        </w:rPr>
      </w:pPr>
      <w:r>
        <w:rPr>
          <w:color w:val="000000"/>
        </w:rPr>
        <w:t>Nome, função</w:t>
      </w:r>
    </w:p>
    <w:p w:rsidR="0040352A" w:rsidRPr="008766C3" w:rsidRDefault="0040352A" w:rsidP="0040352A"/>
    <w:p w:rsidR="0040352A" w:rsidRPr="008766C3" w:rsidRDefault="0040352A" w:rsidP="0040352A">
      <w:pPr>
        <w:ind w:left="0" w:firstLine="0"/>
      </w:pPr>
    </w:p>
    <w:p w:rsidR="0040352A" w:rsidRPr="008766C3" w:rsidRDefault="0040352A" w:rsidP="0040352A">
      <w:r>
        <w:t>Declaração do ensaio</w:t>
      </w:r>
    </w:p>
    <w:p w:rsidR="0040352A" w:rsidRPr="008766C3" w:rsidRDefault="0040352A" w:rsidP="0040352A">
      <w:pPr>
        <w:rPr>
          <w:rFonts w:cs="Calibri"/>
        </w:rPr>
      </w:pPr>
    </w:p>
    <w:p w:rsidR="0040352A" w:rsidRPr="008766C3" w:rsidRDefault="0040352A" w:rsidP="0040352A">
      <w:pPr>
        <w:rPr>
          <w:rFonts w:cs="Calibri"/>
        </w:rPr>
      </w:pPr>
    </w:p>
    <w:p w:rsidR="0040352A" w:rsidRPr="008766C3" w:rsidRDefault="0040352A" w:rsidP="0040352A">
      <w:pPr>
        <w:rPr>
          <w:rFonts w:cs="Calibri"/>
        </w:rPr>
      </w:pPr>
    </w:p>
    <w:tbl>
      <w:tblPr>
        <w:tblW w:w="0" w:type="auto"/>
        <w:tblInd w:w="108" w:type="dxa"/>
        <w:tblLook w:val="04A0" w:firstRow="1" w:lastRow="0" w:firstColumn="1" w:lastColumn="0" w:noHBand="0" w:noVBand="1"/>
      </w:tblPr>
      <w:tblGrid>
        <w:gridCol w:w="2268"/>
        <w:gridCol w:w="3828"/>
      </w:tblGrid>
      <w:tr w:rsidR="0040352A" w:rsidRPr="008766C3" w:rsidTr="007E2174">
        <w:tc>
          <w:tcPr>
            <w:tcW w:w="2268" w:type="dxa"/>
            <w:shd w:val="clear" w:color="auto" w:fill="auto"/>
          </w:tcPr>
          <w:p w:rsidR="0040352A" w:rsidRPr="008766C3" w:rsidRDefault="0040352A" w:rsidP="007E2174">
            <w:pPr>
              <w:ind w:left="-108" w:firstLine="0"/>
              <w:rPr>
                <w:rFonts w:cs="Calibri"/>
              </w:rPr>
            </w:pPr>
            <w:r>
              <w:t>Requerente</w:t>
            </w:r>
          </w:p>
        </w:tc>
        <w:tc>
          <w:tcPr>
            <w:tcW w:w="3828" w:type="dxa"/>
            <w:shd w:val="clear" w:color="auto" w:fill="auto"/>
          </w:tcPr>
          <w:p w:rsidR="0040352A" w:rsidRPr="008766C3" w:rsidRDefault="0040352A" w:rsidP="007E2174">
            <w:pPr>
              <w:ind w:left="0" w:firstLine="0"/>
              <w:jc w:val="right"/>
              <w:rPr>
                <w:rFonts w:eastAsia="Times New Roman" w:cs="Calibri"/>
                <w:color w:val="000000"/>
              </w:rPr>
            </w:pPr>
            <w:r>
              <w:rPr>
                <w:color w:val="000000"/>
              </w:rPr>
              <w:t>Vossa referência</w:t>
            </w:r>
          </w:p>
          <w:p w:rsidR="0040352A" w:rsidRPr="008766C3" w:rsidRDefault="0040352A" w:rsidP="007E2174">
            <w:pPr>
              <w:ind w:left="0" w:firstLine="0"/>
              <w:jc w:val="right"/>
              <w:rPr>
                <w:rFonts w:eastAsia="Times New Roman" w:cs="Calibri"/>
                <w:color w:val="000000"/>
              </w:rPr>
            </w:pPr>
            <w:r>
              <w:rPr>
                <w:color w:val="000000"/>
              </w:rPr>
              <w:t>Vossa missiva de</w:t>
            </w:r>
            <w:r>
              <w:rPr>
                <w:rFonts w:eastAsia="Times New Roman" w:cs="Calibri"/>
                <w:color w:val="000000"/>
              </w:rPr>
              <w:br/>
            </w:r>
            <w:r>
              <w:rPr>
                <w:color w:val="000000"/>
              </w:rPr>
              <w:t>Nossa referência</w:t>
            </w:r>
            <w:r>
              <w:rPr>
                <w:rFonts w:eastAsia="Times New Roman" w:cs="Calibri"/>
                <w:color w:val="000000"/>
              </w:rPr>
              <w:br/>
            </w:r>
            <w:r>
              <w:rPr>
                <w:color w:val="000000"/>
              </w:rPr>
              <w:t>Informação prestada</w:t>
            </w:r>
            <w:r>
              <w:rPr>
                <w:rFonts w:eastAsia="Times New Roman" w:cs="Calibri"/>
                <w:color w:val="000000"/>
              </w:rPr>
              <w:br/>
            </w:r>
            <w:r>
              <w:rPr>
                <w:color w:val="000000"/>
              </w:rPr>
              <w:t>Telefone</w:t>
            </w:r>
            <w:r>
              <w:rPr>
                <w:rFonts w:eastAsia="Times New Roman" w:cs="Calibri"/>
                <w:color w:val="000000"/>
              </w:rPr>
              <w:br/>
            </w:r>
            <w:r>
              <w:rPr>
                <w:color w:val="000000"/>
              </w:rPr>
              <w:t>Fax</w:t>
            </w:r>
            <w:r>
              <w:rPr>
                <w:rFonts w:eastAsia="Times New Roman" w:cs="Calibri"/>
                <w:color w:val="000000"/>
              </w:rPr>
              <w:br/>
            </w:r>
            <w:r>
              <w:rPr>
                <w:color w:val="000000"/>
              </w:rPr>
              <w:t>Endereço de correio eletrónico</w:t>
            </w:r>
          </w:p>
          <w:p w:rsidR="0040352A" w:rsidRPr="008766C3" w:rsidRDefault="0040352A" w:rsidP="007E2174">
            <w:pPr>
              <w:ind w:left="0" w:firstLine="0"/>
              <w:jc w:val="right"/>
              <w:rPr>
                <w:rFonts w:eastAsia="Times New Roman" w:cs="Calibri"/>
                <w:color w:val="000000"/>
              </w:rPr>
            </w:pPr>
          </w:p>
          <w:p w:rsidR="0040352A" w:rsidRPr="008766C3" w:rsidRDefault="0040352A" w:rsidP="007E2174">
            <w:pPr>
              <w:ind w:left="0" w:firstLine="0"/>
              <w:jc w:val="right"/>
              <w:rPr>
                <w:rFonts w:eastAsia="Times New Roman" w:cs="Calibri"/>
                <w:color w:val="000000"/>
              </w:rPr>
            </w:pPr>
            <w:r>
              <w:rPr>
                <w:color w:val="000000"/>
              </w:rPr>
              <w:t>Data</w:t>
            </w:r>
          </w:p>
        </w:tc>
      </w:tr>
    </w:tbl>
    <w:p w:rsidR="0040352A" w:rsidRPr="008766C3" w:rsidRDefault="0040352A" w:rsidP="0040352A">
      <w:pPr>
        <w:rPr>
          <w:rFonts w:cs="Calibri"/>
        </w:rPr>
      </w:pPr>
    </w:p>
    <w:p w:rsidR="0040352A" w:rsidRDefault="0040352A" w:rsidP="0040352A">
      <w:pPr>
        <w:ind w:left="0" w:firstLine="0"/>
        <w:rPr>
          <w:rFonts w:cs="Calibri"/>
          <w:b/>
          <w:bCs/>
          <w:color w:val="000000"/>
          <w:u w:val="single"/>
        </w:rPr>
      </w:pPr>
      <w:r>
        <w:rPr>
          <w:b/>
          <w:color w:val="000000"/>
        </w:rPr>
        <w:t>Declaração sobre o ensaio de um sistema de marcação na mesa giratória com o número de ensaio:</w:t>
      </w:r>
      <w:r>
        <w:tab/>
      </w:r>
    </w:p>
    <w:p w:rsidR="0040352A" w:rsidRPr="008E0BFF" w:rsidRDefault="0040352A" w:rsidP="0040352A">
      <w:pPr>
        <w:ind w:left="0" w:firstLine="0"/>
        <w:rPr>
          <w:rFonts w:cs="Calibri"/>
        </w:rPr>
      </w:pPr>
    </w:p>
    <w:p w:rsidR="0040352A" w:rsidRPr="008766C3" w:rsidRDefault="0040352A" w:rsidP="0040352A">
      <w:pPr>
        <w:ind w:left="0" w:firstLine="0"/>
        <w:rPr>
          <w:rFonts w:eastAsia="Times New Roman" w:cs="Calibri"/>
        </w:rPr>
      </w:pPr>
      <w:r>
        <w:rPr>
          <w:color w:val="000000"/>
        </w:rPr>
        <w:t>O sistema de marcação do tipo</w:t>
      </w:r>
      <w:r>
        <w:tab/>
      </w:r>
      <w:r>
        <w:rPr>
          <w:rFonts w:hint="eastAsia"/>
          <w:color w:val="000000"/>
        </w:rPr>
        <w:t>-</w:t>
      </w:r>
      <w:r>
        <w:rPr>
          <w:color w:val="000000"/>
        </w:rPr>
        <w:t xml:space="preserve">de </w:t>
      </w:r>
      <w:r>
        <w:tab/>
      </w:r>
      <w:r>
        <w:rPr>
          <w:rFonts w:hint="eastAsia"/>
          <w:color w:val="000000"/>
        </w:rPr>
        <w:t xml:space="preserve"> </w:t>
      </w:r>
      <w:r>
        <w:rPr>
          <w:color w:val="000000"/>
        </w:rPr>
        <w:t xml:space="preserve">, com o número de ensaio indicado supra, foi submetido a ensaio na mesa giratória nos termos da norma DIN EN 13197 (edição de julho de 2014) até à classe de circulação P </w:t>
      </w:r>
      <w:r>
        <w:tab/>
      </w:r>
      <w:r>
        <w:rPr>
          <w:rFonts w:hint="eastAsia"/>
          <w:color w:val="000000"/>
        </w:rPr>
        <w:t xml:space="preserve"> </w:t>
      </w:r>
      <w:r>
        <w:rPr>
          <w:color w:val="000000"/>
        </w:rPr>
        <w:t xml:space="preserve">( </w:t>
      </w:r>
      <w:r>
        <w:tab/>
      </w:r>
      <w:r>
        <w:rPr>
          <w:rFonts w:hint="eastAsia"/>
          <w:color w:val="000000"/>
        </w:rPr>
        <w:t xml:space="preserve"> </w:t>
      </w:r>
      <w:r>
        <w:rPr>
          <w:color w:val="000000"/>
        </w:rPr>
        <w:t>rolagens) e cumpriu, para este fim, todos os requisitos mínimos da norma DIN EN 1436</w:t>
      </w:r>
    </w:p>
    <w:p w:rsidR="0040352A" w:rsidRPr="008766C3" w:rsidRDefault="0040352A" w:rsidP="0040352A">
      <w:pPr>
        <w:ind w:left="0" w:firstLine="0"/>
        <w:rPr>
          <w:rFonts w:eastAsia="Times New Roman" w:cs="Calibri"/>
        </w:rPr>
      </w:pPr>
      <w:r>
        <w:rPr>
          <w:color w:val="000000"/>
        </w:rPr>
        <w:t>(edição de janeiro de 2009) no que se refere às propriedades técnicas de circulação.</w:t>
      </w:r>
    </w:p>
    <w:p w:rsidR="0040352A" w:rsidRPr="008766C3" w:rsidRDefault="0040352A" w:rsidP="0040352A">
      <w:pPr>
        <w:tabs>
          <w:tab w:val="left" w:pos="567"/>
          <w:tab w:val="left" w:pos="4536"/>
          <w:tab w:val="right" w:leader="underscore" w:pos="5954"/>
        </w:tabs>
        <w:spacing w:after="60"/>
        <w:ind w:left="4536" w:hanging="4252"/>
        <w:rPr>
          <w:rFonts w:cs="Calibri"/>
        </w:rPr>
      </w:pPr>
      <w:r>
        <w:t>-</w:t>
      </w:r>
      <w:r>
        <w:tab/>
        <w:t>Designação do sistema:</w:t>
      </w:r>
      <w:r>
        <w:tab/>
      </w:r>
      <w:r>
        <w:tab/>
      </w:r>
    </w:p>
    <w:p w:rsidR="0040352A" w:rsidRPr="008766C3" w:rsidRDefault="0040352A" w:rsidP="0040352A">
      <w:pPr>
        <w:tabs>
          <w:tab w:val="left" w:pos="567"/>
          <w:tab w:val="left" w:pos="4536"/>
          <w:tab w:val="right" w:leader="underscore" w:pos="5954"/>
        </w:tabs>
        <w:spacing w:after="60"/>
        <w:ind w:left="4536" w:hanging="4252"/>
        <w:rPr>
          <w:rFonts w:cs="Calibri"/>
        </w:rPr>
      </w:pPr>
      <w:r>
        <w:t>-</w:t>
      </w:r>
      <w:r>
        <w:tab/>
        <w:t>Substância:</w:t>
      </w:r>
      <w:r>
        <w:tab/>
      </w:r>
      <w:r>
        <w:tab/>
      </w:r>
    </w:p>
    <w:p w:rsidR="0040352A" w:rsidRPr="008766C3" w:rsidRDefault="0040352A" w:rsidP="0040352A">
      <w:pPr>
        <w:tabs>
          <w:tab w:val="left" w:pos="567"/>
          <w:tab w:val="left" w:pos="4536"/>
          <w:tab w:val="right" w:leader="underscore" w:pos="5954"/>
        </w:tabs>
        <w:spacing w:after="60"/>
        <w:ind w:left="4536" w:hanging="4252"/>
        <w:rPr>
          <w:rFonts w:cs="Calibri"/>
        </w:rPr>
      </w:pPr>
      <w:r>
        <w:t>-</w:t>
      </w:r>
      <w:r>
        <w:tab/>
        <w:t>Espessura do filme húmido:</w:t>
      </w:r>
      <w:r>
        <w:tab/>
      </w:r>
      <w:r>
        <w:tab/>
      </w:r>
    </w:p>
    <w:p w:rsidR="0040352A" w:rsidRPr="008766C3" w:rsidRDefault="0040352A" w:rsidP="0040352A">
      <w:pPr>
        <w:tabs>
          <w:tab w:val="left" w:pos="567"/>
          <w:tab w:val="left" w:pos="4536"/>
          <w:tab w:val="right" w:leader="underscore" w:pos="5954"/>
        </w:tabs>
        <w:spacing w:after="60"/>
        <w:ind w:left="4536" w:hanging="4252"/>
        <w:rPr>
          <w:rFonts w:eastAsia="Times New Roman" w:cs="Calibri"/>
        </w:rPr>
      </w:pPr>
      <w:r>
        <w:t>-</w:t>
      </w:r>
      <w:r>
        <w:tab/>
        <w:t>Materiais de projeção (quantidade/produtor/designação):</w:t>
      </w:r>
      <w:r>
        <w:tab/>
      </w:r>
      <w:r>
        <w:tab/>
      </w:r>
      <w:r>
        <w:rPr>
          <w:b/>
          <w:color w:val="000000"/>
        </w:rPr>
        <w:t>g/m</w:t>
      </w:r>
      <w:r>
        <w:rPr>
          <w:b/>
          <w:color w:val="000000"/>
          <w:vertAlign w:val="superscript"/>
        </w:rPr>
        <w:t>2</w:t>
      </w:r>
      <w:r>
        <w:rPr>
          <w:b/>
          <w:color w:val="000000"/>
        </w:rPr>
        <w:t>,</w:t>
      </w:r>
      <w:r>
        <w:tab/>
      </w:r>
      <w:r>
        <w:rPr>
          <w:rFonts w:cs="Calibri" w:hint="eastAsia"/>
          <w:b/>
          <w:bCs/>
          <w:color w:val="000000"/>
        </w:rPr>
        <w:br/>
      </w:r>
      <w:r>
        <w:tab/>
      </w:r>
      <w:r>
        <w:tab/>
      </w:r>
      <w:r>
        <w:rPr>
          <w:b/>
          <w:color w:val="000000"/>
        </w:rPr>
        <w:t xml:space="preserve">contidos nos corpos refletores como mistura no rácio </w:t>
      </w:r>
      <w:r>
        <w:rPr>
          <w:b/>
          <w:u w:val="single"/>
        </w:rPr>
        <w:t xml:space="preserve">        </w:t>
      </w:r>
    </w:p>
    <w:p w:rsidR="0040352A" w:rsidRPr="008766C3" w:rsidRDefault="0040352A" w:rsidP="0040352A">
      <w:pPr>
        <w:tabs>
          <w:tab w:val="left" w:pos="567"/>
          <w:tab w:val="left" w:pos="4536"/>
          <w:tab w:val="right" w:leader="underscore" w:pos="5954"/>
        </w:tabs>
        <w:spacing w:after="60"/>
        <w:ind w:left="4536" w:hanging="4252"/>
        <w:rPr>
          <w:rFonts w:cs="Calibri"/>
        </w:rPr>
      </w:pPr>
      <w:r>
        <w:t>-</w:t>
      </w:r>
      <w:r>
        <w:tab/>
        <w:t>Método de aplicação:</w:t>
      </w:r>
      <w:r>
        <w:tab/>
      </w:r>
      <w:r>
        <w:tab/>
      </w:r>
    </w:p>
    <w:p w:rsidR="0040352A" w:rsidRPr="008766C3" w:rsidRDefault="0040352A" w:rsidP="0040352A">
      <w:pPr>
        <w:tabs>
          <w:tab w:val="left" w:pos="567"/>
          <w:tab w:val="left" w:pos="4536"/>
          <w:tab w:val="right" w:leader="underscore" w:pos="5954"/>
        </w:tabs>
        <w:spacing w:after="60"/>
        <w:ind w:left="4536" w:hanging="4252"/>
        <w:rPr>
          <w:rFonts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126"/>
        <w:gridCol w:w="579"/>
        <w:gridCol w:w="579"/>
        <w:gridCol w:w="579"/>
        <w:gridCol w:w="579"/>
        <w:gridCol w:w="289"/>
        <w:gridCol w:w="290"/>
        <w:gridCol w:w="579"/>
        <w:gridCol w:w="579"/>
        <w:gridCol w:w="579"/>
        <w:gridCol w:w="579"/>
      </w:tblGrid>
      <w:tr w:rsidR="0040352A" w:rsidRPr="008766C3" w:rsidTr="007E2174">
        <w:tc>
          <w:tcPr>
            <w:tcW w:w="4077" w:type="dxa"/>
            <w:gridSpan w:val="2"/>
            <w:vMerge w:val="restart"/>
            <w:shd w:val="pct30"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b/>
                <w:bCs/>
                <w:color w:val="000000"/>
                <w:sz w:val="20"/>
                <w:szCs w:val="20"/>
              </w:rPr>
            </w:pPr>
            <w:r>
              <w:rPr>
                <w:b/>
                <w:color w:val="000000"/>
                <w:sz w:val="20"/>
              </w:rPr>
              <w:t>Propriedades</w:t>
            </w:r>
          </w:p>
        </w:tc>
        <w:tc>
          <w:tcPr>
            <w:tcW w:w="5211" w:type="dxa"/>
            <w:gridSpan w:val="10"/>
            <w:tcBorders>
              <w:bottom w:val="nil"/>
            </w:tcBorders>
            <w:shd w:val="pct12" w:color="auto" w:fill="auto"/>
            <w:vAlign w:val="center"/>
          </w:tcPr>
          <w:p w:rsidR="0040352A" w:rsidRPr="008766C3" w:rsidRDefault="0040352A" w:rsidP="007E2174">
            <w:pPr>
              <w:ind w:left="0" w:firstLine="0"/>
              <w:jc w:val="center"/>
              <w:rPr>
                <w:rFonts w:cs="Calibri"/>
                <w:b/>
                <w:bCs/>
                <w:color w:val="000000"/>
                <w:sz w:val="20"/>
                <w:szCs w:val="20"/>
              </w:rPr>
            </w:pPr>
            <w:r>
              <w:rPr>
                <w:b/>
                <w:color w:val="000000"/>
                <w:sz w:val="20"/>
              </w:rPr>
              <w:t>Número de rolagens das rodas [milhões]</w:t>
            </w:r>
          </w:p>
        </w:tc>
      </w:tr>
      <w:tr w:rsidR="0040352A" w:rsidRPr="008766C3" w:rsidTr="007E2174">
        <w:tc>
          <w:tcPr>
            <w:tcW w:w="4077" w:type="dxa"/>
            <w:gridSpan w:val="2"/>
            <w:vMerge/>
            <w:tcBorders>
              <w:bottom w:val="single" w:sz="4" w:space="0" w:color="000000"/>
            </w:tcBorders>
            <w:shd w:val="pct30"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0</w:t>
            </w: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0,01</w:t>
            </w: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0,1</w:t>
            </w: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0,2</w:t>
            </w:r>
          </w:p>
        </w:tc>
        <w:tc>
          <w:tcPr>
            <w:tcW w:w="579" w:type="dxa"/>
            <w:gridSpan w:val="2"/>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0,5</w:t>
            </w: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1,0</w:t>
            </w: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2,0</w:t>
            </w: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3,0</w:t>
            </w:r>
          </w:p>
        </w:tc>
        <w:tc>
          <w:tcPr>
            <w:tcW w:w="579" w:type="dxa"/>
            <w:tcBorders>
              <w:top w:val="nil"/>
            </w:tcBorders>
            <w:shd w:val="pct12"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4,0</w:t>
            </w:r>
          </w:p>
        </w:tc>
      </w:tr>
      <w:tr w:rsidR="0040352A" w:rsidRPr="008766C3" w:rsidTr="007E2174">
        <w:tc>
          <w:tcPr>
            <w:tcW w:w="4077" w:type="dxa"/>
            <w:gridSpan w:val="2"/>
            <w:shd w:val="pct15"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sz w:val="20"/>
              </w:rPr>
              <w:t>Resistência ao desgaste [%]</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gridSpan w:val="2"/>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r>
      <w:tr w:rsidR="0040352A" w:rsidRPr="008766C3" w:rsidTr="007E2174">
        <w:tc>
          <w:tcPr>
            <w:tcW w:w="4077" w:type="dxa"/>
            <w:gridSpan w:val="2"/>
            <w:shd w:val="pct15" w:color="auto" w:fill="auto"/>
            <w:vAlign w:val="center"/>
          </w:tcPr>
          <w:p w:rsidR="0040352A" w:rsidRPr="008766C3" w:rsidRDefault="0040352A" w:rsidP="007E2174">
            <w:pPr>
              <w:ind w:left="0" w:firstLine="0"/>
              <w:rPr>
                <w:rFonts w:cs="Calibri"/>
                <w:sz w:val="20"/>
                <w:szCs w:val="20"/>
              </w:rPr>
            </w:pPr>
            <w:r>
              <w:rPr>
                <w:color w:val="000000"/>
                <w:sz w:val="20"/>
              </w:rPr>
              <w:t>Aderência [unidades SRT]</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gridSpan w:val="2"/>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r>
      <w:tr w:rsidR="0040352A" w:rsidRPr="008766C3" w:rsidTr="007E2174">
        <w:tc>
          <w:tcPr>
            <w:tcW w:w="1951" w:type="dxa"/>
            <w:shd w:val="pct15" w:color="auto" w:fill="auto"/>
            <w:vAlign w:val="center"/>
          </w:tcPr>
          <w:p w:rsidR="0040352A" w:rsidRPr="008766C3" w:rsidRDefault="0040352A" w:rsidP="007E2174">
            <w:pPr>
              <w:ind w:left="0" w:firstLine="0"/>
              <w:rPr>
                <w:rFonts w:cs="Calibri"/>
                <w:sz w:val="20"/>
                <w:szCs w:val="20"/>
              </w:rPr>
            </w:pPr>
            <w:r>
              <w:rPr>
                <w:color w:val="000000"/>
                <w:sz w:val="20"/>
              </w:rPr>
              <w:t>Visibilidade noturna</w:t>
            </w:r>
          </w:p>
        </w:tc>
        <w:tc>
          <w:tcPr>
            <w:tcW w:w="2126" w:type="dxa"/>
            <w:shd w:val="pct15" w:color="auto" w:fill="auto"/>
            <w:vAlign w:val="center"/>
          </w:tcPr>
          <w:p w:rsidR="0040352A" w:rsidRPr="008766C3" w:rsidRDefault="0040352A" w:rsidP="007E2174">
            <w:pPr>
              <w:ind w:left="0" w:firstLine="0"/>
              <w:rPr>
                <w:rFonts w:cs="Calibri"/>
                <w:sz w:val="20"/>
                <w:szCs w:val="20"/>
              </w:rPr>
            </w:pPr>
            <w:r>
              <w:rPr>
                <w:color w:val="000000"/>
                <w:sz w:val="20"/>
              </w:rPr>
              <w:t>estado seco</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jc w:val="center"/>
              <w:rPr>
                <w:rFonts w:cs="Calibri"/>
                <w:sz w:val="20"/>
                <w:szCs w:val="20"/>
              </w:rPr>
            </w:pPr>
            <w:r>
              <w:rPr>
                <w:sz w:val="20"/>
                <w:vertAlign w:val="superscript"/>
              </w:rPr>
              <w:t>1)</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gridSpan w:val="2"/>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r>
      <w:tr w:rsidR="0040352A" w:rsidRPr="008766C3" w:rsidTr="007E2174">
        <w:tc>
          <w:tcPr>
            <w:tcW w:w="1951" w:type="dxa"/>
            <w:shd w:val="pct15"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r>
              <w:rPr>
                <w:i/>
                <w:sz w:val="20"/>
              </w:rPr>
              <w:t>R</w:t>
            </w:r>
            <w:r>
              <w:rPr>
                <w:sz w:val="20"/>
                <w:vertAlign w:val="subscript"/>
              </w:rPr>
              <w:t>L</w:t>
            </w:r>
            <w:r>
              <w:rPr>
                <w:sz w:val="20"/>
              </w:rPr>
              <w:t xml:space="preserve"> [mcd · m</w:t>
            </w:r>
            <w:r>
              <w:rPr>
                <w:sz w:val="20"/>
                <w:vertAlign w:val="superscript"/>
              </w:rPr>
              <w:t>-2</w:t>
            </w:r>
            <w:r>
              <w:rPr>
                <w:sz w:val="20"/>
              </w:rPr>
              <w:t xml:space="preserve"> · lx</w:t>
            </w:r>
            <w:r>
              <w:rPr>
                <w:sz w:val="20"/>
                <w:vertAlign w:val="superscript"/>
              </w:rPr>
              <w:t>-1</w:t>
            </w:r>
            <w:r>
              <w:rPr>
                <w:sz w:val="20"/>
              </w:rPr>
              <w:t>]</w:t>
            </w:r>
          </w:p>
        </w:tc>
        <w:tc>
          <w:tcPr>
            <w:tcW w:w="2126" w:type="dxa"/>
            <w:shd w:val="pct15" w:color="auto" w:fill="auto"/>
            <w:vAlign w:val="center"/>
          </w:tcPr>
          <w:p w:rsidR="0040352A" w:rsidRPr="008766C3" w:rsidRDefault="0040352A" w:rsidP="007E2174">
            <w:pPr>
              <w:ind w:left="0" w:firstLine="0"/>
              <w:rPr>
                <w:rFonts w:cs="Calibri"/>
                <w:sz w:val="20"/>
                <w:szCs w:val="20"/>
              </w:rPr>
            </w:pPr>
            <w:r>
              <w:rPr>
                <w:color w:val="000000"/>
                <w:sz w:val="20"/>
              </w:rPr>
              <w:t>estado molhado, 2 % de inclinação</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jc w:val="center"/>
              <w:rPr>
                <w:rFonts w:cs="Calibri"/>
                <w:sz w:val="20"/>
                <w:szCs w:val="20"/>
                <w:vertAlign w:val="superscript"/>
              </w:rPr>
            </w:pPr>
            <w:r>
              <w:rPr>
                <w:sz w:val="20"/>
                <w:vertAlign w:val="superscript"/>
              </w:rPr>
              <w:t>1)</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gridSpan w:val="2"/>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r>
      <w:tr w:rsidR="0040352A" w:rsidRPr="008766C3" w:rsidTr="007E2174">
        <w:tc>
          <w:tcPr>
            <w:tcW w:w="4077" w:type="dxa"/>
            <w:gridSpan w:val="2"/>
            <w:shd w:val="pct15" w:color="auto" w:fill="auto"/>
            <w:vAlign w:val="center"/>
          </w:tcPr>
          <w:p w:rsidR="0040352A" w:rsidRPr="008766C3" w:rsidRDefault="0040352A" w:rsidP="007E2174">
            <w:pPr>
              <w:ind w:left="0" w:firstLine="0"/>
              <w:rPr>
                <w:rFonts w:cs="Calibri"/>
                <w:sz w:val="20"/>
                <w:szCs w:val="20"/>
              </w:rPr>
            </w:pPr>
            <w:r>
              <w:rPr>
                <w:sz w:val="20"/>
              </w:rPr>
              <w:t>Visibilidade diurna Qd [mcd · m</w:t>
            </w:r>
            <w:r>
              <w:rPr>
                <w:sz w:val="20"/>
                <w:vertAlign w:val="superscript"/>
              </w:rPr>
              <w:t>-2</w:t>
            </w:r>
            <w:r>
              <w:rPr>
                <w:sz w:val="20"/>
              </w:rPr>
              <w:t xml:space="preserve"> · lx</w:t>
            </w:r>
            <w:r>
              <w:rPr>
                <w:sz w:val="20"/>
                <w:vertAlign w:val="superscript"/>
              </w:rPr>
              <w:t>-1</w:t>
            </w:r>
            <w:r>
              <w:rPr>
                <w:sz w:val="20"/>
              </w:rPr>
              <w:t>]</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jc w:val="center"/>
              <w:rPr>
                <w:rFonts w:cs="Calibri"/>
                <w:sz w:val="20"/>
                <w:szCs w:val="20"/>
              </w:rPr>
            </w:pPr>
            <w:r>
              <w:rPr>
                <w:sz w:val="20"/>
                <w:vertAlign w:val="superscript"/>
              </w:rPr>
              <w:t>1)</w:t>
            </w: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gridSpan w:val="2"/>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c>
          <w:tcPr>
            <w:tcW w:w="579" w:type="dxa"/>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rPr>
                <w:rFonts w:cs="Calibri"/>
                <w:sz w:val="20"/>
                <w:szCs w:val="20"/>
              </w:rPr>
            </w:pPr>
          </w:p>
        </w:tc>
      </w:tr>
      <w:tr w:rsidR="0040352A" w:rsidRPr="008766C3" w:rsidTr="007E2174">
        <w:tc>
          <w:tcPr>
            <w:tcW w:w="4077" w:type="dxa"/>
            <w:gridSpan w:val="2"/>
            <w:shd w:val="pct15" w:color="auto" w:fill="auto"/>
            <w:vAlign w:val="center"/>
          </w:tcPr>
          <w:p w:rsidR="0040352A" w:rsidRPr="008766C3" w:rsidRDefault="0040352A" w:rsidP="007E2174">
            <w:pPr>
              <w:ind w:left="0" w:firstLine="0"/>
              <w:rPr>
                <w:rFonts w:cs="Calibri"/>
                <w:sz w:val="20"/>
                <w:szCs w:val="20"/>
              </w:rPr>
            </w:pPr>
            <w:r>
              <w:rPr>
                <w:color w:val="000000"/>
                <w:sz w:val="20"/>
              </w:rPr>
              <w:lastRenderedPageBreak/>
              <w:t>Coordenadas do valor tintorial</w:t>
            </w:r>
          </w:p>
        </w:tc>
        <w:tc>
          <w:tcPr>
            <w:tcW w:w="2605" w:type="dxa"/>
            <w:gridSpan w:val="5"/>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jc w:val="center"/>
              <w:rPr>
                <w:rFonts w:cs="Calibri"/>
                <w:sz w:val="20"/>
                <w:szCs w:val="20"/>
              </w:rPr>
            </w:pPr>
            <w:r>
              <w:rPr>
                <w:sz w:val="20"/>
              </w:rPr>
              <w:t>x =</w:t>
            </w:r>
          </w:p>
        </w:tc>
        <w:tc>
          <w:tcPr>
            <w:tcW w:w="2606" w:type="dxa"/>
            <w:gridSpan w:val="5"/>
            <w:shd w:val="clear" w:color="auto" w:fill="auto"/>
            <w:vAlign w:val="center"/>
          </w:tcPr>
          <w:p w:rsidR="0040352A" w:rsidRPr="008766C3" w:rsidRDefault="0040352A" w:rsidP="007E2174">
            <w:pPr>
              <w:tabs>
                <w:tab w:val="left" w:pos="567"/>
                <w:tab w:val="left" w:pos="4536"/>
                <w:tab w:val="right" w:leader="underscore" w:pos="5954"/>
              </w:tabs>
              <w:spacing w:after="60"/>
              <w:ind w:left="0" w:firstLine="0"/>
              <w:jc w:val="center"/>
              <w:rPr>
                <w:rFonts w:cs="Calibri"/>
                <w:sz w:val="20"/>
                <w:szCs w:val="20"/>
              </w:rPr>
            </w:pPr>
            <w:r>
              <w:rPr>
                <w:sz w:val="20"/>
              </w:rPr>
              <w:t>y =</w:t>
            </w:r>
          </w:p>
        </w:tc>
      </w:tr>
    </w:tbl>
    <w:p w:rsidR="0040352A" w:rsidRPr="008766C3" w:rsidRDefault="0040352A" w:rsidP="0040352A">
      <w:pPr>
        <w:ind w:left="0" w:firstLine="0"/>
        <w:rPr>
          <w:rFonts w:eastAsia="Times New Roman" w:cs="Calibri"/>
          <w:sz w:val="20"/>
          <w:szCs w:val="20"/>
        </w:rPr>
      </w:pPr>
      <w:r>
        <w:rPr>
          <w:b/>
          <w:color w:val="000000"/>
          <w:sz w:val="20"/>
          <w:vertAlign w:val="superscript"/>
        </w:rPr>
        <w:t>1)</w:t>
      </w:r>
      <w:r>
        <w:rPr>
          <w:b/>
          <w:color w:val="000000"/>
          <w:sz w:val="20"/>
        </w:rPr>
        <w:t xml:space="preserve"> Este valor serve exclusivamente para informação do requerente.</w:t>
      </w:r>
    </w:p>
    <w:p w:rsidR="0040352A" w:rsidRPr="008766C3" w:rsidRDefault="0040352A" w:rsidP="0040352A">
      <w:pPr>
        <w:tabs>
          <w:tab w:val="left" w:pos="567"/>
          <w:tab w:val="left" w:pos="4536"/>
          <w:tab w:val="right" w:leader="underscore" w:pos="5954"/>
        </w:tabs>
        <w:spacing w:after="60"/>
        <w:ind w:left="4536" w:hanging="4252"/>
        <w:rPr>
          <w:rFonts w:cs="Calibri"/>
        </w:rPr>
      </w:pPr>
    </w:p>
    <w:p w:rsidR="0040352A" w:rsidRPr="008766C3" w:rsidRDefault="0040352A" w:rsidP="0040352A">
      <w:pPr>
        <w:ind w:left="0" w:firstLine="0"/>
        <w:rPr>
          <w:rFonts w:eastAsia="Times New Roman" w:cs="Calibri"/>
        </w:rPr>
      </w:pPr>
      <w:r>
        <w:rPr>
          <w:color w:val="000000"/>
        </w:rPr>
        <w:t>Por procuração</w:t>
      </w:r>
    </w:p>
    <w:p w:rsidR="0040352A" w:rsidRPr="008766C3" w:rsidRDefault="0040352A" w:rsidP="0040352A">
      <w:pPr>
        <w:tabs>
          <w:tab w:val="left" w:pos="567"/>
          <w:tab w:val="left" w:pos="4536"/>
          <w:tab w:val="right" w:leader="underscore" w:pos="5954"/>
        </w:tabs>
        <w:spacing w:after="60"/>
        <w:ind w:left="4536" w:hanging="4252"/>
        <w:rPr>
          <w:rFonts w:cs="Calibri"/>
        </w:rPr>
      </w:pPr>
    </w:p>
    <w:p w:rsidR="0040352A" w:rsidRPr="008766C3" w:rsidRDefault="0040352A" w:rsidP="0040352A">
      <w:pPr>
        <w:tabs>
          <w:tab w:val="left" w:leader="underscore" w:pos="2410"/>
        </w:tabs>
        <w:spacing w:after="60"/>
        <w:ind w:left="0" w:firstLine="0"/>
        <w:rPr>
          <w:rFonts w:cs="Calibri"/>
          <w:color w:val="000000"/>
          <w:sz w:val="20"/>
          <w:szCs w:val="20"/>
        </w:rPr>
      </w:pPr>
      <w:r>
        <w:tab/>
      </w:r>
    </w:p>
    <w:p w:rsidR="0040352A" w:rsidRPr="008766C3" w:rsidRDefault="0040352A" w:rsidP="0040352A">
      <w:pPr>
        <w:spacing w:after="60"/>
        <w:ind w:left="0" w:firstLine="0"/>
        <w:rPr>
          <w:rFonts w:eastAsia="Times New Roman" w:cs="Calibri"/>
          <w:sz w:val="20"/>
          <w:szCs w:val="20"/>
        </w:rPr>
      </w:pPr>
      <w:r>
        <w:rPr>
          <w:color w:val="000000"/>
          <w:sz w:val="20"/>
        </w:rPr>
        <w:t>Nome, função</w:t>
      </w:r>
    </w:p>
    <w:p w:rsidR="0040352A" w:rsidRDefault="0040352A" w:rsidP="0040352A">
      <w:pPr>
        <w:spacing w:after="60"/>
        <w:ind w:left="0" w:firstLine="0"/>
        <w:rPr>
          <w:rFonts w:cs="Calibri"/>
        </w:rPr>
      </w:pPr>
    </w:p>
    <w:p w:rsidR="0040352A" w:rsidRPr="008766C3" w:rsidRDefault="0040352A" w:rsidP="0040352A">
      <w:pPr>
        <w:spacing w:after="60"/>
        <w:ind w:left="0" w:firstLine="0"/>
        <w:rPr>
          <w:rFonts w:cs="Calibri"/>
        </w:rPr>
      </w:pPr>
      <w:r>
        <w:t>Página 1</w:t>
      </w:r>
    </w:p>
    <w:p w:rsidR="00B521EE" w:rsidRPr="003A38BA" w:rsidRDefault="00B521EE" w:rsidP="003E3497">
      <w:pPr>
        <w:pStyle w:val="Heading1"/>
        <w:pageBreakBefore/>
        <w:ind w:left="0" w:firstLine="0"/>
        <w:jc w:val="both"/>
        <w:rPr>
          <w:sz w:val="24"/>
          <w:szCs w:val="24"/>
        </w:rPr>
      </w:pPr>
      <w:bookmarkStart w:id="190" w:name="_Toc150173029"/>
      <w:bookmarkStart w:id="191" w:name="_Toc273346590"/>
      <w:bookmarkStart w:id="192" w:name="_Toc2194199"/>
      <w:bookmarkStart w:id="193" w:name="_Toc12478663"/>
      <w:r>
        <w:rPr>
          <w:sz w:val="24"/>
        </w:rPr>
        <w:lastRenderedPageBreak/>
        <w:t xml:space="preserve">Anexo </w:t>
      </w:r>
      <w:bookmarkEnd w:id="190"/>
      <w:bookmarkEnd w:id="191"/>
      <w:r>
        <w:rPr>
          <w:sz w:val="24"/>
        </w:rPr>
        <w:t>B</w:t>
      </w:r>
      <w:bookmarkEnd w:id="192"/>
      <w:bookmarkEnd w:id="193"/>
    </w:p>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 xml:space="preserve">Listas de COV </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4536"/>
        <w:gridCol w:w="1418"/>
        <w:gridCol w:w="1559"/>
        <w:gridCol w:w="1276"/>
      </w:tblGrid>
      <w:tr w:rsidR="00536458" w:rsidRPr="003A38BA" w:rsidTr="009574DB">
        <w:trPr>
          <w:cantSplit/>
          <w:tblHeader/>
        </w:trPr>
        <w:tc>
          <w:tcPr>
            <w:tcW w:w="779" w:type="dxa"/>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N.º de ordem</w:t>
            </w:r>
          </w:p>
        </w:tc>
        <w:tc>
          <w:tcPr>
            <w:tcW w:w="4536" w:type="dxa"/>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Substância/Grupo de substâncias</w:t>
            </w:r>
          </w:p>
        </w:tc>
        <w:tc>
          <w:tcPr>
            <w:tcW w:w="1418" w:type="dxa"/>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Número CAS</w:t>
            </w:r>
          </w:p>
        </w:tc>
        <w:tc>
          <w:tcPr>
            <w:tcW w:w="1559" w:type="dxa"/>
            <w:tcBorders>
              <w:bottom w:val="nil"/>
            </w:tcBorders>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Número de índice</w:t>
            </w:r>
          </w:p>
        </w:tc>
        <w:tc>
          <w:tcPr>
            <w:tcW w:w="1276" w:type="dxa"/>
            <w:tcBorders>
              <w:bottom w:val="nil"/>
            </w:tcBorders>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Número CE</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acetona</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67-64-1</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606-001-00-8</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200-662-2</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benzeno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71-43-2</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601-020-00-8</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200-753-7</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04</w:t>
            </w:r>
          </w:p>
        </w:tc>
        <w:tc>
          <w:tcPr>
            <w:tcW w:w="4536" w:type="dxa"/>
            <w:vAlign w:val="center"/>
          </w:tcPr>
          <w:p w:rsidR="00536458" w:rsidRPr="003A38BA" w:rsidRDefault="00536458" w:rsidP="00853381">
            <w:pPr>
              <w:pStyle w:val="Tablefootnote"/>
              <w:tabs>
                <w:tab w:val="clear" w:pos="340"/>
                <w:tab w:val="left" w:pos="0"/>
              </w:tabs>
              <w:rPr>
                <w:rFonts w:asciiTheme="minorHAnsi" w:hAnsiTheme="minorHAnsi" w:cs="Arial"/>
                <w:sz w:val="22"/>
                <w:szCs w:val="22"/>
              </w:rPr>
            </w:pPr>
            <w:bookmarkStart w:id="194" w:name="_Toc403984708"/>
            <w:bookmarkStart w:id="195" w:name="_Toc452377833"/>
            <w:bookmarkStart w:id="196" w:name="_Toc475367432"/>
            <w:bookmarkStart w:id="197" w:name="_Toc514062858"/>
            <w:r>
              <w:rPr>
                <w:rFonts w:asciiTheme="minorHAnsi" w:hAnsiTheme="minorHAnsi"/>
                <w:sz w:val="22"/>
              </w:rPr>
              <w:t>éter bis(2-metoxietílico)</w:t>
            </w:r>
            <w:bookmarkEnd w:id="194"/>
            <w:bookmarkEnd w:id="195"/>
            <w:bookmarkEnd w:id="196"/>
            <w:bookmarkEnd w:id="197"/>
          </w:p>
          <w:p w:rsidR="00536458" w:rsidRPr="003A38BA" w:rsidRDefault="00536458" w:rsidP="00853381">
            <w:pPr>
              <w:pStyle w:val="Tablefootnote"/>
              <w:tabs>
                <w:tab w:val="clear" w:pos="340"/>
                <w:tab w:val="left" w:pos="0"/>
              </w:tabs>
              <w:rPr>
                <w:rFonts w:asciiTheme="minorHAnsi" w:hAnsiTheme="minorHAnsi" w:cs="Arial"/>
                <w:sz w:val="22"/>
                <w:szCs w:val="22"/>
              </w:rPr>
            </w:pPr>
            <w:bookmarkStart w:id="198" w:name="_Toc403984709"/>
            <w:bookmarkStart w:id="199" w:name="_Toc452377834"/>
            <w:bookmarkStart w:id="200" w:name="_Toc475367433"/>
            <w:bookmarkStart w:id="201" w:name="_Toc514062859"/>
            <w:r>
              <w:rPr>
                <w:rFonts w:asciiTheme="minorHAnsi" w:hAnsiTheme="minorHAnsi"/>
                <w:sz w:val="22"/>
              </w:rPr>
              <w:t>(éter dimetílico de dietilenoglicol, dimetilglicol)</w:t>
            </w:r>
            <w:bookmarkEnd w:id="198"/>
            <w:bookmarkEnd w:id="199"/>
            <w:bookmarkEnd w:id="200"/>
            <w:bookmarkEnd w:id="201"/>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111-96-6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butan-1-ol (álcool n-butílico)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71-36-3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603-004-00-6</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200-751-6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06</w:t>
            </w:r>
          </w:p>
        </w:tc>
        <w:tc>
          <w:tcPr>
            <w:tcW w:w="4536" w:type="dxa"/>
            <w:vAlign w:val="center"/>
          </w:tcPr>
          <w:p w:rsidR="00536458" w:rsidRPr="00831389" w:rsidRDefault="00536458" w:rsidP="00536458">
            <w:pPr>
              <w:pStyle w:val="Tablefootnote"/>
              <w:tabs>
                <w:tab w:val="clear" w:pos="340"/>
                <w:tab w:val="left" w:pos="0"/>
              </w:tabs>
              <w:rPr>
                <w:rFonts w:asciiTheme="minorHAnsi" w:hAnsiTheme="minorHAnsi" w:cs="Arial"/>
                <w:sz w:val="22"/>
                <w:szCs w:val="22"/>
                <w:lang w:val="en-US"/>
              </w:rPr>
            </w:pPr>
            <w:r w:rsidRPr="00831389">
              <w:rPr>
                <w:rFonts w:asciiTheme="minorHAnsi" w:hAnsiTheme="minorHAnsi"/>
                <w:sz w:val="22"/>
                <w:lang w:val="en-US"/>
              </w:rPr>
              <w:t>butan-2-ol (álcool sec-butílico)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78-92-2</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603-127-00-5</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201-158-5</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07</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2-n-butoxietanol (éter monobutílico de etilenoglicol, butilglicol)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111-76-2</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603-014-00-0</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203-905-0</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08</w:t>
            </w:r>
          </w:p>
        </w:tc>
        <w:tc>
          <w:tcPr>
            <w:tcW w:w="4536" w:type="dxa"/>
            <w:vAlign w:val="center"/>
          </w:tcPr>
          <w:p w:rsidR="00536458" w:rsidRPr="003A38BA" w:rsidRDefault="00536458" w:rsidP="00853381">
            <w:pPr>
              <w:pStyle w:val="Tablefootnote"/>
              <w:tabs>
                <w:tab w:val="clear" w:pos="340"/>
                <w:tab w:val="left" w:pos="0"/>
              </w:tabs>
              <w:rPr>
                <w:rFonts w:asciiTheme="minorHAnsi" w:hAnsiTheme="minorHAnsi" w:cs="Arial"/>
                <w:sz w:val="22"/>
                <w:szCs w:val="22"/>
              </w:rPr>
            </w:pPr>
            <w:bookmarkStart w:id="202" w:name="_Toc403984710"/>
            <w:bookmarkStart w:id="203" w:name="_Toc452377835"/>
            <w:bookmarkStart w:id="204" w:name="_Toc475367434"/>
            <w:bookmarkStart w:id="205" w:name="_Toc514062860"/>
            <w:r>
              <w:rPr>
                <w:rFonts w:asciiTheme="minorHAnsi" w:hAnsiTheme="minorHAnsi"/>
                <w:sz w:val="22"/>
              </w:rPr>
              <w:t>2-(2-n-butoxietóxi)etanol (éter monobutílico de dietilenoglicol, butildiglicol)</w:t>
            </w:r>
            <w:bookmarkEnd w:id="202"/>
            <w:bookmarkEnd w:id="203"/>
            <w:bookmarkEnd w:id="204"/>
            <w:bookmarkEnd w:id="205"/>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112-34-5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603-096-00-8</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203-961-6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09</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2-n-butoxietilo (acetato de éter monobutílico de etilenoglicol, acetato de butilglicol)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112-07-2</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607-038-00-2</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203-933-3</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butoxipropanóis (misturas de isómeros)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vários</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1-n-butoxipropan-2-ol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5131-66-8</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603-052-00-8</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225-878-4</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12</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1-terc-butoxipropan-2-ol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57018-52-7</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603-129-00-6</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406-180-0</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n-butilo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123-86-4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607-025-00-1</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204-658-1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14</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sec-butilo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105-46-4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607-026-00-7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203-300-1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terc-butilo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540-88-5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607-026-00-7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208-760-7</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16</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4-butirolactona (tetra-hidro-2-furanona)</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96-48-0</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17</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cumeno (isopropilbenzeno)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98-82-8</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601-024-00-X</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202-704-5</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18</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ciclo-hexano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110-82-7</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601-017-00-1</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203-806-2</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19</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p-cimeno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99-87-6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diclorometano (dicloreto de metileno)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75-09-2</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602-004-00-3</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200-838-9</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1,2-dióxietano (éter dietílico de etilenoglicol, dietilglicol)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629-14-1</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22</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éter dietílico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60-29-7</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603-022-00-4</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200-467-2</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éter di-isopropílico (2-isopropoxipropano)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108-20-3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603-045-00-X</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203-560-6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24</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1,1-dimetoxietano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534-15-6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605-007-00-8</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534-15-6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1,2-dimetoxietano (éter dimetílico de etilenoglicol, dimetilglicol)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110-71-4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603-031-003</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203-794-9</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26</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éter de dimetilo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115-10-6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603-019-00-8</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204-065-8</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27</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1,4-dioxano (dióxido de dietileno)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123-91-1</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603-024-00-5</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204-661-8</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lastRenderedPageBreak/>
              <w:t>28</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éter di-n-propílico (éter propílico)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111-43-3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603-045-00-X</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203-869-6</w:t>
            </w:r>
          </w:p>
        </w:tc>
      </w:tr>
      <w:tr w:rsidR="00536458" w:rsidRPr="003A38BA" w:rsidTr="003E3497">
        <w:trPr>
          <w:cantSplit/>
        </w:trPr>
        <w:tc>
          <w:tcPr>
            <w:tcW w:w="779" w:type="dxa"/>
            <w:tcBorders>
              <w:bottom w:val="single" w:sz="4" w:space="0" w:color="auto"/>
            </w:tcBorders>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29</w:t>
            </w:r>
          </w:p>
        </w:tc>
        <w:tc>
          <w:tcPr>
            <w:tcW w:w="4536" w:type="dxa"/>
            <w:tcBorders>
              <w:bottom w:val="single" w:sz="4" w:space="0" w:color="auto"/>
            </w:tcBorders>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ácido acético</w:t>
            </w:r>
          </w:p>
        </w:tc>
        <w:tc>
          <w:tcPr>
            <w:tcW w:w="1418" w:type="dxa"/>
            <w:tcBorders>
              <w:bottom w:val="single" w:sz="4" w:space="0" w:color="auto"/>
            </w:tcBorders>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64-19-7</w:t>
            </w:r>
          </w:p>
        </w:tc>
        <w:tc>
          <w:tcPr>
            <w:tcW w:w="1559" w:type="dxa"/>
            <w:tcBorders>
              <w:bottom w:val="single" w:sz="4" w:space="0" w:color="auto"/>
            </w:tcBorders>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607-002-00-6</w:t>
            </w:r>
          </w:p>
        </w:tc>
        <w:tc>
          <w:tcPr>
            <w:tcW w:w="1276" w:type="dxa"/>
            <w:tcBorders>
              <w:bottom w:val="single" w:sz="4" w:space="0" w:color="auto"/>
            </w:tcBorders>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200-580-7</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anidrido acético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108-24-7</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607-008-00-9</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203-564-8</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 xml:space="preserve">etanol </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64-17-5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603-002-00-5</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200-578-6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32</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2-etóxietanol (éter monoetílico de etilenoglicol, etilglicol)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110-80-5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603-012-00-X</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203-804-1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1-etóxipropan-2-ol (éter monoetílico de propilenoglicol)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1569-02-4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34</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etilo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141-78-6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607-022-00-5</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205-500-4</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etilbenzeno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100-41-4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601-023-00-4</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202-849-4</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36</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formato de etilo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109-94-4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607-015-00-7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203-721-0</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38</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heptano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147-82-5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601-008-00-2</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205-563-8</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39</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n-hexano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110-54-3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601-037-00-0</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203-777-6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hexano (mistura de isómeros)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92112-69-1</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601-007-00-7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295-570-2</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hexan-1-ol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111-27-3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603-059-00-6</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203-852-3</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42</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isobutilo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110-19-0</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607-026-00-7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203-745-1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isopropilo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108-21-4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607-024-00-6</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203-561-1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44</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metanol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67-56-1</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603-001-00-X</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200-659-6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1-metoxi-2-propilo (acetato de éter monometílico de propilenoglicol)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108-65-6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46</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2-metoxietanol (éter monometílico de etilenoglicol, metilglicol)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109-86-4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603-011-00-4</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203-713-7</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47</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2-metoxietilo (acetato de metilglicol)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110-49-6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607-036-00-1</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203-772-9</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48</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1-metoxipropan-2-ol (éter monometílico de propilenoglicol)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107-98-2</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49</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acetato de metilo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79-20-9</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607-021-00-X</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201-185-2</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2-metilbutano (i-pentano)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78-78-4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601-006-00-1</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201-142-8</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metilciclo-hexano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108-87-2</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601-018-00-7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203-624-3</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52</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etilmetilcetona (2-butanona, MEK)</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78-93-3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606-002-00-3</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201-159-0</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 xml:space="preserve">formato de metilo </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107-31-3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607-014-00-1</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203-481-7</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54</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2-metilpentano (i-hexano)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107-83-5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203-523-4</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4-metilpentan-2-ona (isobutilmetilcetona, MIBK)</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108-10-1</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606-004-00-4</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203-550-1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56</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2-metilpropano (isobutano)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75-28-5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59</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n-pentano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109-66-0</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601-006-00-1</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203-692-4</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57</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2-metilpropan-1-ol (isobutanol)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78-83-1</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603-108-00-1</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201-148-0</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58</w:t>
            </w:r>
          </w:p>
        </w:tc>
        <w:tc>
          <w:tcPr>
            <w:tcW w:w="4536" w:type="dxa"/>
            <w:vAlign w:val="center"/>
          </w:tcPr>
          <w:p w:rsidR="00536458" w:rsidRPr="003A38BA" w:rsidRDefault="00536458" w:rsidP="00853381">
            <w:pPr>
              <w:pStyle w:val="Tablefootnote"/>
              <w:tabs>
                <w:tab w:val="clear" w:pos="340"/>
                <w:tab w:val="left" w:pos="0"/>
              </w:tabs>
              <w:rPr>
                <w:rFonts w:asciiTheme="minorHAnsi" w:hAnsiTheme="minorHAnsi" w:cs="Arial"/>
                <w:sz w:val="22"/>
                <w:szCs w:val="22"/>
              </w:rPr>
            </w:pPr>
            <w:r>
              <w:rPr>
                <w:rFonts w:asciiTheme="minorHAnsi" w:hAnsiTheme="minorHAnsi"/>
                <w:sz w:val="22"/>
              </w:rPr>
              <w:t>n-metil-2-pirrolidona (1-metil-2-pirrolidona)</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872-50-4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606-021-00-7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212-828-1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lastRenderedPageBreak/>
              <w:t>60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pentan-1-ol (álcool n-pentílico)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71-41-0</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603-006-00-7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200-752-1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pentan-2-ol (álcool sec-pentílico)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6032-29-7</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603-006-00-7</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227-907-6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62</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pentanóis (misturas de isómeros)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vários</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éter de petróleo + benzinas (misturas de hidrocarbonetos principalmente não aromáticos)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vários</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64</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frações de petróleo (misturas de hidrocarbonetos principalmente não aromáticos) com ponto de ebulição até 240 °C a 1 013,25 mbar</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vários</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propan-1-ol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71-23-8</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603-003-00-0</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200-746-9</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66</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propan-2-ol (álcool isopropílico, isopropanol)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67-63-0</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603-117-00-0</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200-661-7</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67</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2-(propiloxi)etanol (éter monopropilo de etilenoglicol, propilglicol)</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2807-30-9</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603-095-00-2</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220-548-6</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68</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 xml:space="preserve">acetato de n-propilo </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109-60-4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607-024-00-6</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203-686-1</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69</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estireno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100-42-5</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601-026-00-0</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202-851-5</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tetracloroeteno (percloroetileno, PER)</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127-18-4</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602-028-00-4</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204-825-9</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tetra-hidrofurano (oxolano)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109-99-9</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603-025-00-0</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203-726-8</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 xml:space="preserve">tolueno </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108-88-3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601-021-00-3</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203-625-9</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72</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tricloroeteno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79-01-6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602-027-00-9</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201-167-4</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73</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 xml:space="preserve">1,2,3-trimetilbenzeno </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526-73-8</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74</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1,2,4-trimetilbenzeno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95-63-6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601-043-00-3</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202-436-9</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75</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1,3,5-trimetilbenzeno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108-67-8</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76</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trimetilbenzenos (misturas de isómeros)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vários</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77</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i/>
                <w:sz w:val="22"/>
              </w:rPr>
              <w:t>white spirits</w:t>
            </w:r>
            <w:r>
              <w:rPr>
                <w:rFonts w:asciiTheme="minorHAnsi" w:hAnsiTheme="minorHAnsi"/>
                <w:sz w:val="22"/>
              </w:rPr>
              <w:t xml:space="preserve"> (misturas de hidrocarbonetos principalmente não aromáticos)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vários</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78</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o-xileno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95-47-6</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601-022-00-9</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202-422-2</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79</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m-xileno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108-38-3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601-022-00-9</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203-576-3</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80</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p-xileno</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106-42-3</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601-022-00-9</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203-396-5</w:t>
            </w:r>
          </w:p>
        </w:tc>
      </w:tr>
      <w:tr w:rsidR="00536458" w:rsidRPr="003A38BA" w:rsidTr="003E3497">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81</w:t>
            </w:r>
          </w:p>
        </w:tc>
        <w:tc>
          <w:tcPr>
            <w:tcW w:w="4536" w:type="dxa"/>
            <w:vAlign w:val="center"/>
          </w:tcPr>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xilenos (misturas de isómeros)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1330-20-7</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601-022-00-9</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215-535-7</w:t>
            </w:r>
          </w:p>
        </w:tc>
      </w:tr>
    </w:tbl>
    <w:p w:rsidR="00536458" w:rsidRPr="003A38BA" w:rsidRDefault="00536458" w:rsidP="00536458">
      <w:pPr>
        <w:pStyle w:val="Tablefootnote"/>
        <w:ind w:left="340" w:hanging="340"/>
        <w:rPr>
          <w:rFonts w:asciiTheme="minorHAnsi" w:hAnsiTheme="minorHAnsi" w:cs="Arial"/>
          <w:sz w:val="22"/>
          <w:szCs w:val="22"/>
        </w:rPr>
      </w:pPr>
    </w:p>
    <w:p w:rsidR="00536458" w:rsidRPr="003A38BA" w:rsidRDefault="00536458" w:rsidP="00536458">
      <w:pPr>
        <w:pStyle w:val="Tablefootnote"/>
        <w:tabs>
          <w:tab w:val="clear" w:pos="340"/>
          <w:tab w:val="left" w:pos="0"/>
        </w:tabs>
        <w:rPr>
          <w:rFonts w:asciiTheme="minorHAnsi" w:hAnsiTheme="minorHAnsi" w:cs="Arial"/>
          <w:sz w:val="22"/>
          <w:szCs w:val="22"/>
        </w:rPr>
      </w:pPr>
      <w:r>
        <w:rPr>
          <w:rFonts w:asciiTheme="minorHAnsi" w:hAnsiTheme="minorHAnsi"/>
          <w:sz w:val="22"/>
        </w:rPr>
        <w:t>As seguintes misturas de substâncias são compostas por um pequeno número de compostos individuais que habitualmente também podem ser registados individualmente.</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4536"/>
        <w:gridCol w:w="1418"/>
        <w:gridCol w:w="1559"/>
        <w:gridCol w:w="1276"/>
      </w:tblGrid>
      <w:tr w:rsidR="00536458" w:rsidRPr="003A38BA" w:rsidTr="00536458">
        <w:trPr>
          <w:cantSplit/>
        </w:trPr>
        <w:tc>
          <w:tcPr>
            <w:tcW w:w="779" w:type="dxa"/>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N.º de ordem</w:t>
            </w:r>
          </w:p>
        </w:tc>
        <w:tc>
          <w:tcPr>
            <w:tcW w:w="4536" w:type="dxa"/>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Substância/Grupo de substâncias</w:t>
            </w:r>
          </w:p>
        </w:tc>
        <w:tc>
          <w:tcPr>
            <w:tcW w:w="1418" w:type="dxa"/>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Número CAS</w:t>
            </w:r>
          </w:p>
        </w:tc>
        <w:tc>
          <w:tcPr>
            <w:tcW w:w="1559" w:type="dxa"/>
            <w:tcBorders>
              <w:bottom w:val="nil"/>
            </w:tcBorders>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Número de índice</w:t>
            </w:r>
          </w:p>
        </w:tc>
        <w:tc>
          <w:tcPr>
            <w:tcW w:w="1276" w:type="dxa"/>
            <w:tcBorders>
              <w:bottom w:val="nil"/>
            </w:tcBorders>
            <w:shd w:val="pct25" w:color="auto" w:fill="FFFFFF"/>
            <w:vAlign w:val="center"/>
          </w:tcPr>
          <w:p w:rsidR="00536458" w:rsidRPr="003A38BA" w:rsidRDefault="00536458" w:rsidP="009574DB">
            <w:pPr>
              <w:pStyle w:val="Tablefootnote"/>
              <w:rPr>
                <w:rFonts w:asciiTheme="minorHAnsi" w:hAnsiTheme="minorHAnsi" w:cs="Arial"/>
                <w:sz w:val="22"/>
                <w:szCs w:val="22"/>
              </w:rPr>
            </w:pPr>
            <w:r>
              <w:rPr>
                <w:rFonts w:asciiTheme="minorHAnsi" w:hAnsiTheme="minorHAnsi"/>
                <w:sz w:val="22"/>
              </w:rPr>
              <w:t>Número CE</w:t>
            </w:r>
          </w:p>
        </w:tc>
      </w:tr>
      <w:tr w:rsidR="00536458" w:rsidRPr="003A38BA" w:rsidTr="00536458">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76</w:t>
            </w:r>
          </w:p>
        </w:tc>
        <w:tc>
          <w:tcPr>
            <w:tcW w:w="453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trimetilbenzenos (misturas de isómeros)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vários</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p>
        </w:tc>
      </w:tr>
      <w:tr w:rsidR="00536458" w:rsidRPr="003A38BA" w:rsidTr="00536458">
        <w:trPr>
          <w:cantSplit/>
        </w:trPr>
        <w:tc>
          <w:tcPr>
            <w:tcW w:w="77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81</w:t>
            </w:r>
          </w:p>
        </w:tc>
        <w:tc>
          <w:tcPr>
            <w:tcW w:w="453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xilenos (misturas de isómeros)</w:t>
            </w:r>
          </w:p>
        </w:tc>
        <w:tc>
          <w:tcPr>
            <w:tcW w:w="1418"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1330-20-7</w:t>
            </w:r>
          </w:p>
        </w:tc>
        <w:tc>
          <w:tcPr>
            <w:tcW w:w="1559"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601-022-00-9</w:t>
            </w:r>
          </w:p>
        </w:tc>
        <w:tc>
          <w:tcPr>
            <w:tcW w:w="1276" w:type="dxa"/>
            <w:vAlign w:val="center"/>
          </w:tcPr>
          <w:p w:rsidR="00536458" w:rsidRPr="003A38BA" w:rsidRDefault="00536458" w:rsidP="00536458">
            <w:pPr>
              <w:pStyle w:val="Tablefootnote"/>
              <w:ind w:left="340" w:hanging="340"/>
              <w:rPr>
                <w:rFonts w:asciiTheme="minorHAnsi" w:hAnsiTheme="minorHAnsi" w:cs="Arial"/>
                <w:sz w:val="22"/>
                <w:szCs w:val="22"/>
              </w:rPr>
            </w:pPr>
            <w:r>
              <w:rPr>
                <w:rFonts w:asciiTheme="minorHAnsi" w:hAnsiTheme="minorHAnsi"/>
                <w:sz w:val="22"/>
              </w:rPr>
              <w:t>215-535-7</w:t>
            </w:r>
          </w:p>
        </w:tc>
      </w:tr>
    </w:tbl>
    <w:p w:rsidR="00F653D9" w:rsidRPr="003A38BA" w:rsidRDefault="00B1266C" w:rsidP="007C21AF">
      <w:pPr>
        <w:pStyle w:val="Heading1"/>
        <w:pageBreakBefore/>
        <w:ind w:left="0" w:firstLine="0"/>
        <w:jc w:val="both"/>
        <w:rPr>
          <w:sz w:val="24"/>
          <w:szCs w:val="24"/>
        </w:rPr>
      </w:pPr>
      <w:bookmarkStart w:id="206" w:name="_Toc2194200"/>
      <w:bookmarkStart w:id="207" w:name="_Toc12478664"/>
      <w:r>
        <w:rPr>
          <w:sz w:val="24"/>
        </w:rPr>
        <w:lastRenderedPageBreak/>
        <w:t>Anexo C</w:t>
      </w:r>
      <w:bookmarkEnd w:id="206"/>
      <w:bookmarkEnd w:id="207"/>
    </w:p>
    <w:p w:rsidR="00B1266C" w:rsidRPr="003A38BA" w:rsidRDefault="00B1266C" w:rsidP="007C21AF">
      <w:pPr>
        <w:pStyle w:val="Title"/>
        <w:jc w:val="both"/>
        <w:rPr>
          <w:rFonts w:asciiTheme="minorHAnsi" w:hAnsiTheme="minorHAnsi"/>
        </w:rPr>
      </w:pPr>
      <w:r>
        <w:rPr>
          <w:rFonts w:asciiTheme="minorHAnsi" w:hAnsiTheme="minorHAnsi"/>
        </w:rPr>
        <w:t>Garantia da qualidade de materiais de projeção para todos os sistemas de marcação e de sistemas de pré-mistura para termoplásticos</w:t>
      </w:r>
    </w:p>
    <w:p w:rsidR="00B1266C" w:rsidRPr="003A38BA" w:rsidRDefault="00B1266C" w:rsidP="007C21AF">
      <w:pPr>
        <w:pStyle w:val="Tablefootnote"/>
        <w:tabs>
          <w:tab w:val="clear" w:pos="340"/>
          <w:tab w:val="left" w:pos="0"/>
        </w:tabs>
        <w:rPr>
          <w:rFonts w:asciiTheme="minorHAnsi" w:hAnsiTheme="minorHAnsi" w:cs="Arial"/>
          <w:sz w:val="24"/>
          <w:szCs w:val="24"/>
        </w:rPr>
      </w:pPr>
    </w:p>
    <w:p w:rsidR="00B1266C" w:rsidRPr="003A38BA" w:rsidRDefault="00B1266C" w:rsidP="007C21AF">
      <w:pPr>
        <w:pStyle w:val="Tablefootnote"/>
        <w:tabs>
          <w:tab w:val="clear" w:pos="340"/>
          <w:tab w:val="left" w:pos="0"/>
        </w:tabs>
        <w:rPr>
          <w:rFonts w:asciiTheme="minorHAnsi" w:hAnsiTheme="minorHAnsi" w:cs="Arial"/>
          <w:sz w:val="24"/>
          <w:szCs w:val="24"/>
        </w:rPr>
      </w:pPr>
      <w:r>
        <w:rPr>
          <w:rFonts w:asciiTheme="minorHAnsi" w:hAnsiTheme="minorHAnsi"/>
          <w:sz w:val="24"/>
        </w:rPr>
        <w:t>Para a garantia da qualidade de materiais de projeção e sistemas de pré-mistura de termoplásticos, são estabelecidos os seguintes parâmetros para o ensaio de protótipo de materiais de projeção para todos os sistemas de marcação e de sistemas de pré-mistura para termoplásticos</w:t>
      </w:r>
      <w:r>
        <w:rPr>
          <w:rStyle w:val="FootnoteReference"/>
          <w:rFonts w:asciiTheme="minorHAnsi" w:hAnsiTheme="minorHAnsi"/>
          <w:sz w:val="24"/>
        </w:rPr>
        <w:footnoteReference w:id="5"/>
      </w:r>
      <w:r>
        <w:rPr>
          <w:rFonts w:asciiTheme="minorHAnsi" w:hAnsiTheme="minorHAnsi"/>
          <w:sz w:val="24"/>
        </w:rPr>
        <w:t>:</w:t>
      </w:r>
    </w:p>
    <w:p w:rsidR="00B1266C" w:rsidRPr="003A38BA" w:rsidRDefault="00B1266C" w:rsidP="007C21AF">
      <w:pPr>
        <w:jc w:val="both"/>
        <w:rPr>
          <w:snapToGrid w:val="0"/>
          <w:sz w:val="24"/>
        </w:rPr>
      </w:pPr>
    </w:p>
    <w:p w:rsidR="00B1266C" w:rsidRPr="003A38BA" w:rsidRDefault="00B1266C" w:rsidP="007C21AF">
      <w:pPr>
        <w:numPr>
          <w:ilvl w:val="0"/>
          <w:numId w:val="11"/>
        </w:numPr>
        <w:jc w:val="both"/>
        <w:rPr>
          <w:snapToGrid w:val="0"/>
          <w:sz w:val="24"/>
        </w:rPr>
      </w:pPr>
      <w:r>
        <w:rPr>
          <w:snapToGrid w:val="0"/>
          <w:sz w:val="24"/>
        </w:rPr>
        <w:t xml:space="preserve">De acordo com a norma DIN EN 1423, os peneiros a utilizar para a determinação da curva granulométrica devem ser retirados da norma ISO 565 – dimensões R40/3. No que se refere às misturas de materiais de projeção, devem ficar retidos no peneiro mais pequeno seguinte nos termos da norma ISO 565 – dimensões R40/3 – abaixo do peneiro nominal superior, pelo menos 5 % (valor cumulativo) de pérolas refletoras. </w:t>
      </w:r>
    </w:p>
    <w:p w:rsidR="00B1266C" w:rsidRPr="003A38BA" w:rsidRDefault="00B1266C" w:rsidP="007C21AF">
      <w:pPr>
        <w:jc w:val="both"/>
        <w:rPr>
          <w:snapToGrid w:val="0"/>
          <w:sz w:val="24"/>
        </w:rPr>
      </w:pPr>
    </w:p>
    <w:p w:rsidR="00B1266C" w:rsidRPr="003A38BA" w:rsidRDefault="00B1266C" w:rsidP="009574DB">
      <w:pPr>
        <w:pStyle w:val="BodyTextIndent"/>
        <w:ind w:left="357" w:firstLine="0"/>
        <w:jc w:val="both"/>
      </w:pPr>
      <w:r>
        <w:rPr>
          <w:snapToGrid w:val="0"/>
          <w:sz w:val="24"/>
        </w:rPr>
        <w:t>Deste modo, deve ser assegurado que as misturas de materiais de projeção contêm pérolas refletoras de dimensão suficiente para garantir uma retrorreflexão adequada</w:t>
      </w:r>
      <w:r>
        <w:t xml:space="preserve">. </w:t>
      </w:r>
    </w:p>
    <w:p w:rsidR="00B1266C" w:rsidRPr="003A38BA" w:rsidRDefault="00B1266C" w:rsidP="007C21AF">
      <w:pPr>
        <w:jc w:val="both"/>
        <w:rPr>
          <w:snapToGrid w:val="0"/>
          <w:sz w:val="24"/>
        </w:rPr>
      </w:pPr>
    </w:p>
    <w:p w:rsidR="00B1266C" w:rsidRPr="003A38BA" w:rsidRDefault="00B1266C" w:rsidP="007C21AF">
      <w:pPr>
        <w:numPr>
          <w:ilvl w:val="0"/>
          <w:numId w:val="11"/>
        </w:numPr>
        <w:jc w:val="both"/>
        <w:rPr>
          <w:snapToGrid w:val="0"/>
          <w:sz w:val="24"/>
        </w:rPr>
      </w:pPr>
      <w:r>
        <w:rPr>
          <w:snapToGrid w:val="0"/>
          <w:sz w:val="24"/>
        </w:rPr>
        <w:t xml:space="preserve">A curva granulométrica da mistura de materiais de projeção, determinada no ensaio de aptidão pelo laboratório de ensaio acreditado com o Camsizer, é depositada como protótipo, desde que o requerente/fornecedor de materiais de projeção não possa apresentar a sua curva própria granulométrica do Camsizer. A tolerância admitida de resíduos individuais em cada peneiro indicado em conformidade com a especificação corresponderá no futuro a ± 50 % rel. O valor citado no n.º 1 de um mínimo de 5 % de pérolas refletoras deve ser sempre cumprido, ou seja, os 5 % devem ser cumpridos mesmo após a consideração da tolerância de 50 % dos resíduos individuais do peneiro correspondente. </w:t>
      </w:r>
    </w:p>
    <w:p w:rsidR="00B1266C" w:rsidRPr="003A38BA" w:rsidRDefault="00B1266C" w:rsidP="007C21AF">
      <w:pPr>
        <w:jc w:val="both"/>
        <w:rPr>
          <w:snapToGrid w:val="0"/>
          <w:sz w:val="24"/>
        </w:rPr>
      </w:pPr>
    </w:p>
    <w:p w:rsidR="00B1266C" w:rsidRPr="003A38BA" w:rsidRDefault="00B1266C" w:rsidP="007C21AF">
      <w:pPr>
        <w:ind w:left="360" w:firstLine="0"/>
        <w:jc w:val="both"/>
        <w:rPr>
          <w:snapToGrid w:val="0"/>
          <w:sz w:val="24"/>
        </w:rPr>
      </w:pPr>
      <w:r>
        <w:rPr>
          <w:snapToGrid w:val="0"/>
          <w:sz w:val="24"/>
        </w:rPr>
        <w:t xml:space="preserve">Exemplo: Se no ensaio de aptidão forem determinados 30 g de resíduos no peneiro de 500 μm, o intervalo de tolerância situa-se entre 15 g e 45 g. Desse modo, deve garantir-se que as misturas de materiais de projeção fornecidas na prática são conformes com as misturas entregues ao laboratório de ensaio acreditado para o ensaio de aptidão, nos intervalos indicados. </w:t>
      </w:r>
    </w:p>
    <w:p w:rsidR="00B1266C" w:rsidRPr="003A38BA" w:rsidRDefault="00B1266C" w:rsidP="007C21AF">
      <w:pPr>
        <w:jc w:val="both"/>
        <w:rPr>
          <w:snapToGrid w:val="0"/>
          <w:sz w:val="24"/>
        </w:rPr>
      </w:pPr>
    </w:p>
    <w:p w:rsidR="00B1266C" w:rsidRPr="003A38BA" w:rsidRDefault="00B1266C" w:rsidP="007C21AF">
      <w:pPr>
        <w:numPr>
          <w:ilvl w:val="0"/>
          <w:numId w:val="11"/>
        </w:numPr>
        <w:jc w:val="both"/>
        <w:rPr>
          <w:snapToGrid w:val="0"/>
          <w:sz w:val="24"/>
        </w:rPr>
      </w:pPr>
      <w:r>
        <w:rPr>
          <w:snapToGrid w:val="0"/>
          <w:sz w:val="24"/>
        </w:rPr>
        <w:t xml:space="preserve">Para a amostragem no ensaio de aptidão, o próprio produtor é responsável por entregar uma amostra representativa ao laboratório de ensaio acreditado. Os materiais de projeção fornecidos pelo produtor para o ensaio de aptidão (por exemplo, um contentor de 25 kg) são divididos na dimensão necessária para o ensaio, com recurso a um divisor de 1/1. </w:t>
      </w:r>
    </w:p>
    <w:p w:rsidR="00B1266C" w:rsidRPr="003A38BA" w:rsidRDefault="00B1266C" w:rsidP="007C21AF">
      <w:pPr>
        <w:jc w:val="both"/>
        <w:rPr>
          <w:snapToGrid w:val="0"/>
          <w:sz w:val="24"/>
        </w:rPr>
      </w:pPr>
    </w:p>
    <w:p w:rsidR="00B1266C" w:rsidRPr="003A38BA" w:rsidRDefault="00B1266C" w:rsidP="007C21AF">
      <w:pPr>
        <w:numPr>
          <w:ilvl w:val="0"/>
          <w:numId w:val="11"/>
        </w:numPr>
        <w:jc w:val="both"/>
        <w:rPr>
          <w:snapToGrid w:val="0"/>
          <w:sz w:val="24"/>
        </w:rPr>
      </w:pPr>
      <w:r>
        <w:rPr>
          <w:snapToGrid w:val="0"/>
          <w:sz w:val="24"/>
        </w:rPr>
        <w:t>No nome comercial dos materiais de projeção só pode ser indicada a curva granulométrica efetivamente subjacente.</w:t>
      </w:r>
    </w:p>
    <w:sectPr w:rsidR="00B1266C" w:rsidRPr="003A38BA" w:rsidSect="00E6359B">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CA7" w:rsidRDefault="00C21CA7" w:rsidP="006D5959">
      <w:r>
        <w:separator/>
      </w:r>
    </w:p>
  </w:endnote>
  <w:endnote w:type="continuationSeparator" w:id="0">
    <w:p w:rsidR="00C21CA7" w:rsidRDefault="00C21CA7" w:rsidP="006D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Palatino Linotype"/>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8BA" w:rsidRDefault="003A38BA">
    <w:pPr>
      <w:tabs>
        <w:tab w:val="left" w:pos="3686"/>
      </w:tabs>
      <w:ind w:right="360"/>
      <w:rPr>
        <w:sz w:val="24"/>
      </w:rPr>
    </w:pPr>
    <w:r>
      <w:rPr>
        <w:sz w:val="24"/>
      </w:rPr>
      <w:fldChar w:fldCharType="begin"/>
    </w:r>
    <w:r>
      <w:rPr>
        <w:sz w:val="24"/>
      </w:rPr>
      <w:instrText xml:space="preserve"> PAGE </w:instrText>
    </w:r>
    <w:r>
      <w:rPr>
        <w:sz w:val="24"/>
      </w:rPr>
      <w:fldChar w:fldCharType="separate"/>
    </w:r>
    <w:r>
      <w:rPr>
        <w:noProof/>
        <w:sz w:val="24"/>
      </w:rPr>
      <w:t>XXIV</w:t>
    </w:r>
    <w:r>
      <w:rPr>
        <w:sz w:val="24"/>
      </w:rPr>
      <w:fldChar w:fldCharType="end"/>
    </w:r>
    <w:r>
      <w:tab/>
    </w:r>
    <w:r>
      <w:rPr>
        <w:sz w:val="24"/>
      </w:rPr>
      <w:t>Projeto de junho de 1997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CA7" w:rsidRDefault="00C21CA7" w:rsidP="006D5959">
      <w:r>
        <w:separator/>
      </w:r>
    </w:p>
  </w:footnote>
  <w:footnote w:type="continuationSeparator" w:id="0">
    <w:p w:rsidR="00C21CA7" w:rsidRDefault="00C21CA7" w:rsidP="006D5959">
      <w:r>
        <w:continuationSeparator/>
      </w:r>
    </w:p>
  </w:footnote>
  <w:footnote w:id="1">
    <w:p w:rsidR="003A38BA" w:rsidRDefault="003A38BA" w:rsidP="003E3497">
      <w:pPr>
        <w:spacing w:after="120"/>
        <w:ind w:left="0" w:firstLine="0"/>
      </w:pPr>
      <w:r>
        <w:rPr>
          <w:rStyle w:val="FootnoteReference"/>
        </w:rPr>
        <w:footnoteRef/>
      </w:r>
      <w:r>
        <w:t xml:space="preserve"> Os métodos de aplicação citados podem ser marcas comerciais registadas ou estar sujeitos a proteção dos modelos de utilidade.</w:t>
      </w:r>
    </w:p>
  </w:footnote>
  <w:footnote w:id="2">
    <w:p w:rsidR="003A38BA" w:rsidRDefault="003A38BA" w:rsidP="003E3497">
      <w:pPr>
        <w:spacing w:after="120"/>
        <w:ind w:left="0" w:firstLine="0"/>
      </w:pPr>
      <w:r>
        <w:rPr>
          <w:rStyle w:val="FootnoteReference"/>
        </w:rPr>
        <w:footnoteRef/>
      </w:r>
      <w:r>
        <w:t xml:space="preserve"> O tempo de secagem até atingir a capacidade de suporte da rolagem depende, entre outros aspetos, das condições meteorológicas e da quantidade de aplicação do material. O tempo de secagem alcançado no laboratório até atingir a capacidade de suporte da rolagem não pode ser encarado como garantia para o tempo de secagem nas condições a verificar na prática.</w:t>
      </w:r>
    </w:p>
  </w:footnote>
  <w:footnote w:id="3">
    <w:p w:rsidR="003A38BA" w:rsidRDefault="003A38BA" w:rsidP="001D4247">
      <w:pPr>
        <w:spacing w:after="120"/>
        <w:ind w:left="0" w:firstLine="0"/>
      </w:pPr>
      <w:r>
        <w:rPr>
          <w:vertAlign w:val="superscript"/>
        </w:rPr>
        <w:footnoteRef/>
      </w:r>
      <w:r>
        <w:t xml:space="preserve"> Os pneus gastos são substituídos durante o ensaio.</w:t>
      </w:r>
    </w:p>
  </w:footnote>
  <w:footnote w:id="4">
    <w:p w:rsidR="003A38BA" w:rsidRDefault="003A38BA" w:rsidP="001D4247">
      <w:pPr>
        <w:spacing w:after="120"/>
        <w:ind w:left="0" w:firstLine="0"/>
      </w:pPr>
      <w:r>
        <w:rPr>
          <w:vertAlign w:val="superscript"/>
        </w:rPr>
        <w:footnoteRef/>
      </w:r>
      <w:r>
        <w:t xml:space="preserve"> Ambas as normas deverão ser unificadas no futuro. Os materiais de projeção e (futuramente) os corpos de pré-mistura só podem ser aplicados se tiverem marcação CE.</w:t>
      </w:r>
    </w:p>
  </w:footnote>
  <w:footnote w:id="5">
    <w:p w:rsidR="003A38BA" w:rsidRDefault="003A38BA" w:rsidP="001D4247">
      <w:pPr>
        <w:spacing w:after="120"/>
        <w:ind w:left="0" w:firstLine="0"/>
      </w:pPr>
      <w:r>
        <w:rPr>
          <w:vertAlign w:val="superscript"/>
        </w:rPr>
        <w:footnoteRef/>
      </w:r>
      <w:r>
        <w:t xml:space="preserve"> Base: Acordo entre o Instituto Federal de Investigação Rodoviária (BASt), os produtores de esferas e a DSGS em Bergisch-Gladbach e Braunlage, em agosto de 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8BA" w:rsidRDefault="003A38BA">
    <w:pPr>
      <w:jc w:val="center"/>
      <w:rPr>
        <w:sz w:val="24"/>
      </w:rPr>
    </w:pPr>
    <w:r>
      <w:rPr>
        <w:sz w:val="24"/>
      </w:rPr>
      <w:t>TL-M 97</w:t>
    </w:r>
  </w:p>
  <w:p w:rsidR="003A38BA" w:rsidRDefault="003A38BA">
    <w:pP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50699"/>
      <w:docPartObj>
        <w:docPartGallery w:val="Page Numbers (Top of Page)"/>
        <w:docPartUnique/>
      </w:docPartObj>
    </w:sdtPr>
    <w:sdtEndPr/>
    <w:sdtContent>
      <w:p w:rsidR="003A38BA" w:rsidRPr="00C427EB" w:rsidRDefault="003A38BA">
        <w:pPr>
          <w:pStyle w:val="Header"/>
          <w:jc w:val="center"/>
        </w:pPr>
        <w:r>
          <w:fldChar w:fldCharType="begin"/>
        </w:r>
        <w:r>
          <w:instrText xml:space="preserve"> PAGE  \* Arabic  \* MERGEFORMAT </w:instrText>
        </w:r>
        <w:r>
          <w:fldChar w:fldCharType="separate"/>
        </w:r>
        <w:r w:rsidR="009574DB">
          <w:rPr>
            <w:noProof/>
          </w:rPr>
          <w:t>2</w:t>
        </w:r>
        <w:r>
          <w:rPr>
            <w:noProof/>
          </w:rPr>
          <w:fldChar w:fldCharType="end"/>
        </w:r>
      </w:p>
    </w:sdtContent>
  </w:sdt>
  <w:p w:rsidR="003A38BA" w:rsidRDefault="003A38B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8BA" w:rsidRDefault="003A38BA" w:rsidP="00B032BC">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42298F0"/>
    <w:lvl w:ilvl="0">
      <w:start w:val="1"/>
      <w:numFmt w:val="decimal"/>
      <w:lvlText w:val="%1."/>
      <w:lvlJc w:val="left"/>
      <w:rPr>
        <w:rFonts w:asciiTheme="minorHAnsi" w:hAnsiTheme="minorHAnsi" w:cs="Arial" w:hint="default"/>
        <w:b/>
        <w:bCs/>
        <w:i w:val="0"/>
        <w:iCs w:val="0"/>
        <w:smallCaps w:val="0"/>
        <w:strike w:val="0"/>
        <w:color w:val="000000"/>
        <w:spacing w:val="0"/>
        <w:w w:val="100"/>
        <w:position w:val="0"/>
        <w:sz w:val="22"/>
        <w:szCs w:val="22"/>
        <w:u w:val="none"/>
      </w:rPr>
    </w:lvl>
    <w:lvl w:ilvl="1">
      <w:start w:val="1"/>
      <w:numFmt w:val="decimal"/>
      <w:lvlText w:val="%1.%2"/>
      <w:lvlJc w:val="left"/>
    </w:lvl>
    <w:lvl w:ilvl="2">
      <w:start w:val="1"/>
      <w:numFmt w:val="decimal"/>
      <w:lvlText w:val="%1.%2"/>
      <w:lvlJc w:val="left"/>
    </w:lvl>
    <w:lvl w:ilvl="3">
      <w:start w:val="1"/>
      <w:numFmt w:val="decimal"/>
      <w:lvlText w:val="%1.%2"/>
      <w:lvlJc w:val="left"/>
    </w:lvl>
    <w:lvl w:ilvl="4">
      <w:start w:val="1"/>
      <w:numFmt w:val="decimal"/>
      <w:lvlText w:val="%1.%2"/>
      <w:lvlJc w:val="left"/>
    </w:lvl>
    <w:lvl w:ilvl="5">
      <w:start w:val="1"/>
      <w:numFmt w:val="decimal"/>
      <w:lvlText w:val="%1.%2"/>
      <w:lvlJc w:val="left"/>
    </w:lvl>
    <w:lvl w:ilvl="6">
      <w:start w:val="1"/>
      <w:numFmt w:val="decimal"/>
      <w:lvlText w:val="%1.%2"/>
      <w:lvlJc w:val="left"/>
    </w:lvl>
    <w:lvl w:ilvl="7">
      <w:start w:val="1"/>
      <w:numFmt w:val="decimal"/>
      <w:lvlText w:val="%1.%2"/>
      <w:lvlJc w:val="left"/>
    </w:lvl>
    <w:lvl w:ilvl="8">
      <w:start w:val="1"/>
      <w:numFmt w:val="decimal"/>
      <w:lvlText w:val="%1.%2"/>
      <w:lvlJc w:val="left"/>
    </w:lvl>
  </w:abstractNum>
  <w:abstractNum w:abstractNumId="1" w15:restartNumberingAfterBreak="0">
    <w:nsid w:val="06970E6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497AD5"/>
    <w:multiLevelType w:val="hybridMultilevel"/>
    <w:tmpl w:val="0CE87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791D78"/>
    <w:multiLevelType w:val="singleLevel"/>
    <w:tmpl w:val="99C23CA6"/>
    <w:lvl w:ilvl="0">
      <w:start w:val="7"/>
      <w:numFmt w:val="bullet"/>
      <w:pStyle w:val="SP1"/>
      <w:lvlText w:val="-"/>
      <w:lvlJc w:val="left"/>
      <w:pPr>
        <w:tabs>
          <w:tab w:val="num" w:pos="1069"/>
        </w:tabs>
        <w:ind w:left="1069" w:hanging="360"/>
      </w:pPr>
      <w:rPr>
        <w:rFonts w:hint="default"/>
      </w:rPr>
    </w:lvl>
  </w:abstractNum>
  <w:abstractNum w:abstractNumId="4" w15:restartNumberingAfterBreak="0">
    <w:nsid w:val="268D19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93F200C"/>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C41C1F"/>
    <w:multiLevelType w:val="multilevel"/>
    <w:tmpl w:val="993E88FE"/>
    <w:lvl w:ilvl="0">
      <w:start w:val="1"/>
      <w:numFmt w:val="decimal"/>
      <w:lvlText w:val="%1."/>
      <w:lvlJc w:val="left"/>
      <w:pPr>
        <w:ind w:left="360" w:hanging="360"/>
      </w:pPr>
      <w:rPr>
        <w:rFonts w:asciiTheme="minorHAnsi" w:hAnsiTheme="minorHAnsi" w:hint="default"/>
      </w:rPr>
    </w:lvl>
    <w:lvl w:ilvl="1">
      <w:start w:val="1"/>
      <w:numFmt w:val="decimal"/>
      <w:lvlText w:val="%1.%2."/>
      <w:lvlJc w:val="left"/>
      <w:pPr>
        <w:ind w:left="792" w:hanging="432"/>
      </w:pPr>
      <w:rPr>
        <w:rFonts w:asciiTheme="minorHAnsi" w:hAnsiTheme="minorHAnsi" w:hint="default"/>
      </w:rPr>
    </w:lvl>
    <w:lvl w:ilvl="2">
      <w:start w:val="1"/>
      <w:numFmt w:val="decimal"/>
      <w:lvlText w:val="%1.%2.%3."/>
      <w:lvlJc w:val="left"/>
      <w:pPr>
        <w:ind w:left="1224" w:hanging="504"/>
      </w:pPr>
      <w:rPr>
        <w:rFonts w:asciiTheme="minorHAnsi" w:hAnsiTheme="min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01412C"/>
    <w:multiLevelType w:val="multilevel"/>
    <w:tmpl w:val="993E88FE"/>
    <w:lvl w:ilvl="0">
      <w:start w:val="1"/>
      <w:numFmt w:val="decimal"/>
      <w:lvlText w:val="%1."/>
      <w:lvlJc w:val="left"/>
      <w:pPr>
        <w:ind w:left="360" w:hanging="360"/>
      </w:pPr>
      <w:rPr>
        <w:rFonts w:asciiTheme="minorHAnsi" w:hAnsiTheme="minorHAnsi" w:hint="default"/>
      </w:rPr>
    </w:lvl>
    <w:lvl w:ilvl="1">
      <w:start w:val="1"/>
      <w:numFmt w:val="decimal"/>
      <w:lvlText w:val="%1.%2."/>
      <w:lvlJc w:val="left"/>
      <w:pPr>
        <w:ind w:left="792" w:hanging="432"/>
      </w:pPr>
      <w:rPr>
        <w:rFonts w:asciiTheme="minorHAnsi" w:hAnsiTheme="minorHAnsi" w:hint="default"/>
      </w:rPr>
    </w:lvl>
    <w:lvl w:ilvl="2">
      <w:start w:val="1"/>
      <w:numFmt w:val="decimal"/>
      <w:lvlText w:val="%1.%2.%3."/>
      <w:lvlJc w:val="left"/>
      <w:pPr>
        <w:ind w:left="1224" w:hanging="504"/>
      </w:pPr>
      <w:rPr>
        <w:rFonts w:asciiTheme="minorHAnsi" w:hAnsiTheme="min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8612EFE"/>
    <w:multiLevelType w:val="hybridMultilevel"/>
    <w:tmpl w:val="074C60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94417DB"/>
    <w:multiLevelType w:val="singleLevel"/>
    <w:tmpl w:val="0407000F"/>
    <w:lvl w:ilvl="0">
      <w:start w:val="1"/>
      <w:numFmt w:val="decimal"/>
      <w:lvlText w:val="%1."/>
      <w:lvlJc w:val="left"/>
      <w:pPr>
        <w:tabs>
          <w:tab w:val="num" w:pos="360"/>
        </w:tabs>
        <w:ind w:left="360" w:hanging="360"/>
      </w:pPr>
      <w:rPr>
        <w:rFonts w:hint="default"/>
      </w:rPr>
    </w:lvl>
  </w:abstractNum>
  <w:abstractNum w:abstractNumId="10" w15:restartNumberingAfterBreak="0">
    <w:nsid w:val="3D702589"/>
    <w:multiLevelType w:val="singleLevel"/>
    <w:tmpl w:val="E8F485B0"/>
    <w:lvl w:ilvl="0">
      <w:start w:val="1"/>
      <w:numFmt w:val="bullet"/>
      <w:pStyle w:val="-Einzug1"/>
      <w:lvlText w:val="-"/>
      <w:lvlJc w:val="left"/>
      <w:pPr>
        <w:tabs>
          <w:tab w:val="num" w:pos="360"/>
        </w:tabs>
        <w:ind w:left="284" w:hanging="284"/>
      </w:pPr>
      <w:rPr>
        <w:rFonts w:ascii="Times New Roman" w:hAnsi="Times New Roman" w:hint="default"/>
        <w:b/>
        <w:i w:val="0"/>
        <w:sz w:val="24"/>
      </w:rPr>
    </w:lvl>
  </w:abstractNum>
  <w:abstractNum w:abstractNumId="11" w15:restartNumberingAfterBreak="0">
    <w:nsid w:val="48790F9C"/>
    <w:multiLevelType w:val="multilevel"/>
    <w:tmpl w:val="993E88FE"/>
    <w:lvl w:ilvl="0">
      <w:start w:val="1"/>
      <w:numFmt w:val="decimal"/>
      <w:lvlText w:val="%1."/>
      <w:lvlJc w:val="left"/>
      <w:pPr>
        <w:ind w:left="360" w:hanging="360"/>
      </w:pPr>
      <w:rPr>
        <w:rFonts w:asciiTheme="minorHAnsi" w:hAnsiTheme="minorHAnsi" w:hint="default"/>
      </w:rPr>
    </w:lvl>
    <w:lvl w:ilvl="1">
      <w:start w:val="1"/>
      <w:numFmt w:val="decimal"/>
      <w:lvlText w:val="%1.%2."/>
      <w:lvlJc w:val="left"/>
      <w:pPr>
        <w:ind w:left="792" w:hanging="432"/>
      </w:pPr>
      <w:rPr>
        <w:rFonts w:asciiTheme="minorHAnsi" w:hAnsiTheme="minorHAnsi" w:hint="default"/>
      </w:rPr>
    </w:lvl>
    <w:lvl w:ilvl="2">
      <w:start w:val="1"/>
      <w:numFmt w:val="decimal"/>
      <w:lvlText w:val="%1.%2.%3."/>
      <w:lvlJc w:val="left"/>
      <w:pPr>
        <w:ind w:left="1224" w:hanging="504"/>
      </w:pPr>
      <w:rPr>
        <w:rFonts w:asciiTheme="minorHAnsi" w:hAnsiTheme="min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7452F67"/>
    <w:multiLevelType w:val="hybridMultilevel"/>
    <w:tmpl w:val="F47E25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41620C"/>
    <w:multiLevelType w:val="singleLevel"/>
    <w:tmpl w:val="04070011"/>
    <w:lvl w:ilvl="0">
      <w:start w:val="1"/>
      <w:numFmt w:val="decimal"/>
      <w:lvlText w:val="%1)"/>
      <w:lvlJc w:val="left"/>
      <w:pPr>
        <w:tabs>
          <w:tab w:val="num" w:pos="360"/>
        </w:tabs>
        <w:ind w:left="360" w:hanging="360"/>
      </w:pPr>
      <w:rPr>
        <w:rFonts w:hint="default"/>
      </w:rPr>
    </w:lvl>
  </w:abstractNum>
  <w:abstractNum w:abstractNumId="14" w15:restartNumberingAfterBreak="0">
    <w:nsid w:val="6D860D0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4484C2B"/>
    <w:multiLevelType w:val="hybridMultilevel"/>
    <w:tmpl w:val="BAB2AC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
  </w:num>
  <w:num w:numId="4">
    <w:abstractNumId w:val="4"/>
  </w:num>
  <w:num w:numId="5">
    <w:abstractNumId w:val="7"/>
  </w:num>
  <w:num w:numId="6">
    <w:abstractNumId w:val="3"/>
  </w:num>
  <w:num w:numId="7">
    <w:abstractNumId w:val="13"/>
  </w:num>
  <w:num w:numId="8">
    <w:abstractNumId w:val="11"/>
  </w:num>
  <w:num w:numId="9">
    <w:abstractNumId w:val="6"/>
  </w:num>
  <w:num w:numId="10">
    <w:abstractNumId w:val="10"/>
  </w:num>
  <w:num w:numId="11">
    <w:abstractNumId w:val="9"/>
  </w:num>
  <w:num w:numId="12">
    <w:abstractNumId w:val="15"/>
  </w:num>
  <w:num w:numId="13">
    <w:abstractNumId w:val="8"/>
  </w:num>
  <w:num w:numId="14">
    <w:abstractNumId w:val="2"/>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HyphenateCaps/>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96"/>
    <w:rsid w:val="00001AF1"/>
    <w:rsid w:val="0000718D"/>
    <w:rsid w:val="00012C48"/>
    <w:rsid w:val="00032E7A"/>
    <w:rsid w:val="00036B48"/>
    <w:rsid w:val="000503D0"/>
    <w:rsid w:val="00061E4E"/>
    <w:rsid w:val="0006290A"/>
    <w:rsid w:val="0006557A"/>
    <w:rsid w:val="00065E75"/>
    <w:rsid w:val="00067037"/>
    <w:rsid w:val="0006760D"/>
    <w:rsid w:val="00070660"/>
    <w:rsid w:val="000766A6"/>
    <w:rsid w:val="00080A86"/>
    <w:rsid w:val="000923BB"/>
    <w:rsid w:val="000A474A"/>
    <w:rsid w:val="000A5A3C"/>
    <w:rsid w:val="000B2B83"/>
    <w:rsid w:val="000B4B23"/>
    <w:rsid w:val="000B6380"/>
    <w:rsid w:val="000B73D7"/>
    <w:rsid w:val="000D47B9"/>
    <w:rsid w:val="000D5BC9"/>
    <w:rsid w:val="000D70C0"/>
    <w:rsid w:val="000E20DE"/>
    <w:rsid w:val="000E4514"/>
    <w:rsid w:val="000F7E81"/>
    <w:rsid w:val="001001BF"/>
    <w:rsid w:val="00155580"/>
    <w:rsid w:val="00161FD3"/>
    <w:rsid w:val="00193098"/>
    <w:rsid w:val="00197249"/>
    <w:rsid w:val="001A4BD1"/>
    <w:rsid w:val="001B12A8"/>
    <w:rsid w:val="001B4E56"/>
    <w:rsid w:val="001C2543"/>
    <w:rsid w:val="001C7094"/>
    <w:rsid w:val="001D17DA"/>
    <w:rsid w:val="001D4247"/>
    <w:rsid w:val="001E3D7B"/>
    <w:rsid w:val="001E5919"/>
    <w:rsid w:val="001E6414"/>
    <w:rsid w:val="001F5C99"/>
    <w:rsid w:val="002100A4"/>
    <w:rsid w:val="00216013"/>
    <w:rsid w:val="002210B7"/>
    <w:rsid w:val="00232406"/>
    <w:rsid w:val="00234C80"/>
    <w:rsid w:val="0023536B"/>
    <w:rsid w:val="00240E0D"/>
    <w:rsid w:val="00246D88"/>
    <w:rsid w:val="00251683"/>
    <w:rsid w:val="00260651"/>
    <w:rsid w:val="00261DE1"/>
    <w:rsid w:val="0026750D"/>
    <w:rsid w:val="00284C37"/>
    <w:rsid w:val="0029168C"/>
    <w:rsid w:val="002A210D"/>
    <w:rsid w:val="002A3614"/>
    <w:rsid w:val="002B2FD2"/>
    <w:rsid w:val="002C0BE7"/>
    <w:rsid w:val="002D65D1"/>
    <w:rsid w:val="002D70B1"/>
    <w:rsid w:val="003000D1"/>
    <w:rsid w:val="003114C1"/>
    <w:rsid w:val="0031501F"/>
    <w:rsid w:val="00324B33"/>
    <w:rsid w:val="0033608C"/>
    <w:rsid w:val="00337B4D"/>
    <w:rsid w:val="00345447"/>
    <w:rsid w:val="003456A9"/>
    <w:rsid w:val="003459E2"/>
    <w:rsid w:val="003508CA"/>
    <w:rsid w:val="00370F4D"/>
    <w:rsid w:val="00380189"/>
    <w:rsid w:val="003850FD"/>
    <w:rsid w:val="003876E5"/>
    <w:rsid w:val="0039084B"/>
    <w:rsid w:val="003916B9"/>
    <w:rsid w:val="003956F3"/>
    <w:rsid w:val="003A38BA"/>
    <w:rsid w:val="003A401B"/>
    <w:rsid w:val="003B1252"/>
    <w:rsid w:val="003B7C76"/>
    <w:rsid w:val="003D219A"/>
    <w:rsid w:val="003D5920"/>
    <w:rsid w:val="003E1828"/>
    <w:rsid w:val="003E3497"/>
    <w:rsid w:val="003F610E"/>
    <w:rsid w:val="003F6C43"/>
    <w:rsid w:val="0040352A"/>
    <w:rsid w:val="004056B0"/>
    <w:rsid w:val="0040636B"/>
    <w:rsid w:val="00407B63"/>
    <w:rsid w:val="00414363"/>
    <w:rsid w:val="004268BA"/>
    <w:rsid w:val="0043206D"/>
    <w:rsid w:val="004463AF"/>
    <w:rsid w:val="00451DF6"/>
    <w:rsid w:val="00456905"/>
    <w:rsid w:val="00461B5C"/>
    <w:rsid w:val="00463F9F"/>
    <w:rsid w:val="0046509B"/>
    <w:rsid w:val="0047073B"/>
    <w:rsid w:val="00474AFB"/>
    <w:rsid w:val="00491BD3"/>
    <w:rsid w:val="00491D31"/>
    <w:rsid w:val="00493616"/>
    <w:rsid w:val="004939B5"/>
    <w:rsid w:val="00495D5C"/>
    <w:rsid w:val="00495E9A"/>
    <w:rsid w:val="00497E24"/>
    <w:rsid w:val="004A2F9C"/>
    <w:rsid w:val="004A64FC"/>
    <w:rsid w:val="004B3430"/>
    <w:rsid w:val="004C2F96"/>
    <w:rsid w:val="004C32A6"/>
    <w:rsid w:val="004D297E"/>
    <w:rsid w:val="004D7F92"/>
    <w:rsid w:val="004E0137"/>
    <w:rsid w:val="004E3D16"/>
    <w:rsid w:val="004E5314"/>
    <w:rsid w:val="004F03F3"/>
    <w:rsid w:val="004F79C9"/>
    <w:rsid w:val="0052348C"/>
    <w:rsid w:val="00523ACA"/>
    <w:rsid w:val="00532584"/>
    <w:rsid w:val="00535C9C"/>
    <w:rsid w:val="00536458"/>
    <w:rsid w:val="0054039D"/>
    <w:rsid w:val="005517CE"/>
    <w:rsid w:val="00555159"/>
    <w:rsid w:val="00555609"/>
    <w:rsid w:val="00556442"/>
    <w:rsid w:val="00572C20"/>
    <w:rsid w:val="00577F38"/>
    <w:rsid w:val="00583621"/>
    <w:rsid w:val="00586DCF"/>
    <w:rsid w:val="005A00AC"/>
    <w:rsid w:val="005A16A6"/>
    <w:rsid w:val="005C6B21"/>
    <w:rsid w:val="005D19E0"/>
    <w:rsid w:val="005D220F"/>
    <w:rsid w:val="005E003F"/>
    <w:rsid w:val="005E2477"/>
    <w:rsid w:val="005F2E9C"/>
    <w:rsid w:val="00601938"/>
    <w:rsid w:val="00613B11"/>
    <w:rsid w:val="006163DC"/>
    <w:rsid w:val="00617E85"/>
    <w:rsid w:val="00622AB2"/>
    <w:rsid w:val="00627B64"/>
    <w:rsid w:val="006360BD"/>
    <w:rsid w:val="00637513"/>
    <w:rsid w:val="00641E3F"/>
    <w:rsid w:val="00667BC9"/>
    <w:rsid w:val="00686B2A"/>
    <w:rsid w:val="00686F87"/>
    <w:rsid w:val="006A1970"/>
    <w:rsid w:val="006A49B7"/>
    <w:rsid w:val="006B0519"/>
    <w:rsid w:val="006B20FC"/>
    <w:rsid w:val="006B2947"/>
    <w:rsid w:val="006B7393"/>
    <w:rsid w:val="006C1677"/>
    <w:rsid w:val="006D53B5"/>
    <w:rsid w:val="006D550B"/>
    <w:rsid w:val="006D5959"/>
    <w:rsid w:val="006E1AD5"/>
    <w:rsid w:val="006E2886"/>
    <w:rsid w:val="006E6FB8"/>
    <w:rsid w:val="006F0F26"/>
    <w:rsid w:val="006F1C15"/>
    <w:rsid w:val="00701E9D"/>
    <w:rsid w:val="00706B86"/>
    <w:rsid w:val="007114CC"/>
    <w:rsid w:val="007135E3"/>
    <w:rsid w:val="00721638"/>
    <w:rsid w:val="00735CC5"/>
    <w:rsid w:val="00751BDA"/>
    <w:rsid w:val="007669FF"/>
    <w:rsid w:val="00787559"/>
    <w:rsid w:val="007947D9"/>
    <w:rsid w:val="007A0D55"/>
    <w:rsid w:val="007A4431"/>
    <w:rsid w:val="007A6695"/>
    <w:rsid w:val="007B668F"/>
    <w:rsid w:val="007B7AA0"/>
    <w:rsid w:val="007C21AF"/>
    <w:rsid w:val="007C3407"/>
    <w:rsid w:val="007D17A9"/>
    <w:rsid w:val="007D47E3"/>
    <w:rsid w:val="007D7849"/>
    <w:rsid w:val="007E35A9"/>
    <w:rsid w:val="007F44BC"/>
    <w:rsid w:val="007F561A"/>
    <w:rsid w:val="00804889"/>
    <w:rsid w:val="00831389"/>
    <w:rsid w:val="008432F4"/>
    <w:rsid w:val="00853381"/>
    <w:rsid w:val="008565E3"/>
    <w:rsid w:val="00877D4B"/>
    <w:rsid w:val="00880195"/>
    <w:rsid w:val="0088418C"/>
    <w:rsid w:val="00886145"/>
    <w:rsid w:val="0088638C"/>
    <w:rsid w:val="00895817"/>
    <w:rsid w:val="00896968"/>
    <w:rsid w:val="0089768F"/>
    <w:rsid w:val="008A7AD1"/>
    <w:rsid w:val="008A7F1E"/>
    <w:rsid w:val="008B34BA"/>
    <w:rsid w:val="008B4E60"/>
    <w:rsid w:val="008C0573"/>
    <w:rsid w:val="008C55C5"/>
    <w:rsid w:val="008C64DB"/>
    <w:rsid w:val="008D2005"/>
    <w:rsid w:val="008D2830"/>
    <w:rsid w:val="008E3054"/>
    <w:rsid w:val="008E78CF"/>
    <w:rsid w:val="008E7BF5"/>
    <w:rsid w:val="008E7F3E"/>
    <w:rsid w:val="008F3D75"/>
    <w:rsid w:val="00904336"/>
    <w:rsid w:val="009159E9"/>
    <w:rsid w:val="00921E13"/>
    <w:rsid w:val="00923466"/>
    <w:rsid w:val="0093336E"/>
    <w:rsid w:val="0093465E"/>
    <w:rsid w:val="0094411F"/>
    <w:rsid w:val="00946519"/>
    <w:rsid w:val="00946AE5"/>
    <w:rsid w:val="00947FA2"/>
    <w:rsid w:val="00947FC8"/>
    <w:rsid w:val="009574DB"/>
    <w:rsid w:val="00962976"/>
    <w:rsid w:val="0096344E"/>
    <w:rsid w:val="00965E19"/>
    <w:rsid w:val="009700EB"/>
    <w:rsid w:val="00970203"/>
    <w:rsid w:val="009759A4"/>
    <w:rsid w:val="00992058"/>
    <w:rsid w:val="00993CFC"/>
    <w:rsid w:val="009A49D5"/>
    <w:rsid w:val="009C56A9"/>
    <w:rsid w:val="009D6ACE"/>
    <w:rsid w:val="009D7680"/>
    <w:rsid w:val="009E20AE"/>
    <w:rsid w:val="009E5CB3"/>
    <w:rsid w:val="009F1842"/>
    <w:rsid w:val="009F5F07"/>
    <w:rsid w:val="009F7F53"/>
    <w:rsid w:val="00A1060E"/>
    <w:rsid w:val="00A11530"/>
    <w:rsid w:val="00A13538"/>
    <w:rsid w:val="00A13EDC"/>
    <w:rsid w:val="00A2285F"/>
    <w:rsid w:val="00A34119"/>
    <w:rsid w:val="00A36652"/>
    <w:rsid w:val="00A37E2F"/>
    <w:rsid w:val="00A42ACC"/>
    <w:rsid w:val="00A503EF"/>
    <w:rsid w:val="00A61964"/>
    <w:rsid w:val="00A676DC"/>
    <w:rsid w:val="00A748BE"/>
    <w:rsid w:val="00A8750C"/>
    <w:rsid w:val="00A97961"/>
    <w:rsid w:val="00AC657B"/>
    <w:rsid w:val="00AD0691"/>
    <w:rsid w:val="00AD7468"/>
    <w:rsid w:val="00AE0CFD"/>
    <w:rsid w:val="00AE28B1"/>
    <w:rsid w:val="00AE4FF1"/>
    <w:rsid w:val="00AF00F2"/>
    <w:rsid w:val="00AF38A1"/>
    <w:rsid w:val="00AF66AF"/>
    <w:rsid w:val="00B031D0"/>
    <w:rsid w:val="00B032BC"/>
    <w:rsid w:val="00B04171"/>
    <w:rsid w:val="00B057A1"/>
    <w:rsid w:val="00B0600F"/>
    <w:rsid w:val="00B1266C"/>
    <w:rsid w:val="00B1758A"/>
    <w:rsid w:val="00B21B6B"/>
    <w:rsid w:val="00B2761F"/>
    <w:rsid w:val="00B303E9"/>
    <w:rsid w:val="00B324A1"/>
    <w:rsid w:val="00B3476D"/>
    <w:rsid w:val="00B356EB"/>
    <w:rsid w:val="00B521EE"/>
    <w:rsid w:val="00B53040"/>
    <w:rsid w:val="00B533DC"/>
    <w:rsid w:val="00B6273F"/>
    <w:rsid w:val="00B947D9"/>
    <w:rsid w:val="00BA17D6"/>
    <w:rsid w:val="00BB5BD5"/>
    <w:rsid w:val="00BB5DDD"/>
    <w:rsid w:val="00BC0D3C"/>
    <w:rsid w:val="00BC136D"/>
    <w:rsid w:val="00BC7497"/>
    <w:rsid w:val="00BD23B3"/>
    <w:rsid w:val="00BD3FCD"/>
    <w:rsid w:val="00BE1620"/>
    <w:rsid w:val="00BE3A89"/>
    <w:rsid w:val="00BE7065"/>
    <w:rsid w:val="00BF3220"/>
    <w:rsid w:val="00BF5E10"/>
    <w:rsid w:val="00C04DD6"/>
    <w:rsid w:val="00C05C4A"/>
    <w:rsid w:val="00C145F2"/>
    <w:rsid w:val="00C15AA5"/>
    <w:rsid w:val="00C21CA7"/>
    <w:rsid w:val="00C268D7"/>
    <w:rsid w:val="00C3226B"/>
    <w:rsid w:val="00C32DCC"/>
    <w:rsid w:val="00C34F3E"/>
    <w:rsid w:val="00C35B60"/>
    <w:rsid w:val="00C42545"/>
    <w:rsid w:val="00C427EB"/>
    <w:rsid w:val="00C527C1"/>
    <w:rsid w:val="00C61CCD"/>
    <w:rsid w:val="00C65458"/>
    <w:rsid w:val="00C8360F"/>
    <w:rsid w:val="00C94718"/>
    <w:rsid w:val="00CA0607"/>
    <w:rsid w:val="00CA2BC5"/>
    <w:rsid w:val="00CA745A"/>
    <w:rsid w:val="00CB4B8F"/>
    <w:rsid w:val="00CB64D4"/>
    <w:rsid w:val="00CB7F9F"/>
    <w:rsid w:val="00CC1B26"/>
    <w:rsid w:val="00CC39DC"/>
    <w:rsid w:val="00CC5EC9"/>
    <w:rsid w:val="00CD0A25"/>
    <w:rsid w:val="00CD3C24"/>
    <w:rsid w:val="00CE7EE5"/>
    <w:rsid w:val="00D00887"/>
    <w:rsid w:val="00D02C13"/>
    <w:rsid w:val="00D066FD"/>
    <w:rsid w:val="00D1262E"/>
    <w:rsid w:val="00D21166"/>
    <w:rsid w:val="00D3285B"/>
    <w:rsid w:val="00D336A7"/>
    <w:rsid w:val="00D44507"/>
    <w:rsid w:val="00D45948"/>
    <w:rsid w:val="00D473A7"/>
    <w:rsid w:val="00D47A42"/>
    <w:rsid w:val="00D518B6"/>
    <w:rsid w:val="00D54158"/>
    <w:rsid w:val="00D60C9B"/>
    <w:rsid w:val="00D65B9A"/>
    <w:rsid w:val="00D74A8B"/>
    <w:rsid w:val="00D763A9"/>
    <w:rsid w:val="00D77FEB"/>
    <w:rsid w:val="00D80F4C"/>
    <w:rsid w:val="00D82DF7"/>
    <w:rsid w:val="00D946EB"/>
    <w:rsid w:val="00D9642C"/>
    <w:rsid w:val="00D97E23"/>
    <w:rsid w:val="00DA5720"/>
    <w:rsid w:val="00DA60F8"/>
    <w:rsid w:val="00DC1470"/>
    <w:rsid w:val="00DE00FE"/>
    <w:rsid w:val="00DF3B72"/>
    <w:rsid w:val="00DF4A21"/>
    <w:rsid w:val="00DF53FE"/>
    <w:rsid w:val="00E146D8"/>
    <w:rsid w:val="00E15D8C"/>
    <w:rsid w:val="00E35384"/>
    <w:rsid w:val="00E355B8"/>
    <w:rsid w:val="00E46BBA"/>
    <w:rsid w:val="00E51F2A"/>
    <w:rsid w:val="00E54343"/>
    <w:rsid w:val="00E5609C"/>
    <w:rsid w:val="00E6359B"/>
    <w:rsid w:val="00E650EB"/>
    <w:rsid w:val="00E661CD"/>
    <w:rsid w:val="00E67C87"/>
    <w:rsid w:val="00E726CF"/>
    <w:rsid w:val="00E83FAC"/>
    <w:rsid w:val="00E954B3"/>
    <w:rsid w:val="00EA3CC1"/>
    <w:rsid w:val="00EA5AF6"/>
    <w:rsid w:val="00EB1650"/>
    <w:rsid w:val="00EB7072"/>
    <w:rsid w:val="00EB7D09"/>
    <w:rsid w:val="00EC3056"/>
    <w:rsid w:val="00F06298"/>
    <w:rsid w:val="00F13A86"/>
    <w:rsid w:val="00F24962"/>
    <w:rsid w:val="00F349C5"/>
    <w:rsid w:val="00F3733E"/>
    <w:rsid w:val="00F423F6"/>
    <w:rsid w:val="00F478B0"/>
    <w:rsid w:val="00F60D51"/>
    <w:rsid w:val="00F61B48"/>
    <w:rsid w:val="00F630F0"/>
    <w:rsid w:val="00F653D9"/>
    <w:rsid w:val="00F653E7"/>
    <w:rsid w:val="00F657B0"/>
    <w:rsid w:val="00F71794"/>
    <w:rsid w:val="00F7349F"/>
    <w:rsid w:val="00F77BC2"/>
    <w:rsid w:val="00F80870"/>
    <w:rsid w:val="00F82ED3"/>
    <w:rsid w:val="00F95161"/>
    <w:rsid w:val="00F9526A"/>
    <w:rsid w:val="00FA1D3F"/>
    <w:rsid w:val="00FB4E45"/>
    <w:rsid w:val="00FC3F19"/>
    <w:rsid w:val="00FC4346"/>
    <w:rsid w:val="00FC457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1B0875-B1A8-4EAB-B189-F4FF1251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pt-PT" w:bidi="pt-PT"/>
      </w:rPr>
    </w:rPrDefault>
    <w:pPrDefault>
      <w:pPr>
        <w:ind w:left="357" w:hanging="357"/>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7A1"/>
  </w:style>
  <w:style w:type="paragraph" w:styleId="Heading1">
    <w:name w:val="heading 1"/>
    <w:basedOn w:val="Normal"/>
    <w:next w:val="Normal"/>
    <w:link w:val="Heading1Char"/>
    <w:qFormat/>
    <w:rsid w:val="003360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CB64D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CB64D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B64D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CB64D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autoRedefine/>
    <w:qFormat/>
    <w:rsid w:val="00A13EDC"/>
    <w:pPr>
      <w:keepNext/>
      <w:tabs>
        <w:tab w:val="num" w:pos="1152"/>
      </w:tabs>
      <w:spacing w:before="120" w:after="80"/>
      <w:ind w:left="1152" w:hanging="1152"/>
      <w:outlineLvl w:val="5"/>
    </w:pPr>
    <w:rPr>
      <w:rFonts w:ascii="Times New Roman" w:eastAsia="Times New Roman" w:hAnsi="Times New Roman" w:cs="Times New Roman"/>
      <w:b/>
      <w:kern w:val="28"/>
      <w:sz w:val="20"/>
      <w:szCs w:val="20"/>
    </w:rPr>
  </w:style>
  <w:style w:type="paragraph" w:styleId="Heading7">
    <w:name w:val="heading 7"/>
    <w:basedOn w:val="Normal"/>
    <w:next w:val="Normal"/>
    <w:link w:val="Heading7Char"/>
    <w:qFormat/>
    <w:rsid w:val="00A13EDC"/>
    <w:pPr>
      <w:keepNext/>
      <w:tabs>
        <w:tab w:val="num" w:pos="1296"/>
      </w:tabs>
      <w:spacing w:before="80" w:after="60"/>
      <w:ind w:left="1296" w:hanging="1296"/>
      <w:outlineLvl w:val="6"/>
    </w:pPr>
    <w:rPr>
      <w:rFonts w:ascii="Times New Roman" w:eastAsia="Times New Roman" w:hAnsi="Times New Roman" w:cs="Times New Roman"/>
      <w:b/>
      <w:kern w:val="28"/>
      <w:sz w:val="20"/>
      <w:szCs w:val="20"/>
    </w:rPr>
  </w:style>
  <w:style w:type="paragraph" w:styleId="Heading8">
    <w:name w:val="heading 8"/>
    <w:basedOn w:val="Normal"/>
    <w:next w:val="Normal"/>
    <w:link w:val="Heading8Char"/>
    <w:qFormat/>
    <w:rsid w:val="00A13EDC"/>
    <w:pPr>
      <w:keepNext/>
      <w:tabs>
        <w:tab w:val="num" w:pos="1440"/>
      </w:tabs>
      <w:spacing w:before="80" w:after="60"/>
      <w:ind w:left="1440" w:hanging="1440"/>
      <w:outlineLvl w:val="7"/>
    </w:pPr>
    <w:rPr>
      <w:rFonts w:ascii="Times New Roman" w:eastAsia="Times New Roman" w:hAnsi="Times New Roman" w:cs="Times New Roman"/>
      <w:b/>
      <w:i/>
      <w:kern w:val="28"/>
      <w:sz w:val="20"/>
      <w:szCs w:val="20"/>
    </w:rPr>
  </w:style>
  <w:style w:type="paragraph" w:styleId="Heading9">
    <w:name w:val="heading 9"/>
    <w:basedOn w:val="Normal"/>
    <w:next w:val="Normal"/>
    <w:link w:val="Heading9Char"/>
    <w:qFormat/>
    <w:rsid w:val="00A13EDC"/>
    <w:pPr>
      <w:keepNext/>
      <w:tabs>
        <w:tab w:val="num" w:pos="1584"/>
      </w:tabs>
      <w:spacing w:before="80" w:after="60"/>
      <w:ind w:left="1584" w:hanging="1584"/>
      <w:outlineLvl w:val="8"/>
    </w:pPr>
    <w:rPr>
      <w:rFonts w:ascii="Times New Roman" w:eastAsia="Times New Roman" w:hAnsi="Times New Roman" w:cs="Times New Roman"/>
      <w:b/>
      <w:i/>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C2F96"/>
    <w:pPr>
      <w:ind w:left="720"/>
      <w:contextualSpacing/>
    </w:pPr>
  </w:style>
  <w:style w:type="character" w:styleId="PlaceholderText">
    <w:name w:val="Placeholder Text"/>
    <w:basedOn w:val="DefaultParagraphFont"/>
    <w:uiPriority w:val="99"/>
    <w:semiHidden/>
    <w:rsid w:val="007669FF"/>
    <w:rPr>
      <w:color w:val="808080"/>
    </w:rPr>
  </w:style>
  <w:style w:type="table" w:styleId="TableGrid">
    <w:name w:val="Table Grid"/>
    <w:basedOn w:val="TableNormal"/>
    <w:uiPriority w:val="59"/>
    <w:rsid w:val="00AD746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6D5959"/>
    <w:pPr>
      <w:keepNext/>
      <w:tabs>
        <w:tab w:val="center" w:pos="4536"/>
        <w:tab w:val="right" w:pos="9072"/>
      </w:tabs>
      <w:ind w:left="0" w:firstLine="0"/>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6D5959"/>
    <w:rPr>
      <w:rFonts w:ascii="Times New Roman" w:eastAsia="Times New Roman" w:hAnsi="Times New Roman" w:cs="Times New Roman"/>
      <w:sz w:val="20"/>
      <w:szCs w:val="20"/>
      <w:lang w:eastAsia="pt-PT"/>
    </w:rPr>
  </w:style>
  <w:style w:type="character" w:styleId="PageNumber">
    <w:name w:val="page number"/>
    <w:basedOn w:val="DefaultParagraphFont"/>
    <w:semiHidden/>
    <w:rsid w:val="006D5959"/>
  </w:style>
  <w:style w:type="paragraph" w:styleId="TOC1">
    <w:name w:val="toc 1"/>
    <w:basedOn w:val="Normal"/>
    <w:next w:val="Normal"/>
    <w:autoRedefine/>
    <w:uiPriority w:val="39"/>
    <w:rsid w:val="006D5959"/>
    <w:pPr>
      <w:keepNext/>
      <w:tabs>
        <w:tab w:val="left" w:pos="851"/>
        <w:tab w:val="right" w:pos="9062"/>
      </w:tabs>
      <w:spacing w:before="120" w:line="300" w:lineRule="exact"/>
      <w:ind w:left="851" w:hanging="851"/>
    </w:pPr>
    <w:rPr>
      <w:rFonts w:ascii="Times New Roman" w:eastAsia="Times New Roman" w:hAnsi="Times New Roman" w:cs="Times New Roman"/>
      <w:b/>
      <w:noProof/>
      <w:sz w:val="20"/>
      <w:szCs w:val="20"/>
    </w:rPr>
  </w:style>
  <w:style w:type="paragraph" w:styleId="TOC2">
    <w:name w:val="toc 2"/>
    <w:basedOn w:val="Normal"/>
    <w:next w:val="Normal"/>
    <w:autoRedefine/>
    <w:uiPriority w:val="39"/>
    <w:rsid w:val="006D5959"/>
    <w:pPr>
      <w:keepNext/>
      <w:tabs>
        <w:tab w:val="left" w:pos="851"/>
        <w:tab w:val="right" w:pos="9062"/>
      </w:tabs>
      <w:spacing w:before="60" w:after="60" w:line="280" w:lineRule="exact"/>
      <w:ind w:left="0" w:firstLine="0"/>
    </w:pPr>
    <w:rPr>
      <w:rFonts w:ascii="Times New Roman" w:eastAsia="Times New Roman" w:hAnsi="Times New Roman" w:cs="Times New Roman"/>
      <w:b/>
      <w:sz w:val="20"/>
      <w:szCs w:val="20"/>
    </w:rPr>
  </w:style>
  <w:style w:type="paragraph" w:styleId="TOC3">
    <w:name w:val="toc 3"/>
    <w:basedOn w:val="Normal"/>
    <w:next w:val="Normal"/>
    <w:autoRedefine/>
    <w:uiPriority w:val="39"/>
    <w:rsid w:val="006D5959"/>
    <w:pPr>
      <w:keepNext/>
      <w:tabs>
        <w:tab w:val="left" w:pos="851"/>
        <w:tab w:val="right" w:pos="9062"/>
      </w:tabs>
      <w:ind w:left="0" w:firstLine="0"/>
    </w:pPr>
    <w:rPr>
      <w:rFonts w:ascii="Times New Roman" w:eastAsia="Times New Roman" w:hAnsi="Times New Roman" w:cs="Times New Roman"/>
      <w:noProof/>
      <w:sz w:val="20"/>
      <w:szCs w:val="20"/>
    </w:rPr>
  </w:style>
  <w:style w:type="character" w:customStyle="1" w:styleId="Heading1Char">
    <w:name w:val="Heading 1 Char"/>
    <w:basedOn w:val="DefaultParagraphFont"/>
    <w:link w:val="Heading1"/>
    <w:rsid w:val="0033608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3608C"/>
    <w:pPr>
      <w:spacing w:line="276" w:lineRule="auto"/>
      <w:ind w:left="0" w:firstLine="0"/>
      <w:outlineLvl w:val="9"/>
    </w:pPr>
  </w:style>
  <w:style w:type="character" w:styleId="Hyperlink">
    <w:name w:val="Hyperlink"/>
    <w:basedOn w:val="DefaultParagraphFont"/>
    <w:uiPriority w:val="99"/>
    <w:unhideWhenUsed/>
    <w:rsid w:val="0033608C"/>
    <w:rPr>
      <w:color w:val="0000FF" w:themeColor="hyperlink"/>
      <w:u w:val="single"/>
    </w:rPr>
  </w:style>
  <w:style w:type="character" w:customStyle="1" w:styleId="Heading2Char">
    <w:name w:val="Heading 2 Char"/>
    <w:basedOn w:val="DefaultParagraphFont"/>
    <w:link w:val="Heading2"/>
    <w:uiPriority w:val="9"/>
    <w:semiHidden/>
    <w:rsid w:val="00CB64D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B64D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B64D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B64D4"/>
    <w:rPr>
      <w:rFonts w:asciiTheme="majorHAnsi" w:eastAsiaTheme="majorEastAsia" w:hAnsiTheme="majorHAnsi" w:cstheme="majorBidi"/>
      <w:color w:val="243F60" w:themeColor="accent1" w:themeShade="7F"/>
    </w:rPr>
  </w:style>
  <w:style w:type="paragraph" w:styleId="FootnoteText">
    <w:name w:val="footnote text"/>
    <w:basedOn w:val="Normal"/>
    <w:link w:val="FootnoteTextChar"/>
    <w:semiHidden/>
    <w:rsid w:val="00CB64D4"/>
    <w:pPr>
      <w:keepNext/>
      <w:ind w:left="170" w:hanging="17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B64D4"/>
    <w:rPr>
      <w:rFonts w:ascii="Times New Roman" w:eastAsia="Times New Roman" w:hAnsi="Times New Roman" w:cs="Times New Roman"/>
      <w:sz w:val="20"/>
      <w:szCs w:val="20"/>
      <w:lang w:eastAsia="pt-PT"/>
    </w:rPr>
  </w:style>
  <w:style w:type="paragraph" w:customStyle="1" w:styleId="Text">
    <w:name w:val="Text"/>
    <w:basedOn w:val="Normal"/>
    <w:autoRedefine/>
    <w:rsid w:val="00CB64D4"/>
    <w:pPr>
      <w:keepNext/>
      <w:spacing w:after="80" w:line="300" w:lineRule="exact"/>
      <w:ind w:left="0" w:firstLine="0"/>
    </w:pPr>
    <w:rPr>
      <w:rFonts w:ascii="Times New Roman" w:eastAsia="Times New Roman" w:hAnsi="Times New Roman" w:cs="Times New Roman"/>
      <w:bCs/>
      <w:kern w:val="28"/>
      <w:szCs w:val="20"/>
    </w:rPr>
  </w:style>
  <w:style w:type="paragraph" w:customStyle="1" w:styleId="Einzug-1">
    <w:name w:val="Einzug-1"/>
    <w:basedOn w:val="Normal"/>
    <w:autoRedefine/>
    <w:rsid w:val="00CB64D4"/>
    <w:pPr>
      <w:keepNext/>
      <w:tabs>
        <w:tab w:val="left" w:pos="426"/>
      </w:tabs>
      <w:spacing w:before="60" w:after="60" w:line="300" w:lineRule="exact"/>
      <w:ind w:left="0" w:firstLine="0"/>
    </w:pPr>
    <w:rPr>
      <w:rFonts w:ascii="Times New Roman" w:eastAsia="Times New Roman" w:hAnsi="Times New Roman" w:cs="Times New Roman"/>
      <w:sz w:val="24"/>
      <w:szCs w:val="20"/>
    </w:rPr>
  </w:style>
  <w:style w:type="paragraph" w:customStyle="1" w:styleId="Tabellen">
    <w:name w:val="Tabellen"/>
    <w:basedOn w:val="Text"/>
    <w:rsid w:val="00CB64D4"/>
  </w:style>
  <w:style w:type="paragraph" w:customStyle="1" w:styleId="Tab-berschrift">
    <w:name w:val="Tab-Überschrift"/>
    <w:basedOn w:val="Tabellen"/>
    <w:autoRedefine/>
    <w:rsid w:val="006C1677"/>
    <w:rPr>
      <w:rFonts w:asciiTheme="minorHAnsi" w:hAnsiTheme="minorHAnsi"/>
      <w:b/>
      <w:bCs w:val="0"/>
    </w:rPr>
  </w:style>
  <w:style w:type="character" w:styleId="FootnoteReference">
    <w:name w:val="footnote reference"/>
    <w:basedOn w:val="DefaultParagraphFont"/>
    <w:semiHidden/>
    <w:rsid w:val="00CB64D4"/>
    <w:rPr>
      <w:vertAlign w:val="superscript"/>
    </w:rPr>
  </w:style>
  <w:style w:type="paragraph" w:customStyle="1" w:styleId="SP1">
    <w:name w:val="SP1"/>
    <w:basedOn w:val="Normal"/>
    <w:autoRedefine/>
    <w:rsid w:val="00CB64D4"/>
    <w:pPr>
      <w:numPr>
        <w:numId w:val="6"/>
      </w:numPr>
      <w:spacing w:before="40" w:after="40" w:line="240" w:lineRule="exact"/>
      <w:ind w:left="567" w:hanging="501"/>
    </w:pPr>
    <w:rPr>
      <w:rFonts w:ascii="Times New Roman" w:eastAsia="Times New Roman" w:hAnsi="Times New Roman" w:cs="Times New Roman"/>
      <w:sz w:val="24"/>
      <w:szCs w:val="20"/>
    </w:rPr>
  </w:style>
  <w:style w:type="paragraph" w:customStyle="1" w:styleId="Tab-Kopf">
    <w:name w:val="Tab-Kopf"/>
    <w:basedOn w:val="Tab-berschrift"/>
    <w:rsid w:val="00CB64D4"/>
    <w:pPr>
      <w:spacing w:before="60" w:after="60" w:line="260" w:lineRule="exact"/>
    </w:pPr>
    <w:rPr>
      <w:sz w:val="20"/>
    </w:rPr>
  </w:style>
  <w:style w:type="character" w:customStyle="1" w:styleId="Heading6Char">
    <w:name w:val="Heading 6 Char"/>
    <w:basedOn w:val="DefaultParagraphFont"/>
    <w:link w:val="Heading6"/>
    <w:rsid w:val="00A13EDC"/>
    <w:rPr>
      <w:rFonts w:ascii="Times New Roman" w:eastAsia="Times New Roman" w:hAnsi="Times New Roman" w:cs="Times New Roman"/>
      <w:b/>
      <w:kern w:val="28"/>
      <w:sz w:val="20"/>
      <w:szCs w:val="20"/>
      <w:lang w:eastAsia="pt-PT"/>
    </w:rPr>
  </w:style>
  <w:style w:type="character" w:customStyle="1" w:styleId="Heading7Char">
    <w:name w:val="Heading 7 Char"/>
    <w:basedOn w:val="DefaultParagraphFont"/>
    <w:link w:val="Heading7"/>
    <w:rsid w:val="00A13EDC"/>
    <w:rPr>
      <w:rFonts w:ascii="Times New Roman" w:eastAsia="Times New Roman" w:hAnsi="Times New Roman" w:cs="Times New Roman"/>
      <w:b/>
      <w:kern w:val="28"/>
      <w:sz w:val="20"/>
      <w:szCs w:val="20"/>
      <w:lang w:eastAsia="pt-PT"/>
    </w:rPr>
  </w:style>
  <w:style w:type="character" w:customStyle="1" w:styleId="Heading8Char">
    <w:name w:val="Heading 8 Char"/>
    <w:basedOn w:val="DefaultParagraphFont"/>
    <w:link w:val="Heading8"/>
    <w:rsid w:val="00A13EDC"/>
    <w:rPr>
      <w:rFonts w:ascii="Times New Roman" w:eastAsia="Times New Roman" w:hAnsi="Times New Roman" w:cs="Times New Roman"/>
      <w:b/>
      <w:i/>
      <w:kern w:val="28"/>
      <w:sz w:val="20"/>
      <w:szCs w:val="20"/>
      <w:lang w:eastAsia="pt-PT"/>
    </w:rPr>
  </w:style>
  <w:style w:type="character" w:customStyle="1" w:styleId="Heading9Char">
    <w:name w:val="Heading 9 Char"/>
    <w:basedOn w:val="DefaultParagraphFont"/>
    <w:link w:val="Heading9"/>
    <w:rsid w:val="00A13EDC"/>
    <w:rPr>
      <w:rFonts w:ascii="Times New Roman" w:eastAsia="Times New Roman" w:hAnsi="Times New Roman" w:cs="Times New Roman"/>
      <w:b/>
      <w:i/>
      <w:kern w:val="28"/>
      <w:sz w:val="20"/>
      <w:szCs w:val="20"/>
      <w:lang w:eastAsia="pt-PT"/>
    </w:rPr>
  </w:style>
  <w:style w:type="paragraph" w:customStyle="1" w:styleId="Tablefootnote">
    <w:name w:val="Table footnote"/>
    <w:basedOn w:val="Normal"/>
    <w:rsid w:val="00A13EDC"/>
    <w:pPr>
      <w:tabs>
        <w:tab w:val="left" w:pos="340"/>
      </w:tabs>
      <w:spacing w:before="60" w:after="60" w:line="190" w:lineRule="atLeast"/>
      <w:ind w:left="0" w:firstLine="0"/>
      <w:jc w:val="both"/>
    </w:pPr>
    <w:rPr>
      <w:rFonts w:ascii="Arial" w:eastAsia="MS Mincho" w:hAnsi="Arial" w:cs="Times New Roman"/>
      <w:sz w:val="16"/>
      <w:szCs w:val="20"/>
    </w:rPr>
  </w:style>
  <w:style w:type="character" w:customStyle="1" w:styleId="TableFootNoteXref">
    <w:name w:val="TableFootNoteXref"/>
    <w:rsid w:val="00A13EDC"/>
    <w:rPr>
      <w:noProof/>
      <w:position w:val="6"/>
      <w:sz w:val="14"/>
      <w:lang w:val="pt-PT"/>
    </w:rPr>
  </w:style>
  <w:style w:type="paragraph" w:customStyle="1" w:styleId="Tabletext10">
    <w:name w:val="Table text (10)"/>
    <w:basedOn w:val="Normal"/>
    <w:rsid w:val="00A13EDC"/>
    <w:pPr>
      <w:spacing w:before="60" w:after="60" w:line="230" w:lineRule="atLeast"/>
      <w:ind w:left="0" w:firstLine="0"/>
      <w:jc w:val="both"/>
    </w:pPr>
    <w:rPr>
      <w:rFonts w:ascii="Arial" w:eastAsia="MS Mincho" w:hAnsi="Arial" w:cs="Times New Roman"/>
      <w:sz w:val="20"/>
      <w:szCs w:val="20"/>
    </w:rPr>
  </w:style>
  <w:style w:type="paragraph" w:customStyle="1" w:styleId="ISOChange">
    <w:name w:val="ISO_Change"/>
    <w:basedOn w:val="Normal"/>
    <w:rsid w:val="00A13EDC"/>
    <w:pPr>
      <w:spacing w:before="210" w:line="210" w:lineRule="exact"/>
      <w:ind w:left="0" w:firstLine="0"/>
    </w:pPr>
    <w:rPr>
      <w:rFonts w:ascii="Arial" w:eastAsia="Times New Roman" w:hAnsi="Arial" w:cs="Arial"/>
      <w:sz w:val="18"/>
      <w:szCs w:val="18"/>
    </w:rPr>
  </w:style>
  <w:style w:type="paragraph" w:customStyle="1" w:styleId="ISOSecretObservations">
    <w:name w:val="ISO_Secret_Observations"/>
    <w:basedOn w:val="Normal"/>
    <w:rsid w:val="00A13EDC"/>
    <w:pPr>
      <w:spacing w:before="210" w:line="210" w:lineRule="exact"/>
      <w:ind w:left="0" w:firstLine="0"/>
    </w:pPr>
    <w:rPr>
      <w:rFonts w:ascii="Arial" w:eastAsia="Times New Roman" w:hAnsi="Arial" w:cs="Arial"/>
      <w:sz w:val="18"/>
      <w:szCs w:val="18"/>
    </w:rPr>
  </w:style>
  <w:style w:type="paragraph" w:styleId="Footer">
    <w:name w:val="footer"/>
    <w:basedOn w:val="Normal"/>
    <w:link w:val="FooterChar"/>
    <w:uiPriority w:val="99"/>
    <w:unhideWhenUsed/>
    <w:rsid w:val="0094411F"/>
    <w:pPr>
      <w:tabs>
        <w:tab w:val="center" w:pos="4536"/>
        <w:tab w:val="right" w:pos="9072"/>
      </w:tabs>
    </w:pPr>
  </w:style>
  <w:style w:type="character" w:customStyle="1" w:styleId="FooterChar">
    <w:name w:val="Footer Char"/>
    <w:basedOn w:val="DefaultParagraphFont"/>
    <w:link w:val="Footer"/>
    <w:uiPriority w:val="99"/>
    <w:rsid w:val="0094411F"/>
  </w:style>
  <w:style w:type="paragraph" w:styleId="Subtitle">
    <w:name w:val="Subtitle"/>
    <w:basedOn w:val="Normal"/>
    <w:next w:val="Normal"/>
    <w:link w:val="SubtitleChar"/>
    <w:uiPriority w:val="11"/>
    <w:qFormat/>
    <w:rsid w:val="000D70C0"/>
    <w:pPr>
      <w:numPr>
        <w:ilvl w:val="1"/>
      </w:numPr>
      <w:ind w:left="357" w:hanging="35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D70C0"/>
    <w:rPr>
      <w:rFonts w:asciiTheme="majorHAnsi" w:eastAsiaTheme="majorEastAsia" w:hAnsiTheme="majorHAnsi" w:cstheme="majorBidi"/>
      <w:i/>
      <w:iCs/>
      <w:color w:val="4F81BD" w:themeColor="accent1"/>
      <w:spacing w:val="15"/>
      <w:sz w:val="24"/>
      <w:szCs w:val="24"/>
    </w:rPr>
  </w:style>
  <w:style w:type="paragraph" w:styleId="BodyText">
    <w:name w:val="Body Text"/>
    <w:basedOn w:val="Normal"/>
    <w:link w:val="BodyTextChar"/>
    <w:semiHidden/>
    <w:rsid w:val="00B521EE"/>
    <w:pPr>
      <w:ind w:left="0" w:firstLine="0"/>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semiHidden/>
    <w:rsid w:val="00B521EE"/>
    <w:rPr>
      <w:rFonts w:ascii="Times New Roman" w:eastAsia="Times New Roman" w:hAnsi="Times New Roman" w:cs="Times New Roman"/>
      <w:b/>
      <w:sz w:val="24"/>
      <w:szCs w:val="20"/>
      <w:lang w:eastAsia="pt-PT"/>
    </w:rPr>
  </w:style>
  <w:style w:type="paragraph" w:customStyle="1" w:styleId="-Einzug1">
    <w:name w:val="-Einzug1"/>
    <w:basedOn w:val="BodyText2"/>
    <w:autoRedefine/>
    <w:rsid w:val="00B521EE"/>
    <w:pPr>
      <w:keepNext/>
      <w:numPr>
        <w:numId w:val="10"/>
      </w:numPr>
      <w:tabs>
        <w:tab w:val="clear" w:pos="360"/>
        <w:tab w:val="num" w:pos="907"/>
        <w:tab w:val="left" w:pos="4111"/>
      </w:tabs>
      <w:spacing w:before="40" w:after="40" w:line="280" w:lineRule="exact"/>
      <w:ind w:left="4111" w:hanging="3487"/>
    </w:pPr>
    <w:rPr>
      <w:rFonts w:ascii="Times New Roman" w:eastAsia="Times New Roman" w:hAnsi="Times New Roman" w:cs="Times New Roman"/>
      <w:sz w:val="24"/>
      <w:szCs w:val="20"/>
    </w:rPr>
  </w:style>
  <w:style w:type="paragraph" w:styleId="BodyText2">
    <w:name w:val="Body Text 2"/>
    <w:basedOn w:val="Normal"/>
    <w:link w:val="BodyText2Char"/>
    <w:uiPriority w:val="99"/>
    <w:semiHidden/>
    <w:unhideWhenUsed/>
    <w:rsid w:val="00B521EE"/>
    <w:pPr>
      <w:spacing w:after="120" w:line="480" w:lineRule="auto"/>
    </w:pPr>
  </w:style>
  <w:style w:type="character" w:customStyle="1" w:styleId="BodyText2Char">
    <w:name w:val="Body Text 2 Char"/>
    <w:basedOn w:val="DefaultParagraphFont"/>
    <w:link w:val="BodyText2"/>
    <w:uiPriority w:val="99"/>
    <w:semiHidden/>
    <w:rsid w:val="00B521EE"/>
  </w:style>
  <w:style w:type="paragraph" w:customStyle="1" w:styleId="ZTVMFliestext">
    <w:name w:val="ZTV M Fliestext"/>
    <w:basedOn w:val="Normal"/>
    <w:rsid w:val="00CC1B26"/>
    <w:pPr>
      <w:pBdr>
        <w:right w:val="single" w:sz="12" w:space="4" w:color="auto"/>
      </w:pBdr>
      <w:tabs>
        <w:tab w:val="left" w:pos="1260"/>
      </w:tabs>
      <w:spacing w:before="60" w:after="120" w:line="280" w:lineRule="exact"/>
      <w:ind w:left="0" w:firstLine="0"/>
    </w:pPr>
    <w:rPr>
      <w:rFonts w:ascii="Times New Roman" w:eastAsia="Times New Roman" w:hAnsi="Times New Roman" w:cs="Times New Roman"/>
      <w:color w:val="000000"/>
      <w:sz w:val="24"/>
      <w:szCs w:val="20"/>
    </w:rPr>
  </w:style>
  <w:style w:type="paragraph" w:styleId="BodyTextIndent">
    <w:name w:val="Body Text Indent"/>
    <w:basedOn w:val="Normal"/>
    <w:link w:val="BodyTextIndentChar"/>
    <w:uiPriority w:val="99"/>
    <w:semiHidden/>
    <w:unhideWhenUsed/>
    <w:rsid w:val="00B1266C"/>
    <w:pPr>
      <w:spacing w:after="120"/>
      <w:ind w:left="283"/>
    </w:pPr>
  </w:style>
  <w:style w:type="character" w:customStyle="1" w:styleId="BodyTextIndentChar">
    <w:name w:val="Body Text Indent Char"/>
    <w:basedOn w:val="DefaultParagraphFont"/>
    <w:link w:val="BodyTextIndent"/>
    <w:uiPriority w:val="99"/>
    <w:semiHidden/>
    <w:rsid w:val="00B1266C"/>
  </w:style>
  <w:style w:type="paragraph" w:styleId="Title">
    <w:name w:val="Title"/>
    <w:basedOn w:val="Normal"/>
    <w:link w:val="TitleChar"/>
    <w:qFormat/>
    <w:rsid w:val="00B1266C"/>
    <w:pPr>
      <w:ind w:left="0" w:firstLine="0"/>
      <w:jc w:val="center"/>
    </w:pPr>
    <w:rPr>
      <w:rFonts w:ascii="Times New Roman" w:eastAsia="Times New Roman" w:hAnsi="Times New Roman" w:cs="Times New Roman"/>
      <w:b/>
      <w:snapToGrid w:val="0"/>
      <w:sz w:val="28"/>
      <w:szCs w:val="20"/>
    </w:rPr>
  </w:style>
  <w:style w:type="character" w:customStyle="1" w:styleId="TitleChar">
    <w:name w:val="Title Char"/>
    <w:basedOn w:val="DefaultParagraphFont"/>
    <w:link w:val="Title"/>
    <w:rsid w:val="00B1266C"/>
    <w:rPr>
      <w:rFonts w:ascii="Times New Roman" w:eastAsia="Times New Roman" w:hAnsi="Times New Roman" w:cs="Times New Roman"/>
      <w:b/>
      <w:snapToGrid w:val="0"/>
      <w:sz w:val="28"/>
      <w:szCs w:val="20"/>
      <w:lang w:eastAsia="pt-PT"/>
    </w:rPr>
  </w:style>
  <w:style w:type="paragraph" w:styleId="BalloonText">
    <w:name w:val="Balloon Text"/>
    <w:basedOn w:val="Normal"/>
    <w:link w:val="BalloonTextChar"/>
    <w:uiPriority w:val="99"/>
    <w:semiHidden/>
    <w:unhideWhenUsed/>
    <w:rsid w:val="002A210D"/>
    <w:rPr>
      <w:rFonts w:ascii="Tahoma" w:hAnsi="Tahoma" w:cs="Tahoma"/>
      <w:sz w:val="16"/>
      <w:szCs w:val="16"/>
    </w:rPr>
  </w:style>
  <w:style w:type="character" w:customStyle="1" w:styleId="BalloonTextChar">
    <w:name w:val="Balloon Text Char"/>
    <w:basedOn w:val="DefaultParagraphFont"/>
    <w:link w:val="BalloonText"/>
    <w:uiPriority w:val="99"/>
    <w:semiHidden/>
    <w:rsid w:val="002A210D"/>
    <w:rPr>
      <w:rFonts w:ascii="Tahoma" w:hAnsi="Tahoma" w:cs="Tahoma"/>
      <w:sz w:val="16"/>
      <w:szCs w:val="16"/>
    </w:rPr>
  </w:style>
  <w:style w:type="character" w:styleId="CommentReference">
    <w:name w:val="annotation reference"/>
    <w:basedOn w:val="DefaultParagraphFont"/>
    <w:uiPriority w:val="99"/>
    <w:semiHidden/>
    <w:unhideWhenUsed/>
    <w:rsid w:val="00536458"/>
    <w:rPr>
      <w:sz w:val="16"/>
      <w:szCs w:val="16"/>
    </w:rPr>
  </w:style>
  <w:style w:type="paragraph" w:styleId="CommentText">
    <w:name w:val="annotation text"/>
    <w:basedOn w:val="Normal"/>
    <w:link w:val="CommentTextChar"/>
    <w:uiPriority w:val="99"/>
    <w:semiHidden/>
    <w:unhideWhenUsed/>
    <w:rsid w:val="00536458"/>
    <w:rPr>
      <w:sz w:val="20"/>
      <w:szCs w:val="20"/>
    </w:rPr>
  </w:style>
  <w:style w:type="character" w:customStyle="1" w:styleId="CommentTextChar">
    <w:name w:val="Comment Text Char"/>
    <w:basedOn w:val="DefaultParagraphFont"/>
    <w:link w:val="CommentText"/>
    <w:uiPriority w:val="99"/>
    <w:semiHidden/>
    <w:rsid w:val="00536458"/>
    <w:rPr>
      <w:sz w:val="20"/>
      <w:szCs w:val="20"/>
    </w:rPr>
  </w:style>
  <w:style w:type="character" w:styleId="Strong">
    <w:name w:val="Strong"/>
    <w:basedOn w:val="DefaultParagraphFont"/>
    <w:uiPriority w:val="22"/>
    <w:qFormat/>
    <w:rsid w:val="008D2005"/>
    <w:rPr>
      <w:b/>
      <w:bCs/>
    </w:rPr>
  </w:style>
  <w:style w:type="paragraph" w:styleId="CommentSubject">
    <w:name w:val="annotation subject"/>
    <w:basedOn w:val="CommentText"/>
    <w:next w:val="CommentText"/>
    <w:link w:val="CommentSubjectChar"/>
    <w:uiPriority w:val="99"/>
    <w:semiHidden/>
    <w:unhideWhenUsed/>
    <w:rsid w:val="00BD23B3"/>
    <w:rPr>
      <w:b/>
      <w:bCs/>
    </w:rPr>
  </w:style>
  <w:style w:type="character" w:customStyle="1" w:styleId="CommentSubjectChar">
    <w:name w:val="Comment Subject Char"/>
    <w:basedOn w:val="CommentTextChar"/>
    <w:link w:val="CommentSubject"/>
    <w:uiPriority w:val="99"/>
    <w:semiHidden/>
    <w:rsid w:val="00BD23B3"/>
    <w:rPr>
      <w:b/>
      <w:bCs/>
      <w:sz w:val="20"/>
      <w:szCs w:val="20"/>
    </w:rPr>
  </w:style>
  <w:style w:type="paragraph" w:styleId="Revision">
    <w:name w:val="Revision"/>
    <w:hidden/>
    <w:uiPriority w:val="99"/>
    <w:semiHidden/>
    <w:rsid w:val="008F3D75"/>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0696">
      <w:bodyDiv w:val="1"/>
      <w:marLeft w:val="0"/>
      <w:marRight w:val="0"/>
      <w:marTop w:val="0"/>
      <w:marBottom w:val="0"/>
      <w:divBdr>
        <w:top w:val="none" w:sz="0" w:space="0" w:color="auto"/>
        <w:left w:val="none" w:sz="0" w:space="0" w:color="auto"/>
        <w:bottom w:val="none" w:sz="0" w:space="0" w:color="auto"/>
        <w:right w:val="none" w:sz="0" w:space="0" w:color="auto"/>
      </w:divBdr>
    </w:div>
    <w:div w:id="657268090">
      <w:bodyDiv w:val="1"/>
      <w:marLeft w:val="0"/>
      <w:marRight w:val="0"/>
      <w:marTop w:val="0"/>
      <w:marBottom w:val="0"/>
      <w:divBdr>
        <w:top w:val="none" w:sz="0" w:space="0" w:color="auto"/>
        <w:left w:val="none" w:sz="0" w:space="0" w:color="auto"/>
        <w:bottom w:val="none" w:sz="0" w:space="0" w:color="auto"/>
        <w:right w:val="none" w:sz="0" w:space="0" w:color="auto"/>
      </w:divBdr>
    </w:div>
    <w:div w:id="948396053">
      <w:bodyDiv w:val="1"/>
      <w:marLeft w:val="0"/>
      <w:marRight w:val="0"/>
      <w:marTop w:val="0"/>
      <w:marBottom w:val="0"/>
      <w:divBdr>
        <w:top w:val="none" w:sz="0" w:space="0" w:color="auto"/>
        <w:left w:val="none" w:sz="0" w:space="0" w:color="auto"/>
        <w:bottom w:val="none" w:sz="0" w:space="0" w:color="auto"/>
        <w:right w:val="none" w:sz="0" w:space="0" w:color="auto"/>
      </w:divBdr>
    </w:div>
    <w:div w:id="1597981163">
      <w:bodyDiv w:val="1"/>
      <w:marLeft w:val="0"/>
      <w:marRight w:val="0"/>
      <w:marTop w:val="0"/>
      <w:marBottom w:val="0"/>
      <w:divBdr>
        <w:top w:val="none" w:sz="0" w:space="0" w:color="auto"/>
        <w:left w:val="none" w:sz="0" w:space="0" w:color="auto"/>
        <w:bottom w:val="none" w:sz="0" w:space="0" w:color="auto"/>
        <w:right w:val="none" w:sz="0" w:space="0" w:color="auto"/>
      </w:divBdr>
    </w:div>
    <w:div w:id="163251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6D939-EC3F-4788-8512-A5A9B7999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8424</Words>
  <Characters>48022</Characters>
  <Application>Microsoft Office Word</Application>
  <DocSecurity>0</DocSecurity>
  <Lines>400</Lines>
  <Paragraphs>112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BASt</Company>
  <LinksUpToDate>false</LinksUpToDate>
  <CharactersWithSpaces>56334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V4</dc:creator>
  <cp:lastModifiedBy>Ke, Tingting</cp:lastModifiedBy>
  <cp:revision>21</cp:revision>
  <cp:lastPrinted>2018-06-14T08:38:00Z</cp:lastPrinted>
  <dcterms:created xsi:type="dcterms:W3CDTF">2018-08-23T11:48:00Z</dcterms:created>
  <dcterms:modified xsi:type="dcterms:W3CDTF">2019-06-26T13:56:00Z</dcterms:modified>
</cp:coreProperties>
</file>