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814C17" w:rsidRDefault="004A4164" w:rsidP="004A4164">
      <w:pPr>
        <w:jc w:val="center"/>
        <w:rPr>
          <w:rFonts w:ascii="Courier New" w:hAnsi="Courier New"/>
          <w:sz w:val="20"/>
          <w:szCs w:val="20"/>
        </w:rPr>
      </w:pPr>
      <w:r>
        <w:rPr>
          <w:rFonts w:ascii="Courier New" w:hAnsi="Courier New"/>
          <w:sz w:val="20"/>
        </w:rPr>
        <w:t xml:space="preserve">1. </w:t>
      </w:r>
      <w:r>
        <w:rPr>
          <w:rFonts w:ascii="Courier New" w:hAnsi="Courier New"/>
          <w:sz w:val="20"/>
        </w:rPr>
        <w:t>------IND- 2019 0309 HU- NL- ------ 20190703 --- --- PROJET</w:t>
      </w:r>
    </w:p>
    <w:p w:rsidR="00FC1B4C" w:rsidRPr="00D4046D" w:rsidRDefault="00FC1B4C" w:rsidP="004A4164">
      <w:pPr>
        <w:jc w:val="center"/>
        <w:rPr>
          <w:b/>
        </w:rPr>
      </w:pPr>
      <w:r>
        <w:rPr>
          <w:b/>
        </w:rPr>
        <w:t xml:space="preserve">Minister van Landbouw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center"/>
        <w:rPr>
          <w:b/>
        </w:rPr>
      </w:pPr>
      <w:bookmarkStart w:id="0" w:name="_GoBack"/>
      <w:bookmarkEnd w:id="0"/>
    </w:p>
    <w:p w:rsidR="00FC1B4C" w:rsidRPr="00D4046D" w:rsidRDefault="00453591" w:rsidP="004A4164">
      <w:pPr>
        <w:jc w:val="center"/>
        <w:rPr>
          <w:b/>
        </w:rPr>
      </w:pPr>
      <w:r>
        <w:rPr>
          <w:b/>
        </w:rPr>
        <w:t xml:space="preserve">Decreet nr. .../2019 van ... </w:t>
      </w:r>
      <w:r>
        <w:rPr>
          <w:b/>
        </w:rPr>
        <w:t xml:space="preserve">.... </w:t>
      </w:r>
      <w:r>
        <w:rPr>
          <w:b/>
        </w:rPr>
        <w:t>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b/>
          <w:bCs/>
        </w:rPr>
      </w:pPr>
    </w:p>
    <w:p w:rsidR="00FC1B4C" w:rsidRPr="00D4046D" w:rsidRDefault="00FC1B4C" w:rsidP="004A4164">
      <w:pPr>
        <w:jc w:val="center"/>
        <w:rPr>
          <w:rFonts w:eastAsiaTheme="minorHAnsi"/>
          <w:b/>
          <w:bCs/>
        </w:rPr>
      </w:pPr>
      <w:r>
        <w:rPr>
          <w:rFonts w:eastAsiaTheme="minorHAnsi"/>
          <w:b/>
        </w:rPr>
        <w:t>tot wijziging van decreet nr. 53/2017 van de minister van Landbouw van 18 oktober 2017 betreffende de bedrijfsomstandigheden voor stookinstallaties met een totaal nominaal thermisch ingangsvermogen van 140 kW of meer maar minder dan 50 MW en betreffende de grenswaarden voor luchtverontreinigende stoffen die hierdoor worden uitgestoten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rFonts w:eastAsiaTheme="minorHAnsi"/>
          <w:b/>
          <w:bCs/>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iCs/>
          <w:u w:val="single"/>
        </w:rPr>
      </w:pPr>
    </w:p>
    <w:p w:rsidR="00FC1B4C" w:rsidRPr="00D4046D" w:rsidRDefault="00FC1B4C" w:rsidP="004A4164">
      <w:pPr>
        <w:jc w:val="both"/>
        <w:rPr>
          <w:bCs/>
          <w:iCs/>
        </w:rPr>
      </w:pPr>
      <w:r>
        <w:t>Overeenkomstig de machtiging die is toegekend krachtens § 110, lid 8, onder g), van wet LIII van 1995 inzake de algemene regels voor milieubescherming, en handelend in het kader van mijn taken, zoals vastgelegd in § 79, lid 9, van regeringsdecreet nr. 94/2018 van 22 mei 2018 betreffende de taken en bevoegdheden van regeringsleden, besluit ik hierbij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jc w:val="both"/>
        <w:rPr>
          <w:i/>
        </w:rPr>
      </w:pPr>
    </w:p>
    <w:p w:rsidR="00287AE1" w:rsidRDefault="00D606F7" w:rsidP="004A4164">
      <w:pPr>
        <w:keepNext/>
        <w:keepLines/>
        <w:jc w:val="center"/>
        <w:rPr>
          <w:b/>
        </w:rPr>
      </w:pPr>
      <w:r>
        <w:rPr>
          <w:b/>
        </w:rPr>
        <w:t>§ 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Het volgende punt 1a wordt ingevoegd in § 2, lid 1, van decreet nr. 53/2017 van de minister van Landbouw van 18 oktober 2017 betreffende de bedrijfsomstandigheden voor stookinstallaties met een totaal nominaal thermisch ingangsvermogen van 140 kW of meer maar minder dan 50 MW en betreffende de grenswaarden voor luchtverontreinigende stoffen die hierdoor worden uitgestoten (hierna „het decreet” genoemd):</w:t>
      </w:r>
    </w:p>
    <w:p w:rsidR="009F7DF7" w:rsidRPr="009F7DF7" w:rsidRDefault="009F7DF7" w:rsidP="004A4164">
      <w:pPr>
        <w:autoSpaceDE w:val="0"/>
        <w:autoSpaceDN w:val="0"/>
        <w:adjustRightInd w:val="0"/>
        <w:spacing w:before="60"/>
        <w:jc w:val="both"/>
        <w:rPr>
          <w:bCs/>
          <w:i/>
          <w:iCs/>
        </w:rPr>
      </w:pPr>
      <w:r>
        <w:rPr>
          <w:i/>
        </w:rPr>
        <w:t>Voor de toepassing van dit decreet gelden de volgende definities:</w:t>
      </w:r>
    </w:p>
    <w:p w:rsidR="009F7DF7" w:rsidRDefault="009F7DF7" w:rsidP="004A4164">
      <w:pPr>
        <w:autoSpaceDE w:val="0"/>
        <w:autoSpaceDN w:val="0"/>
        <w:adjustRightInd w:val="0"/>
        <w:spacing w:before="60"/>
        <w:jc w:val="both"/>
        <w:rPr>
          <w:bCs/>
          <w:iCs/>
        </w:rPr>
      </w:pPr>
      <w:r>
        <w:t>„1.a „</w:t>
      </w:r>
      <w:r>
        <w:rPr>
          <w:i w:val="1"/>
        </w:rPr>
        <w:t>gastransmissiesysteem</w:t>
      </w:r>
      <w:r>
        <w:t>”: een coöperatief aardgassysteem overeenkomstig wet XL van 2008 betreffende de levering van aardgas;”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 2, lid 1, punt 9, van het decreet wordt vervangen door het volgende:</w:t>
      </w:r>
    </w:p>
    <w:p w:rsidR="00D606F7" w:rsidRDefault="00D606F7" w:rsidP="004A4164">
      <w:pPr>
        <w:autoSpaceDE w:val="0"/>
        <w:autoSpaceDN w:val="0"/>
        <w:adjustRightInd w:val="0"/>
        <w:spacing w:before="60"/>
        <w:jc w:val="both"/>
        <w:rPr>
          <w:bCs/>
          <w:iCs/>
        </w:rPr>
      </w:pPr>
      <w:r>
        <w:t xml:space="preserve">„9. </w:t>
      </w:r>
      <w:r>
        <w:t>„</w:t>
      </w:r>
      <w:r>
        <w:rPr>
          <w:i w:val="1"/>
        </w:rPr>
        <w:t>totaal nominaal thermisch ingangsvermogen</w:t>
      </w:r>
      <w:r>
        <w:t>”: de som van de nominale thermische ingangsvermogens van stookinstallaties, berekend volgens de cumulatieregel, die in het geval van een stookinstallatie gelijk is aan het nominale thermische ingangsvermogen;”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 2</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 4, leden 6 en 7, van het decreet wordt vervangen door het volgende:</w:t>
      </w:r>
    </w:p>
    <w:p w:rsidR="00287AE1" w:rsidRPr="00D4046D" w:rsidRDefault="00287AE1" w:rsidP="004A4164">
      <w:pPr>
        <w:autoSpaceDE w:val="0"/>
        <w:autoSpaceDN w:val="0"/>
        <w:adjustRightInd w:val="0"/>
        <w:spacing w:before="60"/>
        <w:jc w:val="both"/>
        <w:rPr>
          <w:bCs/>
          <w:iCs/>
        </w:rPr>
      </w:pPr>
      <w:r>
        <w:t>„6) De in bijlage 1 vermelde emissiegrenswaarden worden toegepast op stookinstallaties van categorie I met een totaal nominaal thermisch ingangsvermogen van 1 MW of meer die niet meer dan 500 bedrijfsuren per jaar in bedrijf zijn, berekend als een voortschrijdend gemiddelde over een periode van vijf jaar, met de uitzondering dat de emissiegrenswaarde voor vaste stoffen voor stookinstallaties die vaste biomassabrandstoffen stoken 200 mg/Nm</w:t>
      </w:r>
      <w:r>
        <w:rPr>
          <w:vertAlign w:val="superscript"/>
        </w:rPr>
        <w:t>3</w:t>
      </w:r>
      <w:r>
        <w:t xml:space="preserve"> is en dat de emissiegrenswaarde voor koolmonoxide 375 mg/Nm</w:t>
      </w:r>
      <w:r>
        <w:rPr>
          <w:vertAlign w:val="superscript"/>
        </w:rPr>
        <w:t>3</w:t>
      </w:r>
      <w:r>
        <w:t xml:space="preserve"> is.</w:t>
      </w:r>
    </w:p>
    <w:p w:rsidR="00287AE1" w:rsidRPr="00D4046D" w:rsidRDefault="00287AE1" w:rsidP="004A4164">
      <w:pPr>
        <w:jc w:val="both"/>
        <w:rPr>
          <w:i/>
        </w:rPr>
      </w:pPr>
      <w:r>
        <w:t>7) Tot 1 januari 2030 moeten de in bijlage 1 vermelde grenswaarden worden toegepast op stookinstallaties van categorie I met een totaal nominaal thermisch ingangsvermogen van meer dan 5 MW, waarbij 50 % van de nuttige warmteproductie van deze installaties, berekend als een voortschrijdend gemiddelde over een periode van vijf jaar, wordt verstrekt in de vorm van stoom of warm of heet water aan een openbaar netwerk voor stadsverwarming, met de uitzondering dat de emissiegrenswaarde voor zwaveldioxide voor stookinstallaties die vaste en vloeibare brandstoffen stoken 1 100 mg/Nm</w:t>
      </w:r>
      <w:r>
        <w:rPr>
          <w:vertAlign w:val="superscript"/>
        </w:rPr>
        <w:t>3</w:t>
      </w:r>
      <w:r>
        <w:t xml:space="preserve"> is en de emissiegrenswaarde voor vaste stoffen voor stookinstallaties die vaste brandstoffen stoken 150 mg/Nm</w:t>
      </w:r>
      <w:r>
        <w:rPr>
          <w:vertAlign w:val="superscript"/>
        </w:rPr>
        <w:t>3</w:t>
      </w:r>
      <w:r>
        <w:t xml:space="preserve"> is, terwijl de emissiegrenswaarde voor koolmonoxide voor stookinstallaties die vaste biomassabrandstoffen stoken 375 mg/Nm</w:t>
      </w:r>
      <w:r>
        <w:rPr>
          <w:vertAlign w:val="superscript"/>
        </w:rPr>
        <w:t>3</w:t>
      </w:r>
      <w:r>
        <w:t xml:space="preserve"> is.”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 4, lid 9, van het decreet wordt vervangen door het volgende:</w:t>
      </w:r>
    </w:p>
    <w:p w:rsidR="004257C8" w:rsidRDefault="004257C8" w:rsidP="004A4164">
      <w:pPr>
        <w:autoSpaceDE w:val="0"/>
        <w:autoSpaceDN w:val="0"/>
        <w:adjustRightInd w:val="0"/>
        <w:jc w:val="both"/>
        <w:rPr>
          <w:rFonts w:eastAsiaTheme="minorEastAsia"/>
        </w:rPr>
      </w:pPr>
      <w:r>
        <w:t>„9) Tot 1 januari 2030 worden de in bijlage 1 vermelde emissiegrenswaarden toegepast op stikstofoxiden van motoren van categorie I en gasturbines met een totaal nominaal thermisch ingangsvermogen van meer dan 5 MW die worden gebruikt om gascompressiestations aan te drijven om de veiligheid en de zekerheid van nationale gastransmissiesystemen te waarborgen, met de uitzondering dat de emissiegrenswaarde voor stikstofoxiden voor gasmotoren die voor 1 januari 1994 in gebruik zijn genomen 565 mg/Nm</w:t>
      </w:r>
      <w:r>
        <w:rPr>
          <w:vertAlign w:val="superscript"/>
        </w:rPr>
        <w:t>3</w:t>
      </w:r>
      <w:r>
        <w:t xml:space="preserve"> is.”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 4, lid 10, van het decreet wordt vervangen door het volgende:</w:t>
      </w:r>
    </w:p>
    <w:p w:rsidR="00FC1B4C" w:rsidRPr="00D4046D" w:rsidRDefault="00FC1B4C" w:rsidP="004A4164">
      <w:pPr>
        <w:autoSpaceDE w:val="0"/>
        <w:autoSpaceDN w:val="0"/>
        <w:adjustRightInd w:val="0"/>
        <w:spacing w:before="60"/>
        <w:jc w:val="both"/>
        <w:rPr>
          <w:bCs/>
          <w:iCs/>
        </w:rPr>
      </w:pPr>
      <w:r>
        <w:t>„10) De in bijlage 1 vermelde emissiegrenswaarden worden toegepast op stookinstallaties van categorie II die niet meer dan 500 bedrijfsuren per jaar in bedrijf zijn, berekend als een voortschrijdend gemiddelde over een periode van drie jaar, met de uitzondering dat de emissiegrenswaarde voor vaste stoffen voor stookinstallaties die vaste brandstoffen stoken 100 mg/Nm</w:t>
      </w:r>
      <w:r>
        <w:rPr>
          <w:vertAlign w:val="superscript"/>
        </w:rPr>
        <w:t>3</w:t>
      </w:r>
      <w:r>
        <w:t xml:space="preserve"> is en dat de emissiegrenswaarde voor koolmonoxide voor stookinstallaties met een totaal nominaal thermisch ingangsvermogen van 1 MW of meer die vaste biomassabrandstoffen stoken 375 mg/Nm</w:t>
      </w:r>
      <w:r>
        <w:rPr>
          <w:vertAlign w:val="superscript"/>
        </w:rPr>
        <w:t>3</w:t>
      </w:r>
      <w:r>
        <w:t xml:space="preserve"> is.”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 4, lid 13, van het decreet wordt vervangen door het volgende:</w:t>
      </w:r>
    </w:p>
    <w:p w:rsidR="00DE6CCA" w:rsidRPr="00553495" w:rsidRDefault="00DE6CCA" w:rsidP="004A4164">
      <w:pPr>
        <w:keepNext/>
        <w:keepLines/>
        <w:autoSpaceDE w:val="0"/>
        <w:autoSpaceDN w:val="0"/>
        <w:adjustRightInd w:val="0"/>
        <w:jc w:val="both"/>
        <w:rPr>
          <w:bCs/>
          <w:iCs/>
        </w:rPr>
      </w:pPr>
      <w:r>
        <w:t>„13) In het geval van vaste motoren worden er geen emissiegrenswaarden toegepast op</w:t>
      </w:r>
    </w:p>
    <w:p w:rsidR="00DE6CCA" w:rsidRPr="00D4046D" w:rsidRDefault="00DE6CCA" w:rsidP="004A4164">
      <w:pPr>
        <w:autoSpaceDE w:val="0"/>
        <w:autoSpaceDN w:val="0"/>
        <w:adjustRightInd w:val="0"/>
        <w:jc w:val="both"/>
      </w:pPr>
      <w:r>
        <w:rPr>
          <w:i/>
        </w:rPr>
        <w:t>a)</w:t>
      </w:r>
      <w:r>
        <w:t xml:space="preserve"> motoren met een nominaal thermisch ingangsvermogen van minder dan 1 MW met een brandstofverbruik van minder dan 50 kg per uur, en</w:t>
      </w:r>
    </w:p>
    <w:p w:rsidR="00DE6CCA" w:rsidRPr="00D4046D" w:rsidRDefault="00DE6CCA" w:rsidP="004A4164">
      <w:pPr>
        <w:autoSpaceDE w:val="0"/>
        <w:autoSpaceDN w:val="0"/>
        <w:adjustRightInd w:val="0"/>
        <w:jc w:val="both"/>
      </w:pPr>
      <w:r>
        <w:rPr>
          <w:i/>
        </w:rPr>
        <w:t>b)</w:t>
      </w:r>
      <w:r>
        <w:t xml:space="preserve"> vaste motoren met een noodstroomvoorziening die minder dan 50 uur per jaar in bedrijf zijn.”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 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 12, leden 2 en 3, van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 xml:space="preserve">„2) Tot 31 december 2029 worden de in bijlage 1 vermelde emissiegrenswaarden toegepast op stookinstallaties van categorie I met een totaal nominaal thermisch ingangsvermogen van 1 MW of meer maar minder dan 5 MW, met de volgende uitzonderingen: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in het geval van het stoken van vaste biomassa is de emissiegrenswaarde voor koolmonoxide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in het geval van gasmotoren die voor 1 januari 1994 in gebruik zijn genomen, met een totaal nominaal thermisch ingangsvermogen van meer dan 3 MW, is de emissiegrenswaarde voor stikstofoxiden 565 mg/Nm</w:t>
      </w:r>
      <w:r>
        <w:rPr>
          <w:vertAlign w:val="superscript"/>
        </w:rPr>
        <w:t>3</w:t>
      </w:r>
      <w:r>
        <w:t>; de CO-emissiegrenswaarde is 375 mg/Nm</w:t>
      </w:r>
      <w:r>
        <w:rPr>
          <w:vertAlign w:val="superscript"/>
        </w:rPr>
        <w:t>3</w:t>
      </w:r>
      <w:r>
        <w:t xml:space="preserve"> voor viertaktmotoren en 320 mg/Nm</w:t>
      </w:r>
      <w:r>
        <w:rPr>
          <w:vertAlign w:val="superscript"/>
        </w:rPr>
        <w:t>3</w:t>
      </w:r>
      <w:r>
        <w:t xml:space="preserve"> voor tweetaktmotoren, en voor volledig organische stoffen, uitgedrukt als C (koolstof), met uitzondering van methaan, is de emissiegrenswaarde 115 mg/Nm</w:t>
      </w:r>
      <w:r>
        <w:rPr>
          <w:vertAlign w:val="superscript"/>
        </w:rPr>
        <w:t>3</w:t>
      </w:r>
      <w:r>
        <w:t>.</w:t>
      </w:r>
    </w:p>
    <w:p w:rsidR="006B0CC9" w:rsidRPr="00D4046D" w:rsidRDefault="00115E21" w:rsidP="004A4164">
      <w:pPr>
        <w:autoSpaceDE w:val="0"/>
        <w:autoSpaceDN w:val="0"/>
        <w:adjustRightInd w:val="0"/>
        <w:jc w:val="both"/>
      </w:pPr>
      <w:r>
        <w:t>3) Tot 31 december 2024 worden de in bijlage 1 vermelde emissiegrenswaarden toegepast op stookinstallaties van categorie I met een totaal nominaal thermisch ingangsvermogen van meer dan 5 MW, met de volgende uitzonderingen:</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in het geval van het stoken van vaste biomassa is de emissiegrenswaarde voor koolmonoxide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in het geval van gasmotoren die voor 1 januari 1994 in gebruik zijn genomen, is de emissiegrenswaarde voor stikstofoxiden 565 mg/Nm</w:t>
      </w:r>
      <w:r>
        <w:rPr>
          <w:vertAlign w:val="superscript"/>
        </w:rPr>
        <w:t>3</w:t>
      </w:r>
      <w:r>
        <w:t>; de emissiegrenswaarde voor koolmonoxide is 375 mg/Nm</w:t>
      </w:r>
      <w:r>
        <w:rPr>
          <w:vertAlign w:val="superscript"/>
        </w:rPr>
        <w:t>3</w:t>
      </w:r>
      <w:r>
        <w:t xml:space="preserve"> voor viertaktmotoren en 320 mg/Nm</w:t>
      </w:r>
      <w:r>
        <w:rPr>
          <w:vertAlign w:val="superscript"/>
        </w:rPr>
        <w:t>3</w:t>
      </w:r>
      <w:r>
        <w:t xml:space="preserve"> voor tweetaktmotoren, en voor volledig organische stoffen, uitgedrukt als C (koolstof), met uitzondering van methaan, is de emissiegrenswaarde 115 mg/Nm</w:t>
      </w:r>
      <w:r>
        <w:rPr>
          <w:vertAlign w:val="superscript"/>
        </w:rPr>
        <w:t>3</w:t>
      </w:r>
      <w:r>
        <w: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 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Bijlage 1 bij het decreet wordt gewijzigd overeenkomstig bijlage 1.</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Bijlage 2 bij het decreet treedt in werking overeenkomstig bijlage 2.</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Bijlage 3 bij het decreet treedt in werking overeenkomstig bijlage 3.</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Bijlage 4 bij het decreet wordt gewijzigd overeenkomstig bijlage 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Bijlage 5 bij het decreet wordt gewijzigd overeenkomstig bijlage 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 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Default="00052A46" w:rsidP="004A4164">
      <w:pPr>
        <w:keepNext/>
        <w:keepLines/>
        <w:autoSpaceDE w:val="0"/>
        <w:autoSpaceDN w:val="0"/>
        <w:adjustRightInd w:val="0"/>
      </w:pPr>
    </w:p>
    <w:p w:rsidR="00052A46" w:rsidRDefault="00052A46" w:rsidP="004A4164">
      <w:pPr>
        <w:autoSpaceDE w:val="0"/>
        <w:autoSpaceDN w:val="0"/>
        <w:adjustRightInd w:val="0"/>
      </w:pPr>
      <w:r>
        <w:t>Punt 3.4 van bijlage 4 bij het decreet wordt geschrapt.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 6</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Behoudens het bepaalde in de leden 2 en 3, treedt dit besluit in werking op de vijftiende dag na de bekendmaking ervan.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 2, leden 1 en 2, § 4, lid 3, en bijlage 3 treden in werking op 1 januari 2025.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 4, lid 2, en bijlage 2 treden in werking op 1 januari 2030.</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 7</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Dit decreet moet zorgen voor overeenstemming met Richtlijn (EU) 2015/2193 van het Europees Parlement en de Raad van 25 november 2015 inzake de beperking van de emissies van bepaalde verontreinigende stoffen in de lucht door middelgrote stookinstallaties.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Er is voldaan aan de eis voor voorafgaande kennisgeving van dit decreet, zoals bepaald in de artikelen 5 tot en met 7 van Richtlijn (EU) 2015/1535 van het Europees Parlement en de Raad van 9 september 2015 betreffende een informatieprocedure op het gebied van technische voorschriften en regels betreffende de diensten van de informatiemaatschappij.</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16094" w:rsidRPr="00D4046D" w:rsidRDefault="00716094" w:rsidP="004A4164">
      <w:pPr/>
    </w:p>
    <w:p w:rsidR="00115E21" w:rsidRPr="000B1A9E" w:rsidRDefault="00115E21" w:rsidP="004A4164">
      <w:r>
        <w:t>Boedapest, [datum] juni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15E21" w:rsidRPr="00832B17" w:rsidRDefault="00115E21" w:rsidP="004A4164">
      <w:pPr/>
    </w:p>
    <w:p w:rsidR="004A4164" w:rsidRDefault="002125C2" w:rsidP="004A4164">
      <w:pPr>
        <w:ind w:left="6379"/>
      </w:pPr>
      <w:r>
        <w:t>Dr. István Nagy</w:t>
      </w:r>
    </w:p>
    <w:p w:rsidR="004A4164" w:rsidRPr="004A4164" w:rsidRDefault="004A4164" w:rsidP="004A4164">
      <w:pPr>
        <w:ind w:left="6379"/>
      </w:pPr>
      <w:r>
        <w:rPr>
          <w:i/>
        </w:rPr>
        <w:t>Minister van Landbouw</w:t>
      </w:r>
    </w:p>
    <w:p w:rsidR="00FC1B4C" w:rsidRPr="00D4046D" w:rsidRDefault="00FC1B4C" w:rsidP="004A4164">
      <w:pPr>
        <w:keepNext/>
        <w:keepLines/>
        <w:pageBreakBefore/>
        <w:autoSpaceDE w:val="0"/>
        <w:autoSpaceDN w:val="0"/>
        <w:adjustRightInd w:val="0"/>
        <w:jc w:val="right"/>
        <w:rPr>
          <w:i/>
        </w:rPr>
      </w:pPr>
      <w:r>
        <w:rPr>
          <w:i/>
        </w:rPr>
        <w:t xml:space="preserve">Bijlage 1 bij Decreet nr. .../2019 van ... </w:t>
      </w:r>
      <w:r>
        <w:rPr>
          <w:i/>
        </w:rPr>
        <w:t xml:space="preserve">... </w:t>
      </w:r>
      <w:r>
        <w:rPr>
          <w:i/>
        </w:rPr>
        <w:t>2019 van de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 xml:space="preserve">1. </w:t>
      </w:r>
      <w:r>
        <w:t>Punt 2, subpunt 2.3, van bijlage 1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„2.3 De emissiegrenswaarde voor NO</w:t>
      </w:r>
      <w:r>
        <w:rPr>
          <w:vertAlign w:val="subscript"/>
        </w:rPr>
        <w:t>x</w:t>
      </w:r>
      <w:r>
        <w:t xml:space="preserve"> is 320 mg/m</w:t>
      </w:r>
      <w:r>
        <w:rPr>
          <w:vertAlign w:val="superscript"/>
        </w:rPr>
        <w:t>3</w:t>
      </w:r>
      <w:r>
        <w:t xml:space="preserve"> voor bruinkoolverbranding, 300 mg/m</w:t>
      </w:r>
      <w:r>
        <w:rPr>
          <w:vertAlign w:val="superscript"/>
        </w:rPr>
        <w:t>3</w:t>
      </w:r>
      <w:r>
        <w:t xml:space="preserve"> voor ketels voor wervelbedverbranding die worden gebruikt voor het stoken van vaste biomassabrandstoffen en 210 mg/m</w:t>
      </w:r>
      <w:r>
        <w:rPr>
          <w:vertAlign w:val="superscript"/>
        </w:rPr>
        <w:t>3</w:t>
      </w:r>
      <w:r>
        <w:t xml:space="preserve"> voor ketels voor wervelbedverbranding die worden gebruikt voor het stoken van andere vaste brandstoffen.”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 xml:space="preserve">2. </w:t>
      </w:r>
      <w:r>
        <w:t>Punt 3, subpunt 3.1, van bijlage 1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„3.1 De emissiegrenswaarde voor NO</w:t>
      </w:r>
      <w:r>
        <w:rPr>
          <w:vertAlign w:val="subscript"/>
        </w:rPr>
        <w:t>x</w:t>
      </w:r>
      <w:r>
        <w:t xml:space="preserve"> is 300 mg/m</w:t>
      </w:r>
      <w:r>
        <w:rPr>
          <w:vertAlign w:val="superscript"/>
        </w:rPr>
        <w:t>3</w:t>
      </w:r>
      <w:r>
        <w:t xml:space="preserve"> voor tweetaktmotoren, 225 mg/m</w:t>
      </w:r>
      <w:r>
        <w:rPr>
          <w:vertAlign w:val="superscript"/>
        </w:rPr>
        <w:t>3</w:t>
      </w:r>
      <w:r>
        <w:t xml:space="preserve"> voor viertaktgasmotoren op biogas en stortgas en 1 650 mg/m</w:t>
      </w:r>
      <w:r>
        <w:rPr>
          <w:vertAlign w:val="superscript"/>
        </w:rPr>
        <w:t>3</w:t>
      </w:r>
      <w:r>
        <w:t xml:space="preserve"> voor dieselmotoren die uitsluitend worden gebruikt voor exploratieboringen en 1 500 mg/m</w:t>
      </w:r>
      <w:r>
        <w:rPr>
          <w:vertAlign w:val="superscript"/>
        </w:rPr>
        <w:t>3</w:t>
      </w:r>
      <w:r>
        <w:t xml:space="preserve"> voor overige dieselmotoren.”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Default="00C060D9"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w:t>
      </w:r>
      <w:r>
        <w:t xml:space="preserve">Het onderstaande subpunt 3.4 wordt toegevoegd aan punt 3 van bijlage 1 bij het decreet: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De TOC-emissiegrenswaarde voor gasmotoren op aardgas met een ethaaninhoud van meer dan 5 % is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Bijlage 2 bij Decreet nr. .../2019 van ... </w:t>
      </w:r>
      <w:r>
        <w:rPr>
          <w:i/>
        </w:rPr>
        <w:t xml:space="preserve">... </w:t>
      </w:r>
      <w:r>
        <w:rPr>
          <w:i/>
        </w:rPr>
        <w:t>2019 van de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 xml:space="preserve">1. </w:t>
      </w:r>
      <w:r>
        <w:t>In cel B 5 van de tabel van punt 2 van bijlage 5 bij het decreet wordt „1 500” vervangen door„375”.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 xml:space="preserve">2. </w:t>
      </w:r>
      <w:r>
        <w:t>Punt 2, subpunt 2.5, van bijlage 2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„2.5 De emissiegrenswaarde voor NO</w:t>
      </w:r>
      <w:r>
        <w:rPr>
          <w:vertAlign w:val="subscript"/>
        </w:rPr>
        <w:t>x</w:t>
      </w:r>
      <w:r>
        <w:t xml:space="preserve"> is 320 mg/Nm</w:t>
      </w:r>
      <w:r>
        <w:rPr>
          <w:vertAlign w:val="superscript"/>
        </w:rPr>
        <w:t>3</w:t>
      </w:r>
      <w:r>
        <w:t xml:space="preserve"> voor bruinkoolverbranding, 300 mg/Nm</w:t>
      </w:r>
      <w:r>
        <w:rPr>
          <w:vertAlign w:val="superscript"/>
        </w:rPr>
        <w:t>3</w:t>
      </w:r>
      <w:r>
        <w:t xml:space="preserve"> voor ketels voor wervelbedverbranding die worden gebruikt voor het stoken van vaste biomassabrandstoffen en 210 mg/Nm</w:t>
      </w:r>
      <w:r>
        <w:rPr>
          <w:vertAlign w:val="superscript"/>
        </w:rPr>
        <w:t>3</w:t>
      </w:r>
      <w:r>
        <w:t xml:space="preserve"> voor ketels voor wervelbedverbranding die worden gebruikt voor het stoken van andere vaste brandstoffen.”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 xml:space="preserve">3. </w:t>
      </w:r>
      <w:r>
        <w:t>Punt 3, subpunt 3.3, van bijlage 2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„3.3 De emissiegrenswaarde voor NO</w:t>
      </w:r>
      <w:r>
        <w:rPr>
          <w:vertAlign w:val="subscript"/>
        </w:rPr>
        <w:t>x</w:t>
      </w:r>
      <w:r>
        <w:t xml:space="preserve"> is 1 500 mg/Nm</w:t>
      </w:r>
      <w:r>
        <w:rPr>
          <w:vertAlign w:val="superscript"/>
        </w:rPr>
        <w:t>3</w:t>
      </w:r>
      <w:r>
        <w:t xml:space="preserve"> in de volgende gevallen:</w:t>
      </w:r>
    </w:p>
    <w:p w:rsidR="00DD14C1" w:rsidRPr="00D4046D" w:rsidRDefault="00DD14C1" w:rsidP="004A4164">
      <w:pPr>
        <w:autoSpaceDE w:val="0"/>
        <w:autoSpaceDN w:val="0"/>
        <w:adjustRightInd w:val="0"/>
        <w:jc w:val="both"/>
      </w:pPr>
      <w:r>
        <w:t>a)</w:t>
      </w:r>
      <w:r>
        <w:tab/>
      </w:r>
      <w:r>
        <w:t>voor dieselmotoren waarvan de bouw vóór 18 mei 2006 aanving;</w:t>
      </w:r>
    </w:p>
    <w:p w:rsidR="00FC1B4C" w:rsidRPr="00D4046D" w:rsidRDefault="00DD14C1" w:rsidP="004A4164">
      <w:pPr>
        <w:autoSpaceDE w:val="0"/>
        <w:autoSpaceDN w:val="0"/>
        <w:adjustRightInd w:val="0"/>
        <w:jc w:val="both"/>
      </w:pPr>
      <w:r>
        <w:t>b)</w:t>
      </w:r>
      <w:r>
        <w:tab/>
      </w:r>
      <w:r>
        <w:t>voor dual-fuelmotoren in de vloeibare-brandstofmodus.”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Default="00400308"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400308" w:rsidRPr="00D4046D" w:rsidRDefault="00400308" w:rsidP="004A4164">
      <w:pPr>
        <w:keepNext/>
        <w:keepLines/>
        <w:autoSpaceDE w:val="0"/>
        <w:autoSpaceDN w:val="0"/>
        <w:adjustRightInd w:val="0"/>
        <w:jc w:val="both"/>
      </w:pPr>
      <w:r>
        <w:t xml:space="preserve">4. </w:t>
      </w:r>
      <w:r>
        <w:t xml:space="preserve">Het onderstaande subpunt 3.8 wordt toegevoegd aan punt 3 van bijlage 2 bij het decreet: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De TOC-emissiegrenswaarde voor gasmotoren op aardgas met een ethaaninhoud van meer dan 5 % is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t xml:space="preserve">Bijlage 3 bij Decreet nr. .../2019 van ... </w:t>
      </w:r>
      <w:r>
        <w:rPr>
          <w:i/>
        </w:rPr>
        <w:t xml:space="preserve">... </w:t>
      </w:r>
      <w:r>
        <w:rPr>
          <w:i/>
        </w:rPr>
        <w:t>2019 van de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 xml:space="preserve">1. </w:t>
      </w:r>
      <w:r>
        <w:t>In cel B 5 van de tabel van punt 2 van bijlage 3 bij het decreet wordt „1 500” vervangen door„375”.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 xml:space="preserve">2. </w:t>
      </w:r>
      <w:r>
        <w:t>Punt 2, subpunt 2.6, van bijlage 3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„2.6 De emissiegrenswaarde voor NO</w:t>
      </w:r>
      <w:r>
        <w:rPr>
          <w:vertAlign w:val="subscript"/>
        </w:rPr>
        <w:t>x</w:t>
      </w:r>
      <w:r>
        <w:t xml:space="preserve"> is 320 mg/m</w:t>
      </w:r>
      <w:r>
        <w:rPr>
          <w:vertAlign w:val="superscript"/>
        </w:rPr>
        <w:t>3</w:t>
      </w:r>
      <w:r>
        <w:t xml:space="preserve"> voor bruinkoolverbranding, 300 mg/m</w:t>
      </w:r>
      <w:r>
        <w:rPr>
          <w:vertAlign w:val="superscript"/>
        </w:rPr>
        <w:t>3</w:t>
      </w:r>
      <w:r>
        <w:t xml:space="preserve"> voor ketels voor wervelbedverbranding die worden gebruikt voor het stoken van vaste biomassabrandstoffen en 210 mg/m</w:t>
      </w:r>
      <w:r>
        <w:rPr>
          <w:vertAlign w:val="superscript"/>
        </w:rPr>
        <w:t>3</w:t>
      </w:r>
      <w:r>
        <w:t xml:space="preserve"> voor ketels voor wervelbedverbranding die worden gebruikt voor het stoken van andere vaste brandstoffen.”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C1B4C" w:rsidRDefault="00FC1B4C"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 xml:space="preserve">3. </w:t>
      </w:r>
      <w:r>
        <w:t>Punt 3, subpunt 3.2, van bijlage 3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6AAE" w:rsidRPr="00D4046D" w:rsidRDefault="00F86AAE" w:rsidP="004A4164">
      <w:pPr>
        <w:keepNext/>
        <w:keepLines/>
      </w:pPr>
    </w:p>
    <w:p w:rsidR="00F86AAE" w:rsidRPr="00D4046D" w:rsidRDefault="00F86AAE" w:rsidP="004A4164">
      <w:r>
        <w:t>„3.2 De emissiegrenswaarde voor NO</w:t>
      </w:r>
      <w:r>
        <w:rPr>
          <w:vertAlign w:val="subscript"/>
        </w:rPr>
        <w:t>x</w:t>
      </w:r>
      <w:r>
        <w:t xml:space="preserve"> is 1 500 mg/Nm</w:t>
      </w:r>
      <w:r>
        <w:rPr>
          <w:vertAlign w:val="superscript"/>
        </w:rPr>
        <w:t>3</w:t>
      </w:r>
      <w:r>
        <w:t xml:space="preserve"> in de volgende gevallen:</w:t>
      </w:r>
    </w:p>
    <w:p w:rsidR="00F86AAE" w:rsidRPr="00D4046D" w:rsidRDefault="00F86AAE" w:rsidP="004A4164">
      <w:r>
        <w:t>a)</w:t>
      </w:r>
      <w:r>
        <w:tab/>
      </w:r>
      <w:r>
        <w:t>voor dieselmotoren waarvan de bouw vóór 18 mei 2006 aanving;</w:t>
      </w:r>
    </w:p>
    <w:p w:rsidR="00A00383" w:rsidRPr="00D4046D" w:rsidRDefault="00F86AAE" w:rsidP="004A4164">
      <w:r>
        <w:t>b)</w:t>
      </w:r>
      <w:r>
        <w:tab/>
      </w:r>
      <w:r>
        <w:t>voor dual-fuelmotoren in de vloeibare-brandstofmodus.”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Default="00A00383"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A00383" w:rsidRPr="00D4046D" w:rsidRDefault="00A00383" w:rsidP="004A4164">
      <w:pPr>
        <w:keepNext/>
        <w:keepLines/>
        <w:autoSpaceDE w:val="0"/>
        <w:autoSpaceDN w:val="0"/>
        <w:adjustRightInd w:val="0"/>
        <w:jc w:val="both"/>
      </w:pPr>
      <w:r>
        <w:t xml:space="preserve">4. </w:t>
      </w:r>
      <w:r>
        <w:t xml:space="preserve">Aan punt 3 van bijlage 3 bij het decreet worden de volgende subpunten 3.9 en 3.10 toegevoegd: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De TOC-emissiegrenswaarde voor gasmotoren op aardgas met een ethaaninhoud van meer dan 5 % is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In het geval van gasmotoren die voor 1 januari 1994 in gebruik zijn genomen en die worden gebruikt om gascompressiestations aan te drijven om de veiligheid en de zekerheid van nationale gastransmissiesystemen te waarborgen, is de CO-emissiegrenswaarde voor viertaktmotoren 375 mg/m</w:t>
      </w:r>
      <w:r>
        <w:rPr>
          <w:rFonts w:eastAsiaTheme="minorEastAsia"/>
          <w:vertAlign w:val="superscript"/>
        </w:rPr>
        <w:t>3</w:t>
      </w:r>
      <w:r>
        <w:t xml:space="preserve"> en voor tweetaktmotoren 320 mg/m</w:t>
      </w:r>
      <w:r>
        <w:rPr>
          <w:rFonts w:eastAsiaTheme="minorEastAsia"/>
          <w:vertAlign w:val="superscript"/>
        </w:rPr>
        <w:t>3</w:t>
      </w:r>
      <w:r>
        <w:t xml:space="preserve"> en is de TOC-emissiegrenswaarde tot 1 januari 2030 115 mg/m</w:t>
      </w:r>
      <w:r>
        <w:rPr>
          <w:rFonts w:eastAsiaTheme="minorEastAsia"/>
          <w:vertAlign w:val="superscript"/>
        </w:rPr>
        <w:t>3</w:t>
      </w:r>
      <w:r>
        <w:t>.”</w:t>
      </w:r>
    </w:p>
    <w:p w:rsidR="00F94FF8" w:rsidRPr="00D4046D" w:rsidRDefault="00F94FF8" w:rsidP="004A4164">
      <w:pPr>
        <w:keepNext/>
        <w:keepLines/>
        <w:pageBreakBefore/>
        <w:autoSpaceDE w:val="0"/>
        <w:autoSpaceDN w:val="0"/>
        <w:adjustRightInd w:val="0"/>
        <w:jc w:val="right"/>
        <w:rPr>
          <w:i/>
        </w:rPr>
      </w:pPr>
      <w:r>
        <w:rPr>
          <w:i/>
        </w:rPr>
        <w:t xml:space="preserve">Bijlage 4 bij Decreet nr. .../2019 van ... </w:t>
      </w:r>
      <w:r>
        <w:rPr>
          <w:i/>
        </w:rPr>
        <w:t xml:space="preserve">... </w:t>
      </w:r>
      <w:r>
        <w:rPr>
          <w:i/>
        </w:rPr>
        <w:t>2019 van de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46AD7" w:rsidRPr="00D4046D" w:rsidRDefault="00846AD7" w:rsidP="004A4164">
      <w:pPr>
        <w:keepNext/>
        <w:keepLines/>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pPr>
    </w:p>
    <w:p w:rsidR="00F94FF8" w:rsidRPr="00D4046D" w:rsidRDefault="00F94FF8" w:rsidP="004A4164">
      <w:pPr>
        <w:keepNext/>
        <w:keepLines/>
        <w:autoSpaceDE w:val="0"/>
        <w:autoSpaceDN w:val="0"/>
        <w:adjustRightInd w:val="0"/>
      </w:pPr>
      <w:r>
        <w:t xml:space="preserve">1. </w:t>
      </w:r>
      <w:r>
        <w:t>Punt 2, subpunt 2.5, van bijlage 4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„2.5 De emissiegrenswaarde voor NO</w:t>
      </w:r>
      <w:r>
        <w:rPr>
          <w:vertAlign w:val="subscript"/>
        </w:rPr>
        <w:t>x</w:t>
      </w:r>
      <w:r>
        <w:t xml:space="preserve"> is 320 mg/m</w:t>
      </w:r>
      <w:r>
        <w:rPr>
          <w:vertAlign w:val="superscript"/>
        </w:rPr>
        <w:t>3</w:t>
      </w:r>
      <w:r>
        <w:t xml:space="preserve"> voor bruinkoolverbranding, 300 mg/m</w:t>
      </w:r>
      <w:r>
        <w:rPr>
          <w:vertAlign w:val="superscript"/>
        </w:rPr>
        <w:t>3</w:t>
      </w:r>
      <w:r>
        <w:t xml:space="preserve"> voor ketels voor wervelbedverbranding die worden gebruikt voor het stoken van vaste biomassabrandstoffen en 210 mg/m</w:t>
      </w:r>
      <w:r>
        <w:rPr>
          <w:vertAlign w:val="superscript"/>
        </w:rPr>
        <w:t>3</w:t>
      </w:r>
      <w:r>
        <w:t xml:space="preserve"> voor ketels voor wervelbedverbranding die worden gebruikt voor het stoken van andere vaste brandstoffen.”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 xml:space="preserve">2. </w:t>
      </w:r>
      <w:r>
        <w:t>Punt 3, subpunt 3.3, van bijlage 4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„3.3 De emissiegrenswaarde voor NO</w:t>
      </w:r>
      <w:r>
        <w:rPr>
          <w:vertAlign w:val="subscript"/>
        </w:rPr>
        <w:t>x</w:t>
      </w:r>
      <w:r>
        <w:t xml:space="preserve"> voor dieselmotoren, indien hun NO</w:t>
      </w:r>
      <w:r>
        <w:rPr>
          <w:vertAlign w:val="subscript"/>
        </w:rPr>
        <w:t>x</w:t>
      </w:r>
      <w:r>
        <w:t>-emissie is beperkt naar aanleiding van primaire maatregelen, die uitsluitend worden gebruikt voor exploratieboringen is 1 650 mg/m</w:t>
      </w:r>
      <w:r>
        <w:rPr>
          <w:vertAlign w:val="superscript"/>
        </w:rPr>
        <w:t>3</w:t>
      </w:r>
      <w:r>
        <w:t xml:space="preserve"> en 1 500 mg/m</w:t>
      </w:r>
      <w:r>
        <w:rPr>
          <w:vertAlign w:val="superscript"/>
        </w:rPr>
        <w:t>3</w:t>
      </w:r>
      <w:r>
        <w:t xml:space="preserve"> voor overige dieselmotoren.”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92A3F" w:rsidRDefault="00D92A3F" w:rsidP="004A4164">
      <w:pPr>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 xml:space="preserve">3. </w:t>
      </w:r>
      <w:r>
        <w:t>Het onderstaande subpunt 3.8 wordt toegevoegd aan punt 3 van bijlage 4 bij het decreet: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De TOC-emissiegrenswaarde voor gasmotoren op aardgas met een ethaaninhoud van meer dan 5 % is 95 mg/m</w:t>
      </w:r>
      <w:r>
        <w:rPr>
          <w:vertAlign w:val="superscript"/>
        </w:rPr>
        <w:t>3</w:t>
      </w:r>
      <w:r>
        <w:t>.”</w:t>
      </w:r>
    </w:p>
    <w:p w:rsidR="001733D0" w:rsidRPr="00D4046D" w:rsidRDefault="001733D0" w:rsidP="004A4164">
      <w:pPr>
        <w:keepNext/>
        <w:keepLines/>
        <w:pageBreakBefore/>
        <w:jc w:val="right"/>
        <w:rPr>
          <w:i/>
        </w:rPr>
      </w:pPr>
      <w:r>
        <w:rPr>
          <w:i/>
        </w:rPr>
        <w:t xml:space="preserve">Bijlage 5 bij Decreet nr. .../2019 van ... </w:t>
      </w:r>
      <w:r>
        <w:rPr>
          <w:i/>
        </w:rPr>
        <w:t xml:space="preserve">... </w:t>
      </w:r>
      <w:r>
        <w:rPr>
          <w:i/>
        </w:rPr>
        <w:t>2019 van de minister van Landbouw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w:t>
      </w:r>
      <w:r>
        <w:t xml:space="preserve">In cel B 5 van de tabel van punt 2 van bijlage 5 bij het decreet wordt „1 500” vervangen door„375”.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Default="00F94FF8" w:rsidP="004A4164">
      <w:pPr>
        <w:autoSpaceDE w:val="0"/>
        <w:autoSpaceDN w:val="0"/>
        <w:adjustRightInd w:val="0"/>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 xml:space="preserve">2. </w:t>
      </w:r>
      <w:r>
        <w:t>Punt 2, subpunten 2.3 en 2.4, van bijlage 5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„2.3 De emissiegrenswaarde voor NO</w:t>
      </w:r>
      <w:r>
        <w:rPr>
          <w:vertAlign w:val="subscript"/>
        </w:rPr>
        <w:t>x</w:t>
      </w:r>
      <w:r>
        <w:t xml:space="preserve"> is 500 mg/m</w:t>
      </w:r>
      <w:r>
        <w:rPr>
          <w:vertAlign w:val="superscript"/>
        </w:rPr>
        <w:t>3</w:t>
      </w:r>
      <w:r>
        <w:t xml:space="preserve"> voor stookinstallaties die vaste brandstoffen stoken met een totaal nominaal thermisch ingangsvermogen van 1 MW of meer maar minder dan 5 MW, met de uitzondering dat de emissiegrenswaarde voor bruinkoolverbranding 320 mg/Nm</w:t>
      </w:r>
      <w:r>
        <w:rPr>
          <w:vertAlign w:val="superscript"/>
        </w:rPr>
        <w:t>3</w:t>
      </w:r>
      <w:r>
        <w:t xml:space="preserve"> en voor ketels voor wervelbedverbranding die worden gebruikt voor het stoken van vaste biomassabrandstoffen 300 mg/Nm</w:t>
      </w:r>
      <w:r>
        <w:rPr>
          <w:vertAlign w:val="superscript"/>
        </w:rPr>
        <w:t>3</w:t>
      </w:r>
      <w:r>
        <w:t xml:space="preserve"> is.</w:t>
      </w:r>
    </w:p>
    <w:p w:rsidR="00F94FF8" w:rsidRPr="00D4046D" w:rsidRDefault="00F94FF8" w:rsidP="004A4164">
      <w:pPr>
        <w:autoSpaceDE w:val="0"/>
        <w:autoSpaceDN w:val="0"/>
        <w:adjustRightInd w:val="0"/>
        <w:jc w:val="both"/>
      </w:pPr>
      <w:r>
        <w:t>2.4 De emissiegrenswaarde voor NO</w:t>
      </w:r>
      <w:r>
        <w:rPr>
          <w:vertAlign w:val="subscript"/>
        </w:rPr>
        <w:t>x</w:t>
      </w:r>
      <w:r>
        <w:t xml:space="preserve"> is 210 mg/m</w:t>
      </w:r>
      <w:r>
        <w:rPr>
          <w:vertAlign w:val="superscript"/>
        </w:rPr>
        <w:t>3</w:t>
      </w:r>
      <w:r>
        <w:t xml:space="preserve"> voor ketels voor wervelbedverbranding die worden gebruikt voor het stoken van overige brandstoffen.”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Default="001733D0" w:rsidP="004A4164">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D4046D" w:rsidRDefault="004A4164" w:rsidP="004A4164">
      <w:pPr/>
    </w:p>
    <w:p w:rsidR="001733D0" w:rsidRPr="00D4046D" w:rsidRDefault="001733D0" w:rsidP="004A4164">
      <w:pPr>
        <w:keepNext/>
        <w:keepLines/>
        <w:autoSpaceDE w:val="0"/>
        <w:autoSpaceDN w:val="0"/>
        <w:adjustRightInd w:val="0"/>
      </w:pPr>
      <w:r>
        <w:t xml:space="preserve">3. </w:t>
      </w:r>
      <w:r>
        <w:t>Punt 3, subpunt 3.2, van bijlage 5 bij het decreet wordt vervangen door het volgende: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733D0" w:rsidRPr="00D4046D" w:rsidRDefault="001733D0" w:rsidP="004A4164">
      <w:pPr>
        <w:keepNext/>
        <w:keepLines/>
      </w:pPr>
    </w:p>
    <w:p w:rsidR="001733D0" w:rsidRPr="00D4046D" w:rsidRDefault="001733D0" w:rsidP="004A4164">
      <w:pPr>
        <w:jc w:val="both"/>
      </w:pPr>
      <w:r>
        <w:t>„3.2 In het geval van motoren die tussen 500 en 1 500 uur per jaar in bedrijf zijn, indien hun NO</w:t>
      </w:r>
      <w:r>
        <w:rPr>
          <w:vertAlign w:val="subscript"/>
        </w:rPr>
        <w:t>x</w:t>
      </w:r>
      <w:r>
        <w:t>-emissie is beperkt naar aanleiding van primaire maatregelen, moeten de volgende emissiegrenswaarden voor NO</w:t>
      </w:r>
      <w:r>
        <w:rPr>
          <w:vertAlign w:val="subscript"/>
        </w:rPr>
        <w:t>x</w:t>
      </w:r>
      <w:r>
        <w:t xml:space="preserve"> worden toegepast:</w:t>
      </w:r>
    </w:p>
    <w:p w:rsidR="001733D0" w:rsidRPr="00D4046D" w:rsidRDefault="001733D0" w:rsidP="004A4164">
      <w:pPr>
        <w:jc w:val="both"/>
      </w:pPr>
      <w:r>
        <w:t>a) 1 300 mg/Nm</w:t>
      </w:r>
      <w:r>
        <w:rPr>
          <w:vertAlign w:val="superscript"/>
        </w:rPr>
        <w:t>3</w:t>
      </w:r>
      <w:r>
        <w:t xml:space="preserve"> voor dieselmotoren met een totaal nominaal thermisch ingangsvermogen van maximaal 20 MW met ≤ 1 200 omw./min.;</w:t>
      </w:r>
    </w:p>
    <w:p w:rsidR="001733D0" w:rsidRPr="00EF21F5" w:rsidRDefault="001733D0" w:rsidP="004A4164">
      <w:pPr>
        <w:jc w:val="both"/>
      </w:pPr>
      <w:r>
        <w:t>b) 1 500 mg/Nm</w:t>
      </w:r>
      <w:r>
        <w:rPr>
          <w:vertAlign w:val="superscript"/>
        </w:rPr>
        <w:t>3</w:t>
      </w:r>
      <w:r>
        <w:t xml:space="preserve"> voor dieselmotoren met een totaal nominaal thermisch ingangsvermogen van meer dan 20 MW en voor dual-fuelmotoren in vloeibare-brandstofmodus;</w:t>
      </w:r>
    </w:p>
    <w:p w:rsidR="007A2FAA" w:rsidRPr="00EF21F5" w:rsidRDefault="001733D0" w:rsidP="004A4164">
      <w:pPr>
        <w:jc w:val="both"/>
      </w:pPr>
      <w:r>
        <w:t>c) 750 mg/Nm</w:t>
      </w:r>
      <w:r>
        <w:rPr>
          <w:vertAlign w:val="superscript"/>
        </w:rPr>
        <w:t>3</w:t>
      </w:r>
      <w:r>
        <w:t xml:space="preserve"> voor dieselmotoren met &gt; 1 200 omw./min.;</w:t>
      </w:r>
    </w:p>
    <w:p w:rsidR="00F94FF8" w:rsidRPr="00EF21F5" w:rsidRDefault="007A2FAA" w:rsidP="004A4164">
      <w:pPr>
        <w:jc w:val="both"/>
      </w:pPr>
      <w:r>
        <w:t>d) 380 mg/Nm</w:t>
      </w:r>
      <w:r>
        <w:rPr>
          <w:vertAlign w:val="superscript"/>
        </w:rPr>
        <w:t>3</w:t>
      </w:r>
      <w:r>
        <w:t xml:space="preserve"> voor dual-fuelmotoren in vloeibare-brandstofmodus.”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Default="00C828A5" w:rsidP="004A4164">
      <w:pPr>
        <w:jc w:val="both"/>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4164" w:rsidRPr="00EF21F5" w:rsidRDefault="004A4164" w:rsidP="004A4164">
      <w:pPr>
        <w:jc w:val="both"/>
      </w:pPr>
    </w:p>
    <w:p w:rsidR="003758D5" w:rsidRPr="00EF21F5" w:rsidRDefault="003758D5" w:rsidP="004A4164">
      <w:pPr>
        <w:keepNext/>
        <w:keepLines/>
      </w:pPr>
      <w:r>
        <w:t xml:space="preserve">4. </w:t>
      </w:r>
      <w:r>
        <w:t>Het onderstaande subpunt 3.9 wordt toegevoegd aan punt 3 van bijlage 5 bij het decreet: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3758D5" w:rsidRPr="00EF21F5" w:rsidRDefault="003758D5" w:rsidP="004A4164">
      <w:pPr>
        <w:keepNext/>
        <w:keepLines/>
      </w:pPr>
    </w:p>
    <w:p w:rsidR="00C828A5" w:rsidRPr="00C828A5" w:rsidRDefault="003758D5" w:rsidP="004A4164">
      <w:pPr>
        <w:rPr>
          <w:rFonts w:eastAsiaTheme="minorHAnsi"/>
        </w:rPr>
      </w:pPr>
      <w:r>
        <w:t>„3.9 De TOC-emissiegrenswaarde voor gasmotoren op aardgas met een ethaaninhoud van meer dan 5 % is 95 mg/m</w:t>
      </w:r>
      <w:r>
        <w:rPr>
          <w:vertAlign w:val="superscript"/>
        </w:rPr>
        <w:t>3</w:t>
      </w:r>
      <w:r>
        <w:t>.”</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828A5" w:rsidRPr="00C828A5"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43786F" w:rsidRDefault="0043786F">
      <w:pPr/>
      <w:r>
        <w:separator/>
      </w:r>
    </w:p>
  </w:endnote>
  <w:endnote xmlns:w15="http://schemas.microsoft.com/office/word/2012/wordml" w:type="continuationSeparator" w:id="0">
    <w:p w:rsidR="0043786F" w:rsidRDefault="0043786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xmlns:w="http://schemas.openxmlformats.org/wordprocessingml/2006/main">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Opgesteld door:</w:t>
          </w:r>
        </w:p>
        <w:p w:rsidR="00F80E39" w:rsidRPr="008430F8" w:rsidRDefault="00F80E39" w:rsidP="00A00383">
          <w:pPr>
            <w:pStyle w:val="Footer"/>
            <w:jc w:val="center"/>
            <w:rPr>
              <w:sz w:val="16"/>
              <w:szCs w:val="16"/>
            </w:rPr>
          </w:pPr>
          <w:r>
            <w:rPr>
              <w:sz w:val="16"/>
            </w:rPr>
            <w:t>Dr. Hunor Orban</w:t>
          </w:r>
        </w:p>
        <w:p w:rsidR="00F80E39" w:rsidRPr="008430F8" w:rsidRDefault="00F80E39" w:rsidP="00A00383">
          <w:pPr>
            <w:pStyle w:val="Footer"/>
            <w:jc w:val="center"/>
            <w:rPr>
              <w:i/>
              <w:sz w:val="16"/>
              <w:szCs w:val="16"/>
            </w:rPr>
          </w:pPr>
          <w:r>
            <w:rPr>
              <w:i/>
              <w:sz w:val="16"/>
            </w:rPr>
            <w:t>Afdelingshoofd</w:t>
          </w:r>
        </w:p>
        <w:p w:rsidR="00F80E39" w:rsidRPr="008430F8" w:rsidRDefault="00F80E39" w:rsidP="00A00383">
          <w:pPr>
            <w:pStyle w:val="Footer"/>
            <w:jc w:val="center"/>
            <w:rPr>
              <w:sz w:val="16"/>
              <w:szCs w:val="16"/>
            </w:rPr>
          </w:pPr>
          <w:r>
            <w:rPr>
              <w:sz w:val="16"/>
            </w:rPr>
            <w:t>+36 1 795 5859</w:t>
          </w:r>
        </w:p>
        <w:p w:rsidR="00F80E39" w:rsidRPr="008430F8" w:rsidRDefault="002125C2" w:rsidP="00A00383">
          <w:pPr>
            <w:pStyle w:val="Footer"/>
            <w:jc w:val="center"/>
            <w:rPr>
              <w:i/>
              <w:sz w:val="16"/>
              <w:szCs w:val="16"/>
            </w:rPr>
          </w:pPr>
          <w:hyperlink r:id="rId1">
            <w:r>
              <w:rPr>
                <w:rStyle w:val="Hyperlink"/>
                <w:i/>
                <w:sz w:val="16"/>
              </w:rPr>
              <w:t>hunor.orban@am.gov.hu</w:t>
            </w:r>
          </w:hyperlink>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Dr. Tamás Andréka</w:t>
          </w:r>
        </w:p>
        <w:p w:rsidR="00F80E39" w:rsidRPr="008430F8" w:rsidRDefault="00F80E39" w:rsidP="00A00383">
          <w:pPr>
            <w:tabs>
              <w:tab w:val="center" w:pos="4536"/>
              <w:tab w:val="right" w:pos="9072"/>
            </w:tabs>
            <w:jc w:val="center"/>
            <w:rPr>
              <w:i/>
              <w:sz w:val="16"/>
              <w:szCs w:val="16"/>
            </w:rPr>
          </w:pPr>
          <w:r>
            <w:rPr>
              <w:i/>
              <w:sz w:val="16"/>
            </w:rPr>
            <w:t>Afdelingshoofd</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2125C2" w:rsidP="00A00383">
          <w:pPr>
            <w:tabs>
              <w:tab w:val="center" w:pos="4536"/>
              <w:tab w:val="right" w:pos="9072"/>
            </w:tabs>
            <w:jc w:val="center"/>
            <w:rPr>
              <w:i/>
              <w:sz w:val="16"/>
              <w:szCs w:val="16"/>
            </w:rPr>
          </w:pPr>
          <w:hyperlink r:id="rId2">
            <w:r>
              <w:rPr>
                <w:rStyle w:val="Hyperlink"/>
                <w:i/>
                <w:sz w:val="16"/>
              </w:rPr>
              <w:t>tamas.andreka@am.gov.hu</w:t>
            </w:r>
          </w:hyperlink>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37" w:type="pct"/>
          <w:hideMark/>
        </w:tcPr>
        <w:p w:rsidR="00F80E39" w:rsidRPr="008430F8" w:rsidRDefault="00F80E39" w:rsidP="00A00383">
          <w:pPr>
            <w:pStyle w:val="Footer"/>
            <w:jc w:val="center"/>
            <w:rPr>
              <w:sz w:val="16"/>
              <w:szCs w:val="16"/>
            </w:rPr>
          </w:pPr>
          <w:r>
            <w:rPr>
              <w:sz w:val="16"/>
            </w:rPr>
            <w:t>Herzien door:</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Afgevaardigde staatsminister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András Rácz</w:t>
          </w:r>
        </w:p>
        <w:p w:rsidR="00F80E39" w:rsidRPr="008430F8" w:rsidRDefault="00F80E39" w:rsidP="00A00383">
          <w:pPr>
            <w:pStyle w:val="Footer"/>
            <w:jc w:val="center"/>
            <w:rPr>
              <w:i/>
              <w:sz w:val="16"/>
              <w:szCs w:val="16"/>
            </w:rPr>
          </w:pPr>
          <w:r>
            <w:rPr>
              <w:i/>
              <w:sz w:val="16"/>
            </w:rPr>
            <w:t xml:space="preserve">Staatsminister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Dr. István Tomasitz</w:t>
          </w:r>
        </w:p>
        <w:p w:rsidR="00F80E39" w:rsidRPr="008430F8" w:rsidRDefault="00F80E39" w:rsidP="00A00383">
          <w:pPr>
            <w:pStyle w:val="Footer"/>
            <w:jc w:val="center"/>
            <w:rPr>
              <w:i/>
              <w:sz w:val="16"/>
              <w:szCs w:val="16"/>
              <w:highlight w:val="yellow"/>
            </w:rPr>
          </w:pPr>
          <w:r>
            <w:rPr>
              <w:i/>
              <w:sz w:val="16"/>
            </w:rPr>
            <w:t>Staatsminister</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1355" w:type="pct"/>
          <w:hideMark/>
        </w:tcPr>
        <w:p w:rsidR="00F80E39" w:rsidRPr="001F2F45" w:rsidRDefault="00F80E39" w:rsidP="00A00383">
          <w:pPr>
            <w:pStyle w:val="Footer"/>
            <w:jc w:val="center"/>
            <w:rPr>
              <w:sz w:val="16"/>
              <w:szCs w:val="16"/>
            </w:rPr>
          </w:pPr>
          <w:r>
            <w:rPr>
              <w:sz w:val="16"/>
            </w:rPr>
            <w:t>Goedgekeurd door: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Dr. István Nagy</w:t>
          </w:r>
        </w:p>
        <w:p w:rsidR="00F80E39" w:rsidRPr="008430F8" w:rsidRDefault="00F80E39" w:rsidP="004A4164">
          <w:pPr>
            <w:pStyle w:val="Footer"/>
            <w:jc w:val="center"/>
            <w:rPr>
              <w:sz w:val="16"/>
              <w:szCs w:val="16"/>
              <w:highlight w:val="yellow"/>
            </w:rPr>
          </w:pPr>
          <w:r>
            <w:rPr>
              <w:i/>
              <w:sz w:val="16"/>
            </w:rPr>
            <w:t>Minister</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F80E39" w:rsidRPr="00BE1C91" w:rsidRDefault="00F80E39" w:rsidP="00BE1C91">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43786F" w:rsidRDefault="0043786F">
      <w:pPr/>
      <w:r>
        <w:separator/>
      </w:r>
    </w:p>
  </w:footnote>
  <w:footnote xmlns:w15="http://schemas.microsoft.com/office/word/2012/wordml" w:type="continuationSeparator" w:id="0">
    <w:p w:rsidR="0043786F" w:rsidRDefault="0043786F">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2125C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AC12FBB-53F7-4C63-84A9-209E1B687C8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nl-NL" w:eastAsia="nl-NL" w:bidi="nl-NL"/>
      </w:rPr>
    </w:rPrDefault>
    <w:pPrDefault/>
  </w:docDefaults>
  <w:latentStyles xmlns:w15="http://schemas.microsoft.com/office/word/2012/wordml"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146C4F"/>
    <w:rPr>
      <w:sz w:val="24"/>
      <w:szCs w:val="24"/>
    </w:rPr>
  </w:style>
  <w:style xmlns:w15="http://schemas.microsoft.com/office/word/2012/wordml"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xmlns:w15="http://schemas.microsoft.com/office/word/2012/wordml"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xmlns:w15="http://schemas.microsoft.com/office/word/2012/wordml"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xmlns:w15="http://schemas.microsoft.com/office/word/2012/wordml"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xmlns:w15="http://schemas.microsoft.com/office/word/2012/wordml"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xmlns:w15="http://schemas.microsoft.com/office/word/2012/wordml"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customStyle="1" w:styleId="Heading1Char">
    <w:name w:val="Heading 1 Char"/>
    <w:link w:val="Heading1"/>
    <w:uiPriority w:val="99"/>
    <w:locked/>
    <w:rsid w:val="00952BC7"/>
    <w:rPr>
      <w:b/>
      <w:kern w:val="1"/>
      <w:sz w:val="40"/>
    </w:rPr>
  </w:style>
  <w:style xmlns:w15="http://schemas.microsoft.com/office/word/2012/wordml" w:type="character" w:customStyle="1" w:styleId="Heading2Char">
    <w:name w:val="Heading 2 Char"/>
    <w:link w:val="Heading2"/>
    <w:uiPriority w:val="99"/>
    <w:locked/>
    <w:rsid w:val="00952BC7"/>
    <w:rPr>
      <w:b/>
      <w:kern w:val="1"/>
      <w:sz w:val="32"/>
    </w:rPr>
  </w:style>
  <w:style xmlns:w15="http://schemas.microsoft.com/office/word/2012/wordml" w:type="character" w:customStyle="1" w:styleId="Heading3Char">
    <w:name w:val="Heading 3 Char"/>
    <w:link w:val="Heading3"/>
    <w:uiPriority w:val="99"/>
    <w:locked/>
    <w:rsid w:val="00952BC7"/>
    <w:rPr>
      <w:b/>
      <w:kern w:val="1"/>
      <w:sz w:val="32"/>
    </w:rPr>
  </w:style>
  <w:style xmlns:w15="http://schemas.microsoft.com/office/word/2012/wordml" w:type="character" w:customStyle="1" w:styleId="Heading4Char">
    <w:name w:val="Heading 4 Char"/>
    <w:link w:val="Heading4"/>
    <w:uiPriority w:val="99"/>
    <w:locked/>
    <w:rsid w:val="00952BC7"/>
    <w:rPr>
      <w:b/>
      <w:kern w:val="1"/>
      <w:sz w:val="24"/>
    </w:rPr>
  </w:style>
  <w:style xmlns:w15="http://schemas.microsoft.com/office/word/2012/wordml" w:type="character" w:customStyle="1" w:styleId="Heading5Char">
    <w:name w:val="Heading 5 Char"/>
    <w:link w:val="Heading5"/>
    <w:uiPriority w:val="99"/>
    <w:locked/>
    <w:rsid w:val="00952BC7"/>
    <w:rPr>
      <w:b/>
      <w:kern w:val="1"/>
      <w:sz w:val="24"/>
    </w:rPr>
  </w:style>
  <w:style xmlns:w15="http://schemas.microsoft.com/office/word/2012/wordml" w:type="character" w:customStyle="1" w:styleId="Heading6Char">
    <w:name w:val="Heading 6 Char"/>
    <w:link w:val="Heading6"/>
    <w:uiPriority w:val="99"/>
    <w:locked/>
    <w:rsid w:val="00952BC7"/>
    <w:rPr>
      <w:b/>
      <w:kern w:val="1"/>
      <w:sz w:val="24"/>
    </w:rPr>
  </w:style>
  <w:style xmlns:w15="http://schemas.microsoft.com/office/word/2012/wordml" w:type="character" w:customStyle="1" w:styleId="Bekezdsalapbettpusa1">
    <w:name w:val="Bekezdés alapbetűtípusa1"/>
    <w:uiPriority w:val="99"/>
    <w:rsid w:val="00952BC7"/>
  </w:style>
  <w:style xmlns:w15="http://schemas.microsoft.com/office/word/2012/wordml" w:type="paragraph" w:styleId="Header">
    <w:name w:val="header"/>
    <w:basedOn w:val="Normal"/>
    <w:link w:val="HeaderChar"/>
    <w:uiPriority w:val="99"/>
    <w:rsid w:val="00146C4F"/>
    <w:pPr>
      <w:tabs>
        <w:tab w:val="center" w:pos="4536"/>
        <w:tab w:val="right" w:pos="9072"/>
      </w:tabs>
    </w:pPr>
  </w:style>
  <w:style xmlns:w15="http://schemas.microsoft.com/office/word/2012/wordml" w:type="character" w:customStyle="1" w:styleId="HeaderChar">
    <w:name w:val="Header Char"/>
    <w:link w:val="Header"/>
    <w:uiPriority w:val="99"/>
    <w:locked/>
    <w:rsid w:val="0039322A"/>
    <w:rPr>
      <w:rFonts w:cs="Times New Roman"/>
      <w:sz w:val="24"/>
      <w:szCs w:val="24"/>
    </w:rPr>
  </w:style>
  <w:style xmlns:w15="http://schemas.microsoft.com/office/word/2012/wordml" w:type="paragraph" w:styleId="Footer">
    <w:name w:val="footer"/>
    <w:basedOn w:val="Normal"/>
    <w:link w:val="FooterChar"/>
    <w:uiPriority w:val="99"/>
    <w:rsid w:val="00146C4F"/>
    <w:pPr>
      <w:tabs>
        <w:tab w:val="center" w:pos="4536"/>
        <w:tab w:val="right" w:pos="9072"/>
      </w:tabs>
    </w:pPr>
  </w:style>
  <w:style xmlns:w15="http://schemas.microsoft.com/office/word/2012/wordml" w:type="character" w:customStyle="1" w:styleId="FooterChar">
    <w:name w:val="Footer Char"/>
    <w:link w:val="Footer"/>
    <w:uiPriority w:val="99"/>
    <w:locked/>
    <w:rsid w:val="006536F7"/>
    <w:rPr>
      <w:rFonts w:cs="Times New Roman"/>
      <w:sz w:val="24"/>
      <w:szCs w:val="24"/>
    </w:rPr>
  </w:style>
  <w:style xmlns:w15="http://schemas.microsoft.com/office/word/2012/wordml"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xmlns:w15="http://schemas.microsoft.com/office/word/2012/wordml" w:type="paragraph" w:customStyle="1" w:styleId="Iktatszm">
    <w:name w:val="Iktatószám"/>
    <w:basedOn w:val="Normal"/>
    <w:uiPriority w:val="99"/>
    <w:rsid w:val="00146C4F"/>
    <w:pPr>
      <w:jc w:val="center"/>
    </w:pPr>
    <w:rPr>
      <w:b/>
      <w:caps/>
    </w:rPr>
  </w:style>
  <w:style xmlns:w15="http://schemas.microsoft.com/office/word/2012/wordml" w:type="character" w:styleId="PageNumber">
    <w:name w:val="page number"/>
    <w:uiPriority w:val="99"/>
    <w:rsid w:val="007E6F4D"/>
    <w:rPr>
      <w:rFonts w:cs="Times New Roman"/>
    </w:rPr>
  </w:style>
  <w:style xmlns:w15="http://schemas.microsoft.com/office/word/2012/wordml" w:type="paragraph" w:styleId="BodyText2">
    <w:name w:val="Body Text 2"/>
    <w:basedOn w:val="Normal"/>
    <w:link w:val="BodyText2Char"/>
    <w:uiPriority w:val="99"/>
    <w:rsid w:val="005C48EC"/>
    <w:pPr>
      <w:spacing w:after="120" w:line="480" w:lineRule="auto"/>
    </w:pPr>
  </w:style>
  <w:style xmlns:w15="http://schemas.microsoft.com/office/word/2012/wordml" w:type="character" w:customStyle="1" w:styleId="BodyText2Char">
    <w:name w:val="Body Text 2 Char"/>
    <w:link w:val="BodyText2"/>
    <w:uiPriority w:val="99"/>
    <w:semiHidden/>
    <w:locked/>
    <w:rsid w:val="0039322A"/>
    <w:rPr>
      <w:rFonts w:cs="Times New Roman"/>
      <w:sz w:val="24"/>
      <w:szCs w:val="24"/>
    </w:rPr>
  </w:style>
  <w:style xmlns:w15="http://schemas.microsoft.com/office/word/2012/wordml" w:type="paragraph" w:customStyle="1" w:styleId="Fszveg">
    <w:name w:val="Főszöveg"/>
    <w:basedOn w:val="BodyText3"/>
    <w:rsid w:val="002E14B8"/>
    <w:pPr>
      <w:autoSpaceDE w:val="0"/>
      <w:autoSpaceDN w:val="0"/>
      <w:spacing w:after="0" w:line="360" w:lineRule="auto"/>
      <w:jc w:val="both"/>
    </w:pPr>
    <w:rPr>
      <w:sz w:val="28"/>
      <w:szCs w:val="26"/>
    </w:rPr>
  </w:style>
  <w:style xmlns:w15="http://schemas.microsoft.com/office/word/2012/wordml" w:type="paragraph" w:styleId="BodyText3">
    <w:name w:val="Body Text 3"/>
    <w:basedOn w:val="Normal"/>
    <w:link w:val="BodyText3Char"/>
    <w:uiPriority w:val="99"/>
    <w:rsid w:val="002E14B8"/>
    <w:pPr>
      <w:spacing w:after="120"/>
    </w:pPr>
    <w:rPr>
      <w:sz w:val="16"/>
      <w:szCs w:val="16"/>
    </w:rPr>
  </w:style>
  <w:style xmlns:w15="http://schemas.microsoft.com/office/word/2012/wordml" w:type="character" w:customStyle="1" w:styleId="BodyText3Char">
    <w:name w:val="Body Text 3 Char"/>
    <w:link w:val="BodyText3"/>
    <w:uiPriority w:val="99"/>
    <w:semiHidden/>
    <w:locked/>
    <w:rsid w:val="0039322A"/>
    <w:rPr>
      <w:rFonts w:cs="Times New Roman"/>
      <w:sz w:val="16"/>
      <w:szCs w:val="16"/>
    </w:rPr>
  </w:style>
  <w:style xmlns:w15="http://schemas.microsoft.com/office/word/2012/wordml" w:type="character" w:styleId="Hyperlink">
    <w:name w:val="Hyperlink"/>
    <w:uiPriority w:val="99"/>
    <w:rsid w:val="00DC0B69"/>
    <w:rPr>
      <w:rFonts w:cs="Times New Roman"/>
      <w:color w:val="0000FF"/>
      <w:u w:val="single"/>
    </w:rPr>
  </w:style>
  <w:style xmlns:w15="http://schemas.microsoft.com/office/word/2012/wordml" w:type="paragraph" w:styleId="NormalWeb">
    <w:name w:val="Normal (Web)"/>
    <w:basedOn w:val="Normal"/>
    <w:uiPriority w:val="99"/>
    <w:rsid w:val="00DC0B69"/>
    <w:pPr>
      <w:spacing w:before="150" w:after="150"/>
      <w:ind w:left="675" w:right="525"/>
    </w:pPr>
    <w:rPr>
      <w:sz w:val="19"/>
      <w:szCs w:val="19"/>
    </w:rPr>
  </w:style>
  <w:style xmlns:w15="http://schemas.microsoft.com/office/word/2012/wordml" w:type="character" w:customStyle="1" w:styleId="Cmsor1Char1">
    <w:name w:val="Címsor 1 Char1"/>
    <w:uiPriority w:val="99"/>
    <w:rsid w:val="00952BC7"/>
    <w:rPr>
      <w:rFonts w:ascii="Cambria" w:hAnsi="Cambria"/>
      <w:b/>
      <w:kern w:val="1"/>
      <w:sz w:val="32"/>
    </w:rPr>
  </w:style>
  <w:style xmlns:w15="http://schemas.microsoft.com/office/word/2012/wordml" w:type="character" w:customStyle="1" w:styleId="Cmsor2Char1">
    <w:name w:val="Címsor 2 Char1"/>
    <w:uiPriority w:val="99"/>
    <w:rsid w:val="00952BC7"/>
    <w:rPr>
      <w:rFonts w:ascii="Cambria" w:hAnsi="Cambria"/>
      <w:b/>
      <w:i/>
      <w:sz w:val="28"/>
    </w:rPr>
  </w:style>
  <w:style xmlns:w15="http://schemas.microsoft.com/office/word/2012/wordml" w:type="character" w:customStyle="1" w:styleId="Cmsor3Char1">
    <w:name w:val="Címsor 3 Char1"/>
    <w:uiPriority w:val="99"/>
    <w:rsid w:val="00952BC7"/>
    <w:rPr>
      <w:rFonts w:ascii="Cambria" w:hAnsi="Cambria"/>
      <w:b/>
      <w:sz w:val="26"/>
    </w:rPr>
  </w:style>
  <w:style xmlns:w15="http://schemas.microsoft.com/office/word/2012/wordml" w:type="character" w:customStyle="1" w:styleId="Cmsor4Char1">
    <w:name w:val="Címsor 4 Char1"/>
    <w:uiPriority w:val="99"/>
    <w:rsid w:val="00952BC7"/>
    <w:rPr>
      <w:rFonts w:ascii="Calibri" w:hAnsi="Calibri"/>
      <w:b/>
      <w:sz w:val="28"/>
    </w:rPr>
  </w:style>
  <w:style xmlns:w15="http://schemas.microsoft.com/office/word/2012/wordml" w:type="character" w:customStyle="1" w:styleId="Cmsor5Char1">
    <w:name w:val="Címsor 5 Char1"/>
    <w:uiPriority w:val="99"/>
    <w:rsid w:val="00952BC7"/>
    <w:rPr>
      <w:rFonts w:ascii="Calibri" w:hAnsi="Calibri"/>
      <w:b/>
      <w:i/>
      <w:sz w:val="26"/>
    </w:rPr>
  </w:style>
  <w:style xmlns:w15="http://schemas.microsoft.com/office/word/2012/wordml" w:type="character" w:customStyle="1" w:styleId="Cmsor6Char1">
    <w:name w:val="Címsor 6 Char1"/>
    <w:uiPriority w:val="99"/>
    <w:rsid w:val="00952BC7"/>
    <w:rPr>
      <w:rFonts w:ascii="Calibri" w:hAnsi="Calibri"/>
      <w:b/>
    </w:rPr>
  </w:style>
  <w:style xmlns:w15="http://schemas.microsoft.com/office/word/2012/wordml" w:type="character" w:customStyle="1" w:styleId="Oldalszm1">
    <w:name w:val="Oldalszám1"/>
    <w:uiPriority w:val="99"/>
    <w:rsid w:val="00952BC7"/>
  </w:style>
  <w:style xmlns:w15="http://schemas.microsoft.com/office/word/2012/wordml" w:type="character" w:customStyle="1" w:styleId="Bekezdsalapbettpusa3">
    <w:name w:val="Bekezdés alapbet?típusa3"/>
    <w:uiPriority w:val="99"/>
    <w:rsid w:val="00952BC7"/>
  </w:style>
  <w:style xmlns:w15="http://schemas.microsoft.com/office/word/2012/wordml" w:type="character" w:customStyle="1" w:styleId="Absatz-Standardschriftart">
    <w:name w:val="Absatz-Standardschriftart"/>
    <w:uiPriority w:val="99"/>
    <w:rsid w:val="00952BC7"/>
  </w:style>
  <w:style xmlns:w15="http://schemas.microsoft.com/office/word/2012/wordml" w:type="character" w:customStyle="1" w:styleId="Bekezdsalapbettpusa2">
    <w:name w:val="Bekezdés alapbet?típusa2"/>
    <w:uiPriority w:val="99"/>
    <w:rsid w:val="00952BC7"/>
  </w:style>
  <w:style xmlns:w15="http://schemas.microsoft.com/office/word/2012/wordml" w:type="character" w:customStyle="1" w:styleId="Bekezdsalapbettpusa10">
    <w:name w:val="Bekezdés alapbet?típusa1"/>
    <w:uiPriority w:val="99"/>
    <w:rsid w:val="00952BC7"/>
  </w:style>
  <w:style xmlns:w15="http://schemas.microsoft.com/office/word/2012/wordml" w:type="character" w:customStyle="1" w:styleId="WW-Absatz-Standardschriftart">
    <w:name w:val="WW-Absatz-Standardschriftart"/>
    <w:uiPriority w:val="99"/>
    <w:rsid w:val="00952BC7"/>
  </w:style>
  <w:style xmlns:w15="http://schemas.microsoft.com/office/word/2012/wordml" w:type="character" w:customStyle="1" w:styleId="Bekezdsalap-bettpusa">
    <w:name w:val="Bekezdés alap-bet?típusa"/>
    <w:uiPriority w:val="99"/>
    <w:rsid w:val="00952BC7"/>
  </w:style>
  <w:style xmlns:w15="http://schemas.microsoft.com/office/word/2012/wordml" w:type="character" w:customStyle="1" w:styleId="Jegyzethivatkozs1">
    <w:name w:val="Jegyzethivatkozás1"/>
    <w:uiPriority w:val="99"/>
    <w:rsid w:val="00952BC7"/>
    <w:rPr>
      <w:sz w:val="16"/>
    </w:rPr>
  </w:style>
  <w:style xmlns:w15="http://schemas.microsoft.com/office/word/2012/wordml" w:type="character" w:customStyle="1" w:styleId="JegyzetszvegChar">
    <w:name w:val="Jegyzetszöveg Char"/>
    <w:uiPriority w:val="99"/>
    <w:rsid w:val="00952BC7"/>
    <w:rPr>
      <w:rFonts w:ascii="Times" w:hAnsi="Times"/>
    </w:rPr>
  </w:style>
  <w:style xmlns:w15="http://schemas.microsoft.com/office/word/2012/wordml" w:type="character" w:customStyle="1" w:styleId="MegjegyzstrgyaChar">
    <w:name w:val="Megjegyzés tárgya Char"/>
    <w:uiPriority w:val="99"/>
    <w:rsid w:val="00952BC7"/>
    <w:rPr>
      <w:b/>
    </w:rPr>
  </w:style>
  <w:style xmlns:w15="http://schemas.microsoft.com/office/word/2012/wordml" w:type="character" w:customStyle="1" w:styleId="BuborkszvegChar">
    <w:name w:val="Buborékszöveg Char"/>
    <w:uiPriority w:val="99"/>
    <w:rsid w:val="00952BC7"/>
    <w:rPr>
      <w:rFonts w:ascii="Tahoma" w:hAnsi="Tahoma"/>
      <w:sz w:val="16"/>
    </w:rPr>
  </w:style>
  <w:style xmlns:w15="http://schemas.microsoft.com/office/word/2012/wordml" w:type="character" w:customStyle="1" w:styleId="Jegyzethivatkozs2">
    <w:name w:val="Jegyzethivatkozás2"/>
    <w:uiPriority w:val="99"/>
    <w:rsid w:val="00952BC7"/>
    <w:rPr>
      <w:sz w:val="16"/>
    </w:rPr>
  </w:style>
  <w:style xmlns:w15="http://schemas.microsoft.com/office/word/2012/wordml" w:type="character" w:customStyle="1" w:styleId="Szmozsjelek">
    <w:name w:val="Számozásjelek"/>
    <w:uiPriority w:val="99"/>
    <w:rsid w:val="00952BC7"/>
  </w:style>
  <w:style xmlns:w15="http://schemas.microsoft.com/office/word/2012/wordml"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xmlns:w15="http://schemas.microsoft.com/office/word/2012/wordml"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xmlns:w15="http://schemas.microsoft.com/office/word/2012/wordml" w:type="character" w:customStyle="1" w:styleId="BodyTextChar">
    <w:name w:val="Body Text Char"/>
    <w:link w:val="BodyText"/>
    <w:uiPriority w:val="99"/>
    <w:locked/>
    <w:rsid w:val="00952BC7"/>
    <w:rPr>
      <w:rFonts w:cs="Times New Roman"/>
      <w:kern w:val="1"/>
      <w:lang w:val="nl-NL" w:eastAsia="nl-NL" w:bidi="nl-NL"/>
    </w:rPr>
  </w:style>
  <w:style xmlns:w15="http://schemas.microsoft.com/office/word/2012/wordml"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xmlns:w15="http://schemas.microsoft.com/office/word/2012/wordml"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xmlns:w15="http://schemas.microsoft.com/office/word/2012/wordml"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xmlns:w15="http://schemas.microsoft.com/office/word/2012/wordml"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xmlns:w15="http://schemas.microsoft.com/office/word/2012/wordml"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xmlns:w15="http://schemas.microsoft.com/office/word/2012/wordml"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xmlns:w15="http://schemas.microsoft.com/office/word/2012/wordml"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xmlns:w15="http://schemas.microsoft.com/office/word/2012/wordml"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xmlns:w15="http://schemas.microsoft.com/office/word/2012/wordml"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xmlns:w15="http://schemas.microsoft.com/office/word/2012/wordml"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xmlns:w15="http://schemas.microsoft.com/office/word/2012/wordml"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xmlns:w15="http://schemas.microsoft.com/office/word/2012/wordml" w:type="paragraph" w:customStyle="1" w:styleId="Kerettartalom">
    <w:name w:val="Kerettartalom"/>
    <w:basedOn w:val="BodyText"/>
    <w:uiPriority w:val="99"/>
    <w:rsid w:val="00952BC7"/>
  </w:style>
  <w:style xmlns:w15="http://schemas.microsoft.com/office/word/2012/wordml"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xmlns:w15="http://schemas.microsoft.com/office/word/2012/wordml" w:type="character" w:customStyle="1" w:styleId="BalloonTextChar">
    <w:name w:val="Balloon Text Char"/>
    <w:link w:val="BalloonText"/>
    <w:uiPriority w:val="99"/>
    <w:locked/>
    <w:rsid w:val="00952BC7"/>
    <w:rPr>
      <w:rFonts w:ascii="Tahoma" w:hAnsi="Tahoma" w:cs="Tahoma"/>
      <w:kern w:val="1"/>
      <w:sz w:val="16"/>
      <w:szCs w:val="16"/>
    </w:rPr>
  </w:style>
  <w:style xmlns:w15="http://schemas.microsoft.com/office/word/2012/wordml" w:type="character" w:styleId="CommentReference">
    <w:name w:val="annotation reference"/>
    <w:uiPriority w:val="99"/>
    <w:rsid w:val="00952BC7"/>
    <w:rPr>
      <w:rFonts w:cs="Times New Roman"/>
      <w:sz w:val="16"/>
      <w:szCs w:val="16"/>
    </w:rPr>
  </w:style>
  <w:style xmlns:w15="http://schemas.microsoft.com/office/word/2012/wordml"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xmlns:w15="http://schemas.microsoft.com/office/word/2012/wordml" w:type="character" w:customStyle="1" w:styleId="CommentTextChar">
    <w:name w:val="Comment Text Char"/>
    <w:link w:val="CommentText"/>
    <w:uiPriority w:val="99"/>
    <w:locked/>
    <w:rsid w:val="00952BC7"/>
    <w:rPr>
      <w:rFonts w:ascii="Times" w:hAnsi="Times" w:cs="Times New Roman"/>
      <w:kern w:val="1"/>
    </w:rPr>
  </w:style>
  <w:style xmlns:w15="http://schemas.microsoft.com/office/word/2012/wordml" w:type="paragraph" w:styleId="CommentSubject">
    <w:name w:val="annotation subject"/>
    <w:basedOn w:val="CommentText"/>
    <w:next w:val="CommentText"/>
    <w:link w:val="CommentSubjectChar"/>
    <w:uiPriority w:val="99"/>
    <w:rsid w:val="00952BC7"/>
    <w:rPr>
      <w:b/>
      <w:bCs/>
    </w:rPr>
  </w:style>
  <w:style xmlns:w15="http://schemas.microsoft.com/office/word/2012/wordml" w:type="character" w:customStyle="1" w:styleId="CommentSubjectChar">
    <w:name w:val="Comment Subject Char"/>
    <w:link w:val="CommentSubject"/>
    <w:uiPriority w:val="99"/>
    <w:locked/>
    <w:rsid w:val="00952BC7"/>
    <w:rPr>
      <w:rFonts w:ascii="Times" w:hAnsi="Times" w:cs="Times New Roman"/>
      <w:b/>
      <w:bCs/>
      <w:kern w:val="1"/>
    </w:rPr>
  </w:style>
  <w:style xmlns:w15="http://schemas.microsoft.com/office/word/2012/wordml" w:type="paragraph" w:styleId="Revision">
    <w:name w:val="Revision"/>
    <w:hidden/>
    <w:uiPriority w:val="99"/>
    <w:semiHidden/>
    <w:rsid w:val="00952BC7"/>
    <w:rPr>
      <w:rFonts w:ascii="Times" w:hAnsi="Times"/>
      <w:kern w:val="1"/>
    </w:rPr>
  </w:style>
  <w:style xmlns:w15="http://schemas.microsoft.com/office/word/2012/wordml" w:type="paragraph" w:customStyle="1" w:styleId="np">
    <w:name w:val="np"/>
    <w:basedOn w:val="Normal"/>
    <w:uiPriority w:val="99"/>
    <w:rsid w:val="00C030FC"/>
    <w:pPr>
      <w:spacing w:before="100" w:beforeAutospacing="1" w:after="100" w:afterAutospacing="1"/>
    </w:pPr>
  </w:style>
  <w:style xmlns:w15="http://schemas.microsoft.com/office/word/2012/wordml"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xmlns:w15="http://schemas.microsoft.com/office/word/2012/wordml" w:type="character" w:customStyle="1" w:styleId="apple-converted-space">
    <w:name w:val="apple-converted-space"/>
    <w:basedOn w:val="DefaultParagraphFont"/>
    <w:rsid w:val="000F293F"/>
  </w:style>
  <w:style xmlns:w15="http://schemas.microsoft.com/office/word/2012/wordml"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character" w:customStyle="1" w:styleId="llbChar1">
    <w:name w:val="Élőláb Char1"/>
    <w:uiPriority w:val="99"/>
    <w:rsid w:val="00EB07AE"/>
    <w:rPr>
      <w:sz w:val="24"/>
      <w:szCs w:val="24"/>
      <w:lang w:val="nl-NL" w:eastAsia="nl-NL"/>
    </w:rPr>
  </w:style>
  <w:style xmlns:w15="http://schemas.microsoft.com/office/word/2012/wordml"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xmlns:w15="http://schemas.microsoft.com/office/word/2012/wordml" w:type="character" w:customStyle="1" w:styleId="FootnoteTextChar">
    <w:name w:val="Footnote Text Char"/>
    <w:link w:val="FootnoteText"/>
    <w:uiPriority w:val="99"/>
    <w:rsid w:val="00007615"/>
    <w:rPr>
      <w:rFonts w:ascii="Calibri" w:eastAsia="Calibri" w:hAnsi="Calibri"/>
      <w:lang w:eastAsia="nl-NL"/>
    </w:rPr>
  </w:style>
  <w:style xmlns:w15="http://schemas.microsoft.com/office/word/2012/wordml" w:type="character" w:styleId="FootnoteReference">
    <w:name w:val="footnote reference"/>
    <w:uiPriority w:val="99"/>
    <w:unhideWhenUsed/>
    <w:locked/>
    <w:rsid w:val="00007615"/>
    <w:rPr>
      <w:vertAlign w:val="superscript"/>
    </w:rPr>
  </w:style>
  <w:style xmlns:w15="http://schemas.microsoft.com/office/word/2012/wordml"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xmlns:w15="http://schemas.microsoft.com/office/word/2012/wordml" w:type="paragraph" w:styleId="NoSpacing">
    <w:name w:val="No Spacing"/>
    <w:link w:val="NoSpacingChar"/>
    <w:uiPriority w:val="1"/>
    <w:qFormat/>
    <w:rsid w:val="00007615"/>
    <w:rPr>
      <w:rFonts w:ascii="Calibri" w:eastAsia="Calibri" w:hAnsi="Calibri"/>
      <w:sz w:val="22"/>
      <w:szCs w:val="22"/>
    </w:rPr>
  </w:style>
  <w:style xmlns:w15="http://schemas.microsoft.com/office/word/2012/wordml" w:type="paragraph" w:customStyle="1" w:styleId="Norml1">
    <w:name w:val="Normál1"/>
    <w:basedOn w:val="Normal"/>
    <w:rsid w:val="00007615"/>
    <w:pPr>
      <w:spacing w:before="120"/>
      <w:jc w:val="both"/>
    </w:pPr>
  </w:style>
  <w:style xmlns:w15="http://schemas.microsoft.com/office/word/2012/wordml" w:type="paragraph" w:customStyle="1" w:styleId="Norml11">
    <w:name w:val="Normál11"/>
    <w:basedOn w:val="Normal"/>
    <w:rsid w:val="004315B4"/>
    <w:pPr>
      <w:spacing w:before="120"/>
      <w:jc w:val="both"/>
    </w:pPr>
  </w:style>
  <w:style xmlns:w15="http://schemas.microsoft.com/office/word/2012/wordml" w:type="paragraph" w:customStyle="1" w:styleId="Pont">
    <w:name w:val="Pont"/>
    <w:basedOn w:val="Normal"/>
    <w:qFormat/>
    <w:rsid w:val="005B4A47"/>
    <w:pPr>
      <w:numPr>
        <w:numId w:val="7"/>
      </w:numPr>
      <w:spacing w:before="200" w:after="200"/>
      <w:jc w:val="both"/>
    </w:pPr>
    <w:rPr>
      <w:rFonts w:eastAsia="Calibri"/>
      <w:szCs w:val="22"/>
    </w:rPr>
  </w:style>
  <w:style xmlns:w15="http://schemas.microsoft.com/office/word/2012/wordml" w:type="numbering" w:customStyle="1" w:styleId="Hatrozat">
    <w:name w:val="Határozat"/>
    <w:uiPriority w:val="99"/>
    <w:rsid w:val="005B4A47"/>
    <w:pPr>
      <w:numPr>
        <w:numId w:val="7"/>
      </w:numPr>
    </w:pPr>
  </w:style>
  <w:style xmlns:w15="http://schemas.microsoft.com/office/word/2012/wordml" w:type="paragraph" w:customStyle="1" w:styleId="Szveg">
    <w:name w:val="Szöveg"/>
    <w:basedOn w:val="Normal"/>
    <w:qFormat/>
    <w:rsid w:val="005B4A47"/>
    <w:pPr>
      <w:spacing w:before="200" w:after="200"/>
      <w:jc w:val="both"/>
    </w:pPr>
    <w:rPr>
      <w:rFonts w:eastAsia="Calibri"/>
      <w:sz w:val="22"/>
      <w:szCs w:val="22"/>
    </w:rPr>
  </w:style>
  <w:style xmlns:w15="http://schemas.microsoft.com/office/word/2012/wordml"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xmlns:w15="http://schemas.microsoft.com/office/word/2012/wordml" w:type="character" w:customStyle="1" w:styleId="NoSpacingChar">
    <w:name w:val="No Spacing Char"/>
    <w:link w:val="NoSpacing"/>
    <w:uiPriority w:val="1"/>
    <w:rsid w:val="00260F2B"/>
    <w:rPr>
      <w:rFonts w:ascii="Calibri" w:eastAsia="Calibri" w:hAnsi="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footer1.xml.rels><?xml version="1.0" encoding="utf-8"?><Relationships xmlns="http://schemas.openxmlformats.org/package/2006/relationships"><Relationship Id="rId2" Type="http://schemas.openxmlformats.org/officeDocument/2006/relationships/hyperlink" Target="mailto:tamas.andreka@am.gov.hu" TargetMode="External" /><Relationship Id="rId1" Type="http://schemas.openxmlformats.org/officeDocument/2006/relationships/hyperlink" Target="mailto:hunor.orban@am.gov.hu" TargetMode="Externa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6EE0-199B-4FC1-B18C-AC88A2E4B692}">
  <ds:schemaRefs>
    <ds:schemaRef ds:uri="http://schemas.openxmlformats.org/officeDocument/2006/bibliography"/>
  </ds:schemaRefs>
</ds:datastoreItem>
</file>

<file path=customXml/itemProps2.xml><?xml version="1.0" encoding="utf-8"?>
<ds:datastoreItem xmlns:ds="http://schemas.openxmlformats.org/officeDocument/2006/customXml" ds:itemID="{9E583BA0-6B7E-46A6-A9AC-32EEF0D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1927</Words>
  <Characters>10987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John McCarthy</cp:lastModifiedBy>
  <cp:revision>5</cp:revision>
  <cp:lastPrinted>2019-06-12T12:18:00Z</cp:lastPrinted>
  <dcterms:created xsi:type="dcterms:W3CDTF">2019-06-25T07:45:00Z</dcterms:created>
  <dcterms:modified xsi:type="dcterms:W3CDTF">2019-07-01T09:19:00Z</dcterms:modified>
</cp:coreProperties>
</file>