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</w:t>
      </w:r>
      <w:r w:rsidR="00E3749D">
        <w:rPr>
          <w:rFonts w:ascii="Courier New" w:hAnsi="Courier New"/>
          <w:sz w:val="20"/>
          <w:szCs w:val="20"/>
        </w:rPr>
        <w:t>-</w:t>
      </w: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---IND- 2019 0309 HU- CS- ------ </w:t>
      </w:r>
      <w:r>
        <w:rPr>
          <w:rFonts w:ascii="Segoe UI" w:hAnsi="Segoe UI"/>
          <w:color w:val="000000"/>
          <w:sz w:val="20"/>
          <w:szCs w:val="20"/>
        </w:rPr>
        <w:t>20201130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Vyhláška ministra zemědělství č. 51/2019 ze dne 28. října 2019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kterou se mění vyhláška ministra zemědělství č. 53/2017 ze dne 18. října 2017 o provozních podmínkách spalovacích zařízení s celkovým jmenovitým tepelným příkonem rovnajícím se 140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kWth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nebo vyšším, ale nižším než 50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MWth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a o limitních hodnotách pro látky znečišťující ovzduší vypouštěné z těchto spalovacích zařízení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povolení uděleného podle § 110 odst. 8 písm. </w:t>
      </w:r>
      <w:r>
        <w:rPr>
          <w:rFonts w:ascii="Times New Roman" w:hAnsi="Times New Roman"/>
          <w:i/>
          <w:iCs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zákona LIII z roku 1995 o obecných pravidlech ochrany životního prostředí a v rámci výkonu svých povinností vymezených v § 79 odst. 9 vyhlášky vlády č. 94/2018 ze dne 22. května 2018 o povinnostech a pravomocích členů vlády tímto nařizuji následující: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 </w:t>
      </w:r>
      <w:r>
        <w:rPr>
          <w:rFonts w:ascii="Times New Roman" w:hAnsi="Times New Roman"/>
          <w:sz w:val="24"/>
          <w:szCs w:val="24"/>
        </w:rPr>
        <w:t>(1) V § 2 odst. 1 vyhlášky ministra zemědělství č. 53/2017 ze dne 18. října 2017 o provozních podmínkách spalovacích zařízení s celkovým jmenovitým tepelným příkonem rovnajícím se 140 </w:t>
      </w:r>
      <w:proofErr w:type="spellStart"/>
      <w:r>
        <w:rPr>
          <w:rFonts w:ascii="Times New Roman" w:hAnsi="Times New Roman"/>
          <w:sz w:val="24"/>
          <w:szCs w:val="24"/>
        </w:rPr>
        <w:t>kWth</w:t>
      </w:r>
      <w:proofErr w:type="spellEnd"/>
      <w:r>
        <w:rPr>
          <w:rFonts w:ascii="Times New Roman" w:hAnsi="Times New Roman"/>
          <w:sz w:val="24"/>
          <w:szCs w:val="24"/>
        </w:rPr>
        <w:t xml:space="preserve"> nebo vyšším, ale nižším než 50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>, a o limitních hodnotách pro látky znečišťující ovzduší vypouštěné z těchto spalovacích zařízení (dále jen „vyhláška“) se doplňuje následující bod 1a: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(Pro účely této vyhlášky)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„1a „</w:t>
      </w:r>
      <w:r>
        <w:rPr>
          <w:rFonts w:ascii="Times New Roman" w:hAnsi="Times New Roman"/>
          <w:i/>
          <w:iCs/>
          <w:sz w:val="24"/>
          <w:szCs w:val="24"/>
        </w:rPr>
        <w:t>soustavou pro přepravu plynu“</w:t>
      </w:r>
      <w:r>
        <w:rPr>
          <w:rFonts w:ascii="Times New Roman" w:hAnsi="Times New Roman"/>
          <w:sz w:val="24"/>
          <w:szCs w:val="24"/>
        </w:rPr>
        <w:t xml:space="preserve"> se rozumí spolupracující síť zemního plynu podle zákona XL z roku 2008 o dodávkách zemního plynu;“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Ustanovení § 2 odst. 1 bodu 9 této vyhlášky se nahrazuje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„9. „</w:t>
      </w:r>
      <w:r>
        <w:rPr>
          <w:rFonts w:ascii="Times New Roman" w:hAnsi="Times New Roman"/>
          <w:i/>
          <w:iCs/>
          <w:sz w:val="24"/>
          <w:szCs w:val="24"/>
        </w:rPr>
        <w:t>celkovým jmenovitým tepelným příkonem</w:t>
      </w:r>
      <w:r>
        <w:rPr>
          <w:rFonts w:ascii="Times New Roman" w:hAnsi="Times New Roman"/>
          <w:sz w:val="24"/>
          <w:szCs w:val="24"/>
        </w:rPr>
        <w:t>“ se rozumí součet jmenovitých tepelných příkonů spalovacích zařízení, vypočítaný agregačním postupem, který se v případě spalovacího zařízení rovná jeho jmenovitému tepelnému příkonu;“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 </w:t>
      </w:r>
      <w:r>
        <w:rPr>
          <w:rFonts w:ascii="Times New Roman" w:hAnsi="Times New Roman"/>
          <w:sz w:val="24"/>
          <w:szCs w:val="24"/>
        </w:rPr>
        <w:t>(1) Ustanovení § 4 odst. 6 a 7 vyhlášky nabývají účinnosti v tomto znění: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U spalovacích zařízení kategorie I o celkovém jmenovitém tepelném příkonu vyšším než nebo rovném 1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>, která jsou v provozu nanejvýš 500 provozních hodin ročně při vyjádření ve formě klouzavého průměru za období pěti let, se použijí limitní hodnoty emisí stanovené v příloze 1 s tou výjimkou, že limitní hodnota emisí pevných materiálů v případě spalovacích zařízeních na tuhou biomasu je 200 mg/Nm3 a limitní hodnota emisí oxidu uhelnatého je 375 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Do 1. ledna 2030 budou u spalovacích zařízení kategorie I o celkovém jmenovitém tepelném příkonu přesahujícím 5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 platit limitní hodnoty uvedené v příloze 1, pokud je 50 % produkce užitečného tepla u těchto zařízení, při jejím vyjádření ve formě klouzavého průměru za období pěti let, dodáváno v podobě páry nebo teplé nebo horké vody do veřejné sítě dálkového vytápění, s tou výjimkou, že limitní hodnota emisí v případě oxidu siřičitého u spalovacích zařízení na tuhá a kapalná paliva je 1 100 mg/Nm3 a limitní hodnota emisí v případě tuhých materiálů u spalovacích zařízení na tuhá paliva je 150 mg/Nm3, přičemž limitní hodnota emisí oxidu uhelnatého u spalovacích zařízení na tuhou biomasu je 375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Ustanovení § 4 odst. 9 vyhlášky nabývá účinnosti v tomto znění: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„(9) Do 1. ledna 2030 budou pro oxidy dusíku z motorů kategorie 1 a plynových turbín o celkovém jmenovitém tepelném příkonu přesahujícím 5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, které se používají k provozování plynových kompresorových stanic nezbytných k zajištění bezpečnosti a ochrany soustav k přepravě plynu, platit limitní hodnoty emisí stanovené v příloze 1 s tou výjimkou, že v případě </w:t>
      </w:r>
      <w:r>
        <w:rPr>
          <w:rFonts w:ascii="Times New Roman" w:hAnsi="Times New Roman"/>
          <w:sz w:val="24"/>
          <w:szCs w:val="24"/>
        </w:rPr>
        <w:lastRenderedPageBreak/>
        <w:t>plynových motorů uvedených do provozu před dnem 1. ledna 1994 je limitní hodnota emisí oxidů dusíku 565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Ustanovení § 4 odst. 10 vyhlášky se nahrazuje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„(10) U spalovacích zařízení kategorie II, která jsou v provozu nanejvýš 500 provozních hodin ročně při vyjádření ve formě klouzavého průměru za období tří let, se použijí limitní hodnoty emisí stanovené v příloze 1 s tou výjimkou, že limitní hodnota emisí pevných materiálů v případě spalovacích zařízení na tuhá paliva je 100 mg/Nm3 a limitní hodnota emisí oxidu uhelnatého v případě spalovacích zařízení o celkovém jmenovitém tepelném příkonu vyšším než nebo rovném 1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>, která spalují palivo z tuhé biomasy, je 375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Ustanovení § 4 odst. 13 vyhlášky se nahrazuje tímto: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„(13) V případě stacionárních motorů neplatí limitní hodnoty emisí pro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motory s jmenovitým tepelným příkonem nižším než 1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>, jejichž spotřeba paliva je nižší než 50 kg/h a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stacionární motory se záložním napájením, které jsou v provozu méně než 50 hodin za rok.“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  <w:r>
        <w:rPr>
          <w:rFonts w:ascii="Times New Roman" w:hAnsi="Times New Roman"/>
          <w:sz w:val="24"/>
          <w:szCs w:val="24"/>
        </w:rPr>
        <w:t>Ustanovení § 12 odst. 2 a 3 vyhlášky se nahrazuje tímto: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Do 31. prosince 2029 platí pro spalovací zařízení kategorie I o celkovém jmenovitém tepelném příkonu vyšším než nebo rovném 1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>, ale nižším než 5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 limitní hodnoty emisí uvedené v příloze 1 s následujícími výjimkami: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v případě spalování tuhé biomasy je limitní hodnota emisí oxidu uhelnatého 375 mg/Nm3;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v případě plynových motorů uvedených do provozu před dnem 1. ledna 1994, které mají celkový jmenovitý tepelný příkon vyšší než 3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, je limitní hodnota emisí oxidů dusíku 565 mg/Nm3, limitní hodnota emisí CO v případě čtyřtaktních motorů je 375 mg/Nm3, v případě dvoutaktních motorů je to 320 mg/Nm3 a u celkových organických sloučenin vyjádřených v podobě C (uhlíku) s výjimkou </w:t>
      </w:r>
      <w:proofErr w:type="spellStart"/>
      <w:r>
        <w:rPr>
          <w:rFonts w:ascii="Times New Roman" w:hAnsi="Times New Roman"/>
          <w:sz w:val="24"/>
          <w:szCs w:val="24"/>
        </w:rPr>
        <w:t>methanu</w:t>
      </w:r>
      <w:proofErr w:type="spellEnd"/>
      <w:r>
        <w:rPr>
          <w:rFonts w:ascii="Times New Roman" w:hAnsi="Times New Roman"/>
          <w:sz w:val="24"/>
          <w:szCs w:val="24"/>
        </w:rPr>
        <w:t xml:space="preserve"> je limitní hodnota emisí 115 mg/Nm3.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Do 31. prosince 2024 platí pro spalovací zařízení kategorie I s celkovým jmenovitým tepelným příkonem vyšším než 5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 limitní hodnoty emisí stanovené v příloze 1 s následujícími výjimkami: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v případě spalování tuhé biomasy je limitní hodnota emisí oxidu uhelnatého 375 mg/Nm3;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v případě plynových motorů uvedených do provozu před dnem 1. ledna 1994 je limitní hodnota emisí oxidů dusíku 565 mg/Nm3, limitní hodnota emisí oxidu uhelnatého v případě čtyřtaktních motorů je 375 mg/Nm3, v případě dvoutaktních motorů je to 320 mg/Nm3 a u celkových organických sloučenin vyjádřených v podobě C (uhlíku) s výjimkou </w:t>
      </w:r>
      <w:proofErr w:type="spellStart"/>
      <w:r>
        <w:rPr>
          <w:rFonts w:ascii="Times New Roman" w:hAnsi="Times New Roman"/>
          <w:sz w:val="24"/>
          <w:szCs w:val="24"/>
        </w:rPr>
        <w:t>methanu</w:t>
      </w:r>
      <w:proofErr w:type="spellEnd"/>
      <w:r>
        <w:rPr>
          <w:rFonts w:ascii="Times New Roman" w:hAnsi="Times New Roman"/>
          <w:sz w:val="24"/>
          <w:szCs w:val="24"/>
        </w:rPr>
        <w:t xml:space="preserve"> je limitní hodnota emisí 115 mg/Nm3.“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 </w:t>
      </w:r>
      <w:r>
        <w:rPr>
          <w:rFonts w:ascii="Times New Roman" w:hAnsi="Times New Roman"/>
          <w:sz w:val="24"/>
          <w:szCs w:val="24"/>
        </w:rPr>
        <w:t>(1) Příloha 1 vyhlášky se mění v souladu s přílohou 1.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Příloha 2 vyhlášky nabývá účinnosti v souladu s přílohou 2.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Příloha 3 vyhlášky nabývá účinnosti v souladu s přílohou 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Příloha 4 vyhlášky se mění v souladu s přílohou 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Příloha 5 vyhlášky se mění v souladu s přílohou 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t>Dílčí bod 3.4 bodu 3 přílohy 4 vyhlášky se tímto zrušuje.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 </w:t>
      </w:r>
      <w:r>
        <w:rPr>
          <w:rFonts w:ascii="Times New Roman" w:hAnsi="Times New Roman"/>
          <w:sz w:val="24"/>
          <w:szCs w:val="24"/>
        </w:rPr>
        <w:t>(1) Tato vyhláška nabývá účinnosti s výjimkami uvedenými v odstavcích 2 a 3 v 15. den po jejím vyhlášení.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Ustanovení § 2 odst. 1 a 2, § 4 odst. 3 a přílohy 3 nabývají účinnosti dne 1. ledna 2025.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Ustanovení § 4 odst. 2 a přílohy 2 nabývají účinnosti dne 1. ledna 2030.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7 </w:t>
      </w:r>
      <w:r>
        <w:rPr>
          <w:rFonts w:ascii="Times New Roman" w:hAnsi="Times New Roman"/>
          <w:sz w:val="24"/>
          <w:szCs w:val="24"/>
        </w:rPr>
        <w:t>(1) Účelem této vyhlášky je splnění směrnice Evropského parlamentu a Rady (EU) 2015/2193 ze dne 25. listopadu 2015 o omezení emisí některých znečišťujících látek do ovzduší ze středních spalovacích zařízení.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(2) Byl dodržen požadavek na předchozí oznámení této vyhlášky podle článků 5 až 7 směrnice Evropského parlamentu a Rady (EU) 2015/1535 ze dne 9. září 2015 o postupu při poskytování informací v oblasti technických předpisů a předpisů pro služby informační společnosti.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Příloha 1 vyhlášky ministra zemědělství č. 51/2019 ze dne 28. října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Dílčí bod 2.3 bodu 2 přílohy 1 vyhlášky se nahrazuje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„2.3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320 mg/m3 u spalování hnědého uhlí, 300 mg/m3 u kotlů na kapalná paliva spalujících tuhá paliva z biomasy a 210 mg/m3 u kotlů spalujících ostatní tuhá paliva.“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Dílčí bod 3.1 bodu 3 přílohy 1 vyhlášky se nahrazuje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„3.1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300 mg/m3 v případě dvoutaktních motorů, 225 mg/m3 v případě čtyřtaktních plynových motorů spalujících bioplyn a skládkový plyn, 1 650 mg/m3 v případě naftových motorů používaných výhradně u průzkumných vrtů a 1 500 mg/m3 v případě ostatních naftových motorů.“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 bodu 3 přílohy 1 vyhlášky se doplňuje níže uvedený dílčí bod 3.4: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„3.4 Limitní hodnota emisí celkového organického uhlíku (TOC) v případě plynových motorů používajících zemní plyn s obsahem </w:t>
      </w:r>
      <w:proofErr w:type="spellStart"/>
      <w:r>
        <w:rPr>
          <w:rFonts w:ascii="Times New Roman" w:hAnsi="Times New Roman"/>
          <w:sz w:val="24"/>
          <w:szCs w:val="24"/>
        </w:rPr>
        <w:t>ethanu</w:t>
      </w:r>
      <w:proofErr w:type="spellEnd"/>
      <w:r>
        <w:rPr>
          <w:rFonts w:ascii="Times New Roman" w:hAnsi="Times New Roman"/>
          <w:sz w:val="24"/>
          <w:szCs w:val="24"/>
        </w:rPr>
        <w:t xml:space="preserve"> vyšším než 5 % je 95 mg/m3.“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Příloha 2 vyhlášky ministra zemědělství č. 51/2019 ze dne 28. října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buňce B:5 tabulky v bodě 2 přílohy 2 vyhlášky se údaj „1 500“ nahrazuje údajem „375“.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Dílčí bod 2.5 bodu 2 přílohy 2 vyhlášky nabývá účinnosti v tomto znění: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„2.5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320 mg/Nm3 u spalování hnědého uhlí, 300 mg/Nm3 u kotlů na kapalná paliva spalujících tuhá paliva z biomasy a 210 mg/Nm3 u kotlů spalujících ostatní tuhá paliva.“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Dílčí bod 3.3 bodu 3 přílohy 2 vyhlášky nabývá účinnosti v tomto znění: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„3.3 Limitní hodnota emisí pro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1 500 mg/Nm3 v těchto případech: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v případě naftových motorů, jejichž stavba započala před dnem 18. května 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v případě dvoupalivových motorů v kapalném režimu.“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bodu 3 přílohy 2 vyhlášky se doplňuje níže uvedený dílčí bod 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„3.8 Limitní hodnota emisí celkového organického uhlíku (TOC) v případě plynových motorů používajících zemní plyn s obsahem </w:t>
      </w:r>
      <w:proofErr w:type="spellStart"/>
      <w:r>
        <w:rPr>
          <w:rFonts w:ascii="Times New Roman" w:hAnsi="Times New Roman"/>
          <w:sz w:val="24"/>
          <w:szCs w:val="24"/>
        </w:rPr>
        <w:t>ethanu</w:t>
      </w:r>
      <w:proofErr w:type="spellEnd"/>
      <w:r>
        <w:rPr>
          <w:rFonts w:ascii="Times New Roman" w:hAnsi="Times New Roman"/>
          <w:sz w:val="24"/>
          <w:szCs w:val="24"/>
        </w:rPr>
        <w:t xml:space="preserve"> vyšším než 5 % je 95 mg/m3.“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Příloha 3 vyhlášky ministra zemědělství č. 51/2019 ze dne 28. října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buňce B:5 tabulky v bodě 2 přílohy 3 vyhlášky se údaj „1 500“ nahrazuje údajem „375“.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Dílčí bod 2.6 bodu 2 přílohy 3 vyhlášky nabývá účinnosti v tomto znění: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„2.6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320 mg/m3 u spalování hnědého uhlí, 300 mg/m3 u kotlů na kapalná paliva spalujících tuhá paliva z biomasy a 210 mg/m3 u kotlů spalujících ostatní tuhá paliva.“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Dílčí bod 3.2 bodu 3 přílohy 3 vyhlášky nabývá účinnosti v tomto znění: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„3.2 Limitní hodnota emisí pro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1 500 mg/Nm3 v těchto případech: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v případě naftových motorů, jejichž stavba započala před dnem 18. května 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v případě dvoupalivových motorů v kapalném režimu.“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Bod 3 přílohy 3 vyhlášky nabývá účinnosti s následujícími dílčími body 3.9 a 3.10: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„3.9 Limitní hodnota emisí celkového organického uhlíku (TOC) v případě plynových motorů používajících zemní plyn s obsahem </w:t>
      </w:r>
      <w:proofErr w:type="spellStart"/>
      <w:r>
        <w:rPr>
          <w:rFonts w:ascii="Times New Roman" w:hAnsi="Times New Roman"/>
          <w:sz w:val="24"/>
          <w:szCs w:val="24"/>
        </w:rPr>
        <w:t>ethanu</w:t>
      </w:r>
      <w:proofErr w:type="spellEnd"/>
      <w:r>
        <w:rPr>
          <w:rFonts w:ascii="Times New Roman" w:hAnsi="Times New Roman"/>
          <w:sz w:val="24"/>
          <w:szCs w:val="24"/>
        </w:rPr>
        <w:t xml:space="preserve"> vyšším než 5 % je 95 mg/m3.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V případě plynových motorů uvedených do provozu před dnem 1. ledna 1994, které se používají k provozování plynových kompresorových stanic nezbytných k zajištění bezpečnosti a ochrany soustavy pro přepravu plynu, je limitní hodnota emisí CO v případě čtyřtaktního motoru 375 mg/m3, v případě dvoutaktního motoru je to 320 mg/m3 a limitní hodnota emisí celkového organického uhlíku (TOC) je 115 mg/m3 až do 1. ledna 2030.“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Příloha 4 vyhlášky ministra zemědělství č. 51/2019 ze dne 28. října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Dílčí bod 2.5 bodu 2 přílohy 4 vyhlášky se nahrazuje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„2.5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je 320 mg/m3 u spalování hnědého uhlí, 300 mg/m3 u kotlů na kapalná paliva spalujících tuhá paliva z biomasy a 210 mg/m3 u kotlů spalujících ostatní tuhá paliva.“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Dílčí bod 3.3 bodu 3 přílohy 4 vyhlášky se nahrazuje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„3.3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u naftových motorů, pokud jsou jejich emise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omezeny vlivem primárních opatření, je 1 650 mg/m3 v případě naftových motorů používaných výhradně při průzkumných vrtech a 1 500 mg/m3 v případě ostatních naftových motorů.“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 bodu 3 přílohy 4 vyhlášky se doplňuje níže uvedený dílčí bod 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„3.8 Limitní hodnota emisí celkového organického uhlíku (TOC) v případě plynových motorů používajících zemní plyn s obsahem </w:t>
      </w:r>
      <w:proofErr w:type="spellStart"/>
      <w:r>
        <w:rPr>
          <w:rFonts w:ascii="Times New Roman" w:hAnsi="Times New Roman"/>
          <w:sz w:val="24"/>
          <w:szCs w:val="24"/>
        </w:rPr>
        <w:t>ethanu</w:t>
      </w:r>
      <w:proofErr w:type="spellEnd"/>
      <w:r>
        <w:rPr>
          <w:rFonts w:ascii="Times New Roman" w:hAnsi="Times New Roman"/>
          <w:sz w:val="24"/>
          <w:szCs w:val="24"/>
        </w:rPr>
        <w:t xml:space="preserve"> vyšším než 5 % je 95 mg/m3.“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Příloha 5 vyhlášky ministra zemědělství č. 51/2019 ze dne 28. října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buňce B:5 tabulky v bodě 2 přílohy 5 vyhlášky se údaj „1 500“ nahrazuje údajem „375“.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Dílčí body 2.3 a 2.4 bodu 2 přílohy 5 vyhlášky se nahrazují tímto: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„2.3 Limitní hodnota emisí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v případě spalovacích zařízení spalujících tuhá paliva o celkovém jmenovitém tepelném příkonu rovném nebo vyšším než 1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>, ale nižším než 5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 je 500 mg/Nm3 s tou výjimkou, že v případě spalování hnědého uhlí je tato hodnota 320 mg/Nm3 a v případě kotlů na kapalná paliva spalujících tuhá paliva z biomasy je tato hodnota 300 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Limitní hodnota emisí pro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pro kotle na kapalná paliva spalující jiná tuhá paliva je 210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Dílčí bod 3.2 bodu 3 přílohy 5 vyhlášky se nahrazuje tímto: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„3.2 V případě motorů, které jsou v provozu 500 až 1 500 hodin za rok, pokud jsou jejich emise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 xml:space="preserve"> omezené z důvodu primárních opatření, platí níže uvedené limitní hodnoty emisí pro </w:t>
      </w:r>
      <w:proofErr w:type="spellStart"/>
      <w:r>
        <w:rPr>
          <w:rFonts w:ascii="Times New Roman" w:hAnsi="Times New Roman"/>
          <w:sz w:val="24"/>
          <w:szCs w:val="24"/>
        </w:rPr>
        <w:t>NOx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1 300 mg/Nm3 pro naftové motory s celkovým jmenovitým tepelným příkonem do 20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 při ≤ 1 200 r/min;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1 500 mg/Nm3 pro dieselové motory s celkovým jmenovitým tepelným příkonem nejvýše 20 </w:t>
      </w:r>
      <w:proofErr w:type="spellStart"/>
      <w:r>
        <w:rPr>
          <w:rFonts w:ascii="Times New Roman" w:hAnsi="Times New Roman"/>
          <w:sz w:val="24"/>
          <w:szCs w:val="24"/>
        </w:rPr>
        <w:t>MWth</w:t>
      </w:r>
      <w:proofErr w:type="spellEnd"/>
      <w:r>
        <w:rPr>
          <w:rFonts w:ascii="Times New Roman" w:hAnsi="Times New Roman"/>
          <w:sz w:val="24"/>
          <w:szCs w:val="24"/>
        </w:rPr>
        <w:t xml:space="preserve"> a pro dvoupalivové motory v kapalném režimu;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750 mg/Nm3 u naftových motorů s &gt; 1 200 r/min;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380 mg/Nm3 u dvoupalivových motorů v plynovém režimu.“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bodu 3 přílohy 5 vyhlášky se doplňuje níže uvedený dílčí bod 3.9: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„3.9 Limitní hodnota emisí celkového organického uhlíku (TOC) v případě plynových motorů používajících zemní plyn s obsahem </w:t>
      </w:r>
      <w:proofErr w:type="spellStart"/>
      <w:r>
        <w:rPr>
          <w:rFonts w:ascii="Times New Roman" w:hAnsi="Times New Roman"/>
          <w:sz w:val="24"/>
          <w:szCs w:val="24"/>
        </w:rPr>
        <w:t>ethanu</w:t>
      </w:r>
      <w:proofErr w:type="spellEnd"/>
      <w:r>
        <w:rPr>
          <w:rFonts w:ascii="Times New Roman" w:hAnsi="Times New Roman"/>
          <w:sz w:val="24"/>
          <w:szCs w:val="24"/>
        </w:rPr>
        <w:t xml:space="preserve"> vyšším než 5 % je 95 mg/m3.“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9A" w:rsidRDefault="00EB169A" w:rsidP="000A7E07">
      <w:pPr>
        <w:spacing w:after="0" w:line="240" w:lineRule="auto"/>
      </w:pPr>
      <w:r>
        <w:separator/>
      </w:r>
    </w:p>
  </w:endnote>
  <w:endnote w:type="continuationSeparator" w:id="0">
    <w:p w:rsidR="00EB169A" w:rsidRDefault="00EB169A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9A" w:rsidRDefault="00EB169A" w:rsidP="000A7E07">
      <w:pPr>
        <w:spacing w:after="0" w:line="240" w:lineRule="auto"/>
      </w:pPr>
      <w:r>
        <w:separator/>
      </w:r>
    </w:p>
  </w:footnote>
  <w:footnote w:type="continuationSeparator" w:id="0">
    <w:p w:rsidR="00EB169A" w:rsidRDefault="00EB169A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A7E07"/>
    <w:rsid w:val="00196C2F"/>
    <w:rsid w:val="0093333B"/>
    <w:rsid w:val="00A8487D"/>
    <w:rsid w:val="00D23C28"/>
    <w:rsid w:val="00E3749D"/>
    <w:rsid w:val="00E377C2"/>
    <w:rsid w:val="00EB169A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FCB03"/>
  <w15:docId w15:val="{7AF770AC-F4EB-4C9B-A399-9E60975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7</cp:revision>
  <dcterms:created xsi:type="dcterms:W3CDTF">2020-09-23T07:03:00Z</dcterms:created>
  <dcterms:modified xsi:type="dcterms:W3CDTF">2020-11-26T07:26:00Z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