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3B" w:rsidRPr="00F91869" w:rsidRDefault="00E377C2" w:rsidP="0093333B">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sz w:val="20"/>
          <w:szCs w:val="20"/>
        </w:rPr>
        <w:t>1. ----</w:t>
      </w:r>
      <w:r w:rsidR="00502370">
        <w:rPr>
          <w:rFonts w:ascii="Courier New" w:hAnsi="Courier New"/>
          <w:sz w:val="20"/>
          <w:szCs w:val="20"/>
        </w:rPr>
        <w:t>-</w:t>
      </w:r>
      <w:bookmarkStart w:id="0" w:name="_GoBack"/>
      <w:bookmarkEnd w:id="0"/>
      <w:r>
        <w:rPr>
          <w:rFonts w:ascii="Courier New" w:hAnsi="Courier New"/>
          <w:sz w:val="20"/>
          <w:szCs w:val="20"/>
        </w:rPr>
        <w:t xml:space="preserve">-IND- 2019 0309 HU- ET- ------ </w:t>
      </w:r>
      <w:r>
        <w:rPr>
          <w:rFonts w:ascii="Segoe UI" w:hAnsi="Segoe UI"/>
          <w:color w:val="000000"/>
          <w:sz w:val="20"/>
          <w:szCs w:val="20"/>
        </w:rPr>
        <w:t>20201130</w:t>
      </w:r>
      <w:r>
        <w:rPr>
          <w:rFonts w:ascii="Calibri" w:hAnsi="Calibri"/>
          <w:sz w:val="20"/>
          <w:szCs w:val="20"/>
        </w:rPr>
        <w:t xml:space="preserve"> </w:t>
      </w:r>
      <w:r>
        <w:rPr>
          <w:rFonts w:ascii="Courier New" w:hAnsi="Courier New"/>
          <w:sz w:val="20"/>
          <w:szCs w:val="20"/>
        </w:rPr>
        <w:t>--- --- FINAL</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bCs/>
          <w:sz w:val="28"/>
          <w:szCs w:val="28"/>
        </w:rPr>
        <w:t>Põllumajandusministri 28. oktoobri 2019. aasta dekreet nr 51/2019,</w:t>
      </w:r>
    </w:p>
    <w:p w:rsidR="0093333B" w:rsidRPr="00F91869" w:rsidRDefault="0093333B" w:rsidP="0093333B">
      <w:pPr>
        <w:autoSpaceDE w:val="0"/>
        <w:autoSpaceDN w:val="0"/>
        <w:adjustRightInd w:val="0"/>
        <w:spacing w:before="240" w:after="240" w:line="240" w:lineRule="auto"/>
        <w:jc w:val="center"/>
        <w:rPr>
          <w:rFonts w:ascii="Times New Roman" w:hAnsi="Times New Roman" w:cs="Times New Roman"/>
          <w:sz w:val="24"/>
          <w:szCs w:val="24"/>
        </w:rPr>
      </w:pPr>
      <w:r>
        <w:rPr>
          <w:rFonts w:ascii="Times New Roman" w:hAnsi="Times New Roman"/>
          <w:b/>
          <w:bCs/>
          <w:sz w:val="28"/>
          <w:szCs w:val="28"/>
        </w:rPr>
        <w:t>millega muudetakse põllumajandusministri 18. oktoobri 2017. aasta dekreeti nr 53/2017 alates 140 </w:t>
      </w:r>
      <w:proofErr w:type="spellStart"/>
      <w:r>
        <w:rPr>
          <w:rFonts w:ascii="Times New Roman" w:hAnsi="Times New Roman"/>
          <w:b/>
          <w:bCs/>
          <w:sz w:val="28"/>
          <w:szCs w:val="28"/>
        </w:rPr>
        <w:t>kW</w:t>
      </w:r>
      <w:r>
        <w:rPr>
          <w:rFonts w:ascii="Times New Roman" w:hAnsi="Times New Roman"/>
          <w:b/>
          <w:bCs/>
          <w:sz w:val="28"/>
          <w:szCs w:val="28"/>
          <w:vertAlign w:val="subscript"/>
        </w:rPr>
        <w:t>th</w:t>
      </w:r>
      <w:proofErr w:type="spellEnd"/>
      <w:r>
        <w:rPr>
          <w:rFonts w:ascii="Times New Roman" w:hAnsi="Times New Roman"/>
          <w:b/>
          <w:bCs/>
          <w:sz w:val="28"/>
          <w:szCs w:val="28"/>
        </w:rPr>
        <w:t xml:space="preserve"> kuni 50 </w:t>
      </w:r>
      <w:proofErr w:type="spellStart"/>
      <w:r>
        <w:rPr>
          <w:rFonts w:ascii="Times New Roman" w:hAnsi="Times New Roman"/>
          <w:b/>
          <w:bCs/>
          <w:sz w:val="28"/>
          <w:szCs w:val="28"/>
        </w:rPr>
        <w:t>MW</w:t>
      </w:r>
      <w:r>
        <w:rPr>
          <w:rFonts w:ascii="Times New Roman" w:hAnsi="Times New Roman"/>
          <w:b/>
          <w:bCs/>
          <w:sz w:val="28"/>
          <w:szCs w:val="28"/>
          <w:vertAlign w:val="subscript"/>
        </w:rPr>
        <w:t>th</w:t>
      </w:r>
      <w:proofErr w:type="spellEnd"/>
      <w:r>
        <w:rPr>
          <w:rFonts w:ascii="Times New Roman" w:hAnsi="Times New Roman"/>
          <w:b/>
          <w:bCs/>
          <w:sz w:val="28"/>
          <w:szCs w:val="28"/>
        </w:rPr>
        <w:t xml:space="preserve"> summaarse nimisoojusvõimsusega põletusseadmete käitamistingimuste ja neist eralduva õhusaaste piirnormide kohta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Vastavalt keskkonnakaitse üldeeskirju käsitleva 1995. aasta seaduse LIII paragrahvi 110 lõike 8 punktis g antud volitusele ja oma pädevuste raames, mis on määratletud valitsuse 22. mai 2018. aasta dekreedi nr 94/2018 (valitsuse liikmete kohustuste ja pädevuste kohta) paragrahvi 79 lõikes 9, kehtestan käesolevaga alljärgneva.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1</w:t>
      </w:r>
      <w:r>
        <w:rPr>
          <w:rFonts w:ascii="Times New Roman" w:hAnsi="Times New Roman"/>
          <w:sz w:val="24"/>
          <w:szCs w:val="24"/>
        </w:rPr>
        <w:t xml:space="preserve"> 1) Põllumajandusministri 18. oktoobri 2017. aasta dekreedi 53/2017 (alates 140 </w:t>
      </w:r>
      <w:proofErr w:type="spellStart"/>
      <w:r>
        <w:rPr>
          <w:rFonts w:ascii="Times New Roman" w:hAnsi="Times New Roman"/>
          <w:sz w:val="24"/>
          <w:szCs w:val="24"/>
        </w:rPr>
        <w:t>kW</w:t>
      </w:r>
      <w:r>
        <w:rPr>
          <w:rFonts w:ascii="Times New Roman" w:hAnsi="Times New Roman"/>
          <w:sz w:val="24"/>
          <w:szCs w:val="24"/>
          <w:vertAlign w:val="subscript"/>
        </w:rPr>
        <w:t>th</w:t>
      </w:r>
      <w:proofErr w:type="spellEnd"/>
      <w:r>
        <w:rPr>
          <w:rFonts w:ascii="Times New Roman" w:hAnsi="Times New Roman"/>
          <w:sz w:val="24"/>
          <w:szCs w:val="24"/>
        </w:rPr>
        <w:t xml:space="preserve"> kuni 50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 xml:space="preserve"> summaarse nimisoojusvõimsusega põletusseadmete käitamistingimuste ja neist eralduva õhusaaste piirnormide kohta) (edaspidi „dekreet“) paragrahvi 2 lõikele 1 lisatakse järgmine punkt 1a: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(Käesoleva dekreedi tähenduses)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„1.a. „</w:t>
      </w:r>
      <w:r>
        <w:rPr>
          <w:rFonts w:ascii="Times New Roman" w:hAnsi="Times New Roman"/>
          <w:i/>
          <w:iCs/>
          <w:sz w:val="24"/>
          <w:szCs w:val="24"/>
        </w:rPr>
        <w:t>gaasi ülekandesüsteem</w:t>
      </w:r>
      <w:r>
        <w:rPr>
          <w:rFonts w:ascii="Times New Roman" w:hAnsi="Times New Roman"/>
          <w:sz w:val="24"/>
          <w:szCs w:val="24"/>
        </w:rPr>
        <w:t>“ – koostööl põhinev maagaasisüsteem 2008. aasta maagaasiga varustamist käsitleva seaduse XL kohaselt;“.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Dekreedi paragrahvi 2 lõike 1 punkt 9 asendatakse järgmisega: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„9. „</w:t>
      </w:r>
      <w:r>
        <w:rPr>
          <w:rFonts w:ascii="Times New Roman" w:hAnsi="Times New Roman"/>
          <w:i/>
          <w:iCs/>
          <w:sz w:val="24"/>
          <w:szCs w:val="24"/>
        </w:rPr>
        <w:t>summaarne nimisoojusvõimsus</w:t>
      </w:r>
      <w:r>
        <w:rPr>
          <w:rFonts w:ascii="Times New Roman" w:hAnsi="Times New Roman"/>
          <w:sz w:val="24"/>
          <w:szCs w:val="24"/>
        </w:rPr>
        <w:t>“ – põletusseadmete nimisoojusvõimsuste summa, mis arvutatakse liitmiseeskirjadest lähtuvalt, mis põletusseadme puhul on võrdne selle nimisoojusvõimsusega;“.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xml:space="preserve">§ 2 </w:t>
      </w:r>
      <w:r>
        <w:rPr>
          <w:rFonts w:ascii="Times New Roman" w:hAnsi="Times New Roman"/>
          <w:sz w:val="24"/>
          <w:szCs w:val="24"/>
        </w:rPr>
        <w:t>1) Dekreedi paragrahvi 4 lõiked 6 ja 7 jõustuvad järgmises sõnastuses: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„6) 1. lisas sätestatud heite piirväärtused kehtivad I kategooria põletusseadmetele, mille summaarne nimisoojusvõimsus on vähemalt 1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 xml:space="preserve"> ja mis töötavad viie aasta libiseva keskmisena aastas rohkem kui 500 töötundi. Erandiks on see, et tahketel </w:t>
      </w:r>
      <w:proofErr w:type="spellStart"/>
      <w:r>
        <w:rPr>
          <w:rFonts w:ascii="Times New Roman" w:hAnsi="Times New Roman"/>
          <w:sz w:val="24"/>
          <w:szCs w:val="24"/>
        </w:rPr>
        <w:t>biomasskütustel</w:t>
      </w:r>
      <w:proofErr w:type="spellEnd"/>
      <w:r>
        <w:rPr>
          <w:rFonts w:ascii="Times New Roman" w:hAnsi="Times New Roman"/>
          <w:sz w:val="24"/>
          <w:szCs w:val="24"/>
        </w:rPr>
        <w:t xml:space="preserve"> töötavate põletusseadmete tahkete materjalide heite piirväärtus on 200 mg/Nm</w:t>
      </w:r>
      <w:r>
        <w:rPr>
          <w:rFonts w:ascii="Times New Roman" w:hAnsi="Times New Roman"/>
          <w:sz w:val="24"/>
          <w:szCs w:val="24"/>
          <w:vertAlign w:val="superscript"/>
        </w:rPr>
        <w:t>3</w:t>
      </w:r>
      <w:r>
        <w:rPr>
          <w:rFonts w:ascii="Times New Roman" w:hAnsi="Times New Roman"/>
          <w:sz w:val="24"/>
          <w:szCs w:val="24"/>
        </w:rPr>
        <w:t xml:space="preserve"> ja süsinikmonooksiidi heite piirväärtus on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7) Kuni 1. jaanuarini 2030 kehtivad 1. lisas esitatud piirväärtused I kategooria põletusseadmetele, mille summaarne nimisoojusvõimsus on suurem kui 5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 mille puhul 50 % selliste seadmete toodetavast kasulikust soojusest, mida arvutatakse viie aasta libiseva keskmisena, tarnitakse auru või kuuma veena üldkasutatavasse kaugküttevõrku. Erandiks on see, et tahke- ja vedelkütustel töötavate põletusseadmete vääveldioksiidi heite piirväärtus on 1100 mg/Nm</w:t>
      </w:r>
      <w:r>
        <w:rPr>
          <w:rFonts w:ascii="Times New Roman" w:hAnsi="Times New Roman"/>
          <w:sz w:val="24"/>
          <w:szCs w:val="24"/>
          <w:vertAlign w:val="superscript"/>
        </w:rPr>
        <w:t>3</w:t>
      </w:r>
      <w:r>
        <w:rPr>
          <w:rFonts w:ascii="Times New Roman" w:hAnsi="Times New Roman"/>
          <w:sz w:val="24"/>
          <w:szCs w:val="24"/>
        </w:rPr>
        <w:t xml:space="preserve"> ja tahkekütustel töötavate põletusseadmete tahkete materjalide heite piirväärtus on 150 mg/Nm</w:t>
      </w:r>
      <w:r>
        <w:rPr>
          <w:rFonts w:ascii="Times New Roman" w:hAnsi="Times New Roman"/>
          <w:sz w:val="24"/>
          <w:szCs w:val="24"/>
          <w:vertAlign w:val="superscript"/>
        </w:rPr>
        <w:t>3</w:t>
      </w:r>
      <w:r>
        <w:rPr>
          <w:rFonts w:ascii="Times New Roman" w:hAnsi="Times New Roman"/>
          <w:sz w:val="24"/>
          <w:szCs w:val="24"/>
        </w:rPr>
        <w:t xml:space="preserve">, samas kui tahkel </w:t>
      </w:r>
      <w:proofErr w:type="spellStart"/>
      <w:r>
        <w:rPr>
          <w:rFonts w:ascii="Times New Roman" w:hAnsi="Times New Roman"/>
          <w:sz w:val="24"/>
          <w:szCs w:val="24"/>
        </w:rPr>
        <w:t>biomasskütusel</w:t>
      </w:r>
      <w:proofErr w:type="spellEnd"/>
      <w:r>
        <w:rPr>
          <w:rFonts w:ascii="Times New Roman" w:hAnsi="Times New Roman"/>
          <w:sz w:val="24"/>
          <w:szCs w:val="24"/>
        </w:rPr>
        <w:t xml:space="preserve"> töötavate põletusseadmete süsinikmonooksiidi heite piirväärtus on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Dekreedi paragrahvi 4 lõige 9 jõustub järgmises sõnastuses: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„9) Kuni 1. jaanuarini 2030 kehtivad 1. lisas sätestatud heite piirväärtused lämmastikoksiididele, mis pärinevad 1. kategooria mootoritest ja gaasiturbiinidest, mille summaarne nimisoojusvõimsus on suurem kui 5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 xml:space="preserve"> ja millega varustatakse gaasi ülekandesüsteemi ohutuse ja turvalisuse tagamiseks vajalikke gaasikompressorjaamasid. Erandiks on see, et enne 1. jaanuari 1994 kasutusele võetud gaasimootorite puhul on lämmastikoksiidide heite piirväärtus 565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lastRenderedPageBreak/>
        <w:t>3) Dekreedi paragrahvi 4 lõige 10 asendatakse järgmiselt: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„10) 1. lisas sätestatud heite piirväärtused kehtivad II kategooria põletusseadmetele, mis kolme aasta libiseva keskmisena töötavad aastas mitte rohkem kui 500 töötundi. Erandiks on see, et tahkekütustel töötavate põletusseadmete puhul on tahkete materjalide heite piirväärtus 100 mg/Nm</w:t>
      </w:r>
      <w:r>
        <w:rPr>
          <w:rFonts w:ascii="Times New Roman" w:hAnsi="Times New Roman"/>
          <w:sz w:val="24"/>
          <w:szCs w:val="24"/>
          <w:vertAlign w:val="superscript"/>
        </w:rPr>
        <w:t>3</w:t>
      </w:r>
      <w:r>
        <w:rPr>
          <w:rFonts w:ascii="Times New Roman" w:hAnsi="Times New Roman"/>
          <w:sz w:val="24"/>
          <w:szCs w:val="24"/>
        </w:rPr>
        <w:t xml:space="preserve"> ja tahkel </w:t>
      </w:r>
      <w:proofErr w:type="spellStart"/>
      <w:r>
        <w:rPr>
          <w:rFonts w:ascii="Times New Roman" w:hAnsi="Times New Roman"/>
          <w:sz w:val="24"/>
          <w:szCs w:val="24"/>
        </w:rPr>
        <w:t>biomasskütusel</w:t>
      </w:r>
      <w:proofErr w:type="spellEnd"/>
      <w:r>
        <w:rPr>
          <w:rFonts w:ascii="Times New Roman" w:hAnsi="Times New Roman"/>
          <w:sz w:val="24"/>
          <w:szCs w:val="24"/>
        </w:rPr>
        <w:t xml:space="preserve"> töötavate põletusseadmete puhul, mille summaarne nimisoojusvõimsus on vähemalt 1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 on süsinikmonooksiidi heite piirväärtus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Dekreedi paragrahvi 4 lõige 13 asendatakse järgmiselt: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„13) Statsionaarsete mootorite puhul ei kehti heite piirväärtused</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mootoritele, mille nimisoojusvõimsus on väiksem kui 1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 xml:space="preserve"> ja mille kütusekasutus on väiksem kui 50 kg/h,</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statsionaarsetele mootoritele, millel on elektriline avariitoide, mis töötavad aastas vähem kui 50 tundi.“</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3</w:t>
      </w:r>
      <w:r>
        <w:rPr>
          <w:rFonts w:ascii="Times New Roman" w:hAnsi="Times New Roman"/>
          <w:sz w:val="24"/>
          <w:szCs w:val="24"/>
        </w:rPr>
        <w:t xml:space="preserve"> Dekreedi paragrahvi 12 lõiked 2 ja 3 asendatakse järgmisega: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Kuni 31. detsembrini 2029 kehtivad 1. lisas sätestatud heite piirväärtused I kategooria põletusseadmetele, mille summaarne nimisoojusvõimsus on vähemalt 1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 aga väiksem kui 5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 ja mille puhul kehtivad järgmised erandid:</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 xml:space="preserve">a) </w:t>
      </w:r>
      <w:r>
        <w:rPr>
          <w:rFonts w:ascii="Times New Roman" w:hAnsi="Times New Roman"/>
          <w:sz w:val="24"/>
          <w:szCs w:val="24"/>
        </w:rPr>
        <w:t xml:space="preserve">tahke </w:t>
      </w:r>
      <w:proofErr w:type="spellStart"/>
      <w:r>
        <w:rPr>
          <w:rFonts w:ascii="Times New Roman" w:hAnsi="Times New Roman"/>
          <w:sz w:val="24"/>
          <w:szCs w:val="24"/>
        </w:rPr>
        <w:t>biomassi</w:t>
      </w:r>
      <w:proofErr w:type="spellEnd"/>
      <w:r>
        <w:rPr>
          <w:rFonts w:ascii="Times New Roman" w:hAnsi="Times New Roman"/>
          <w:sz w:val="24"/>
          <w:szCs w:val="24"/>
        </w:rPr>
        <w:t xml:space="preserve"> põletamise puhul on süsinikmonooksiidi heite piirväärtus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 xml:space="preserve">b) </w:t>
      </w:r>
      <w:r>
        <w:rPr>
          <w:rFonts w:ascii="Times New Roman" w:hAnsi="Times New Roman"/>
          <w:sz w:val="24"/>
          <w:szCs w:val="24"/>
        </w:rPr>
        <w:t>enne 1. jaanuari 1994 kasutusele võetud gaasimootorite puhul, mille summaarne nimisoojusvõimsus on suurem kui 3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 on lämmastikoksiidide heite piirväärtus 565 mg/Nm</w:t>
      </w:r>
      <w:r>
        <w:rPr>
          <w:rFonts w:ascii="Times New Roman" w:hAnsi="Times New Roman"/>
          <w:sz w:val="24"/>
          <w:szCs w:val="24"/>
          <w:vertAlign w:val="superscript"/>
        </w:rPr>
        <w:t>3</w:t>
      </w:r>
      <w:r>
        <w:rPr>
          <w:rFonts w:ascii="Times New Roman" w:hAnsi="Times New Roman"/>
          <w:sz w:val="24"/>
          <w:szCs w:val="24"/>
        </w:rPr>
        <w:t>, neljataktiliste mootorite puhul on CO-heite piirväärtus 375 mg/Nm</w:t>
      </w:r>
      <w:r>
        <w:rPr>
          <w:rFonts w:ascii="Times New Roman" w:hAnsi="Times New Roman"/>
          <w:sz w:val="24"/>
          <w:szCs w:val="24"/>
          <w:vertAlign w:val="superscript"/>
        </w:rPr>
        <w:t>3</w:t>
      </w:r>
      <w:r>
        <w:rPr>
          <w:rFonts w:ascii="Times New Roman" w:hAnsi="Times New Roman"/>
          <w:sz w:val="24"/>
          <w:szCs w:val="24"/>
        </w:rPr>
        <w:t>, kahetaktiliste mootorite puhul on see 320 mg/Nm</w:t>
      </w:r>
      <w:r>
        <w:rPr>
          <w:rFonts w:ascii="Times New Roman" w:hAnsi="Times New Roman"/>
          <w:sz w:val="24"/>
          <w:szCs w:val="24"/>
          <w:vertAlign w:val="superscript"/>
        </w:rPr>
        <w:t>3</w:t>
      </w:r>
      <w:r>
        <w:rPr>
          <w:rFonts w:ascii="Times New Roman" w:hAnsi="Times New Roman"/>
          <w:sz w:val="24"/>
          <w:szCs w:val="24"/>
        </w:rPr>
        <w:t xml:space="preserve"> ja orgaaniliste ühendite summaarse koguse puhul, mida väljendatakse kui C (süsinik), välja arvatud metaan, on heite piirväärtus 115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Kuni 31. detsembrini 2024 kehtivad 1. lisas sätestatud heite piirväärtused I kategooria põletusseadmetele, mille summaarne nimisoojusvõimsus on suurem kui 5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 mille puhul kehtivad järgmised erandid:</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 xml:space="preserve">a) </w:t>
      </w:r>
      <w:r>
        <w:rPr>
          <w:rFonts w:ascii="Times New Roman" w:hAnsi="Times New Roman"/>
          <w:sz w:val="24"/>
          <w:szCs w:val="24"/>
        </w:rPr>
        <w:t xml:space="preserve">tahke </w:t>
      </w:r>
      <w:proofErr w:type="spellStart"/>
      <w:r>
        <w:rPr>
          <w:rFonts w:ascii="Times New Roman" w:hAnsi="Times New Roman"/>
          <w:sz w:val="24"/>
          <w:szCs w:val="24"/>
        </w:rPr>
        <w:t>biomassi</w:t>
      </w:r>
      <w:proofErr w:type="spellEnd"/>
      <w:r>
        <w:rPr>
          <w:rFonts w:ascii="Times New Roman" w:hAnsi="Times New Roman"/>
          <w:sz w:val="24"/>
          <w:szCs w:val="24"/>
        </w:rPr>
        <w:t xml:space="preserve"> põletamise puhul on süsinikmonooksiidi heite piirväärtus 375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 xml:space="preserve">b) </w:t>
      </w:r>
      <w:r>
        <w:rPr>
          <w:rFonts w:ascii="Times New Roman" w:hAnsi="Times New Roman"/>
          <w:sz w:val="24"/>
          <w:szCs w:val="24"/>
        </w:rPr>
        <w:t>enne 1. jaanuari 1994 kasutusele võetud gaasimootorite puhul on lämmastikoksiidide heite piirväärtus 565 mg/Nm</w:t>
      </w:r>
      <w:r>
        <w:rPr>
          <w:rFonts w:ascii="Times New Roman" w:hAnsi="Times New Roman"/>
          <w:sz w:val="24"/>
          <w:szCs w:val="24"/>
          <w:vertAlign w:val="superscript"/>
        </w:rPr>
        <w:t>3</w:t>
      </w:r>
      <w:r>
        <w:rPr>
          <w:rFonts w:ascii="Times New Roman" w:hAnsi="Times New Roman"/>
          <w:sz w:val="24"/>
          <w:szCs w:val="24"/>
        </w:rPr>
        <w:t>, neljataktiliste mootorite puhul on süsinikmonooksiidi heite piirväärtus 375 mg/Nm</w:t>
      </w:r>
      <w:r>
        <w:rPr>
          <w:rFonts w:ascii="Times New Roman" w:hAnsi="Times New Roman"/>
          <w:sz w:val="24"/>
          <w:szCs w:val="24"/>
          <w:vertAlign w:val="superscript"/>
        </w:rPr>
        <w:t>3</w:t>
      </w:r>
      <w:r>
        <w:rPr>
          <w:rFonts w:ascii="Times New Roman" w:hAnsi="Times New Roman"/>
          <w:sz w:val="24"/>
          <w:szCs w:val="24"/>
        </w:rPr>
        <w:t>, kahetaktiliste mootorite puhul on see 320 mg/Nm</w:t>
      </w:r>
      <w:r>
        <w:rPr>
          <w:rFonts w:ascii="Times New Roman" w:hAnsi="Times New Roman"/>
          <w:sz w:val="24"/>
          <w:szCs w:val="24"/>
          <w:vertAlign w:val="superscript"/>
        </w:rPr>
        <w:t>3</w:t>
      </w:r>
      <w:r>
        <w:rPr>
          <w:rFonts w:ascii="Times New Roman" w:hAnsi="Times New Roman"/>
          <w:sz w:val="24"/>
          <w:szCs w:val="24"/>
        </w:rPr>
        <w:t xml:space="preserve"> ja orgaaniliste ühendite summaarse koguse puhul, mida väljendatakse kui C (süsinik), välja arvatud metaan, on heite piirväärtus 115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4</w:t>
      </w:r>
      <w:r>
        <w:rPr>
          <w:rFonts w:ascii="Times New Roman" w:hAnsi="Times New Roman"/>
          <w:sz w:val="24"/>
          <w:szCs w:val="24"/>
        </w:rPr>
        <w:t xml:space="preserve"> 1) Dekreedi 1. lisa muudetakse kooskõlas 1. lisaga.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Dekreedi 2. lisa jõustub kooskõlas 2. lisaga.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Dekreedi 3. lisa jõustub kooskõlas 3. lisaga.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Dekreedi 4. lisa muudetakse kooskõlas 4. lisaga.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5) Dekreedi 5. lisa muudetakse kooskõlas 5. lisaga.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5</w:t>
      </w:r>
      <w:r>
        <w:rPr>
          <w:rFonts w:ascii="Times New Roman" w:hAnsi="Times New Roman"/>
          <w:sz w:val="24"/>
          <w:szCs w:val="24"/>
        </w:rPr>
        <w:t xml:space="preserve"> Dekreedi 4. lisa punkti 3 alapunkt 3.4 tunnistatakse kehtetuks.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6</w:t>
      </w:r>
      <w:r>
        <w:rPr>
          <w:rFonts w:ascii="Times New Roman" w:hAnsi="Times New Roman"/>
          <w:sz w:val="24"/>
          <w:szCs w:val="24"/>
        </w:rPr>
        <w:t xml:space="preserve"> 1) Käesolev dekreet jõustub selle avaldamisele järgneval 15. päeval, välja arvatud lõigetes 2 ja 3 määratletud erandid.</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Paragrahvi 2 lõiked 1 ja 2, paragrahvi 4 lõige 3 ning 3. lisa jõustuvad 1. jaanuaril 2025.</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Paragrahvi 4 lõige 2 ja 2. lisa jõustuvad 1. jaanuaril 2030.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b/>
          <w:bCs/>
          <w:sz w:val="24"/>
          <w:szCs w:val="24"/>
        </w:rPr>
        <w:t>§ 7</w:t>
      </w:r>
      <w:r>
        <w:rPr>
          <w:rFonts w:ascii="Times New Roman" w:hAnsi="Times New Roman"/>
          <w:sz w:val="24"/>
          <w:szCs w:val="24"/>
        </w:rPr>
        <w:t xml:space="preserve"> 1) Käesoleva dekreedi eesmärk on järgida Euroopa Parlamendi ja nõukogu 25. novembri 2015. aasta direktiivi (EL) 2015/2193 keskmise võimsusega põletusseadmetest õhku eralduvate teatavate saasteainete heite piiramise kohta.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Käesoleva dekreedi puhul on täidetud eelneva teavitamise nõue, mis on sätestatud Euroopa Parlamendi ja nõukogu 9. septembri 2015. aasta direktiivi (EL) 2015/1535 (millega nähakse ette tehnilistest eeskirjadest ning infoühiskonna teenuste eeskirjadest teatamise kord) artiklites 5–7.</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lastRenderedPageBreak/>
        <w:t>Põllumajandusministri 28. oktoobri 2019. aasta dekreedi nr 51/2019 1. lisa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Dekreedi 1. lisa punkti 2 alapunkt 2.3 asendatakse järgmisega: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„2.3. „Pruunsöe põletamise puhul on </w:t>
      </w:r>
      <w:proofErr w:type="spellStart"/>
      <w:r>
        <w:rPr>
          <w:rFonts w:ascii="Times New Roman" w:hAnsi="Times New Roman"/>
          <w:sz w:val="24"/>
          <w:szCs w:val="24"/>
        </w:rPr>
        <w:t>NOx</w:t>
      </w:r>
      <w:proofErr w:type="spellEnd"/>
      <w:r>
        <w:rPr>
          <w:rFonts w:ascii="Times New Roman" w:hAnsi="Times New Roman"/>
          <w:sz w:val="24"/>
          <w:szCs w:val="24"/>
        </w:rPr>
        <w:t xml:space="preserve"> heite piirväärtus 320 mg/m</w:t>
      </w:r>
      <w:r>
        <w:rPr>
          <w:rFonts w:ascii="Times New Roman" w:hAnsi="Times New Roman"/>
          <w:sz w:val="24"/>
          <w:szCs w:val="24"/>
          <w:vertAlign w:val="superscript"/>
        </w:rPr>
        <w:t>3</w:t>
      </w:r>
      <w:r>
        <w:rPr>
          <w:rFonts w:ascii="Times New Roman" w:hAnsi="Times New Roman"/>
          <w:sz w:val="24"/>
          <w:szCs w:val="24"/>
        </w:rPr>
        <w:t xml:space="preserve">, tahkeid </w:t>
      </w:r>
      <w:proofErr w:type="spellStart"/>
      <w:r>
        <w:rPr>
          <w:rFonts w:ascii="Times New Roman" w:hAnsi="Times New Roman"/>
          <w:sz w:val="24"/>
          <w:szCs w:val="24"/>
        </w:rPr>
        <w:t>biomasskütuseid</w:t>
      </w:r>
      <w:proofErr w:type="spellEnd"/>
      <w:r>
        <w:rPr>
          <w:rFonts w:ascii="Times New Roman" w:hAnsi="Times New Roman"/>
          <w:sz w:val="24"/>
          <w:szCs w:val="24"/>
        </w:rPr>
        <w:t xml:space="preserve"> kasutavate vedeliku põlemise teel töötavate katelde puhul 300 mg/m</w:t>
      </w:r>
      <w:r>
        <w:rPr>
          <w:rFonts w:ascii="Times New Roman" w:hAnsi="Times New Roman"/>
          <w:sz w:val="24"/>
          <w:szCs w:val="24"/>
          <w:vertAlign w:val="superscript"/>
        </w:rPr>
        <w:t>3</w:t>
      </w:r>
      <w:r>
        <w:rPr>
          <w:rFonts w:ascii="Times New Roman" w:hAnsi="Times New Roman"/>
          <w:sz w:val="24"/>
          <w:szCs w:val="24"/>
        </w:rPr>
        <w:t xml:space="preserve"> ja muid tahkekütuseid kasutavate vedeliku põlemise teel töötavate katelde puhul 210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Dekreedi 1. lisa punkti 3 alapunkt 3.1 asendatakse järgmisega: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„3.1. Kahetaktiliste mootorite puhul on </w:t>
      </w:r>
      <w:proofErr w:type="spellStart"/>
      <w:r>
        <w:rPr>
          <w:rFonts w:ascii="Times New Roman" w:hAnsi="Times New Roman"/>
          <w:sz w:val="24"/>
          <w:szCs w:val="24"/>
        </w:rPr>
        <w:t>NOx</w:t>
      </w:r>
      <w:proofErr w:type="spellEnd"/>
      <w:r>
        <w:rPr>
          <w:rFonts w:ascii="Times New Roman" w:hAnsi="Times New Roman"/>
          <w:sz w:val="24"/>
          <w:szCs w:val="24"/>
        </w:rPr>
        <w:t xml:space="preserve"> heite piirväärtus 300 mg/m</w:t>
      </w:r>
      <w:r>
        <w:rPr>
          <w:rFonts w:ascii="Times New Roman" w:hAnsi="Times New Roman"/>
          <w:sz w:val="24"/>
          <w:szCs w:val="24"/>
          <w:vertAlign w:val="superscript"/>
        </w:rPr>
        <w:t>3</w:t>
      </w:r>
      <w:r>
        <w:rPr>
          <w:rFonts w:ascii="Times New Roman" w:hAnsi="Times New Roman"/>
          <w:sz w:val="24"/>
          <w:szCs w:val="24"/>
        </w:rPr>
        <w:t xml:space="preserve">, </w:t>
      </w:r>
      <w:proofErr w:type="spellStart"/>
      <w:r>
        <w:rPr>
          <w:rFonts w:ascii="Times New Roman" w:hAnsi="Times New Roman"/>
          <w:sz w:val="24"/>
          <w:szCs w:val="24"/>
        </w:rPr>
        <w:t>biogaasil</w:t>
      </w:r>
      <w:proofErr w:type="spellEnd"/>
      <w:r>
        <w:rPr>
          <w:rFonts w:ascii="Times New Roman" w:hAnsi="Times New Roman"/>
          <w:sz w:val="24"/>
          <w:szCs w:val="24"/>
        </w:rPr>
        <w:t xml:space="preserve"> ja prügilagaasil töötavate neljataktiliste mootorite puhul 225 mg/m</w:t>
      </w:r>
      <w:r>
        <w:rPr>
          <w:rFonts w:ascii="Times New Roman" w:hAnsi="Times New Roman"/>
          <w:sz w:val="24"/>
          <w:szCs w:val="24"/>
          <w:vertAlign w:val="superscript"/>
        </w:rPr>
        <w:t>3</w:t>
      </w:r>
      <w:r>
        <w:rPr>
          <w:rFonts w:ascii="Times New Roman" w:hAnsi="Times New Roman"/>
          <w:sz w:val="24"/>
          <w:szCs w:val="24"/>
        </w:rPr>
        <w:t xml:space="preserve"> ja ainuüksi uurimise eesmärgil tehtavatel puurimistöödel kasutatavate diiselmootorite puhul 1650 mg/m</w:t>
      </w:r>
      <w:r>
        <w:rPr>
          <w:rFonts w:ascii="Times New Roman" w:hAnsi="Times New Roman"/>
          <w:sz w:val="24"/>
          <w:szCs w:val="24"/>
          <w:vertAlign w:val="superscript"/>
        </w:rPr>
        <w:t>3</w:t>
      </w:r>
      <w:r>
        <w:rPr>
          <w:rFonts w:ascii="Times New Roman" w:hAnsi="Times New Roman"/>
          <w:sz w:val="24"/>
          <w:szCs w:val="24"/>
        </w:rPr>
        <w:t xml:space="preserve"> ning muude diiselmootorite puhul 1500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Dekreedi 1. lisa punktile 3 lisatakse järgmine alapunkt 3.4:</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„3.4. Gaasimootorite puhul, milles kasutatakse maagaasi, mille etaanisisaldus on suurem kui 5 %, on orgaanilise süsiniku kogusisalduse heite piirväärtus 95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Põllumajandusministri 28. oktoobri 2019. aasta dekreedi nr 51/2019 2. lisa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Dekreedi 2. lisa punkti 2 tabeli lahtris B:5 asendatakse arv „1500“ arvuga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Dekreedi 2. lisa punkti 2 alapunkt 2.5 jõustub järgmises sõnastuses: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„2.5. Pruunsöe põletamise puhul on </w:t>
      </w:r>
      <w:proofErr w:type="spellStart"/>
      <w:r>
        <w:rPr>
          <w:rFonts w:ascii="Times New Roman" w:hAnsi="Times New Roman"/>
          <w:sz w:val="24"/>
          <w:szCs w:val="24"/>
        </w:rPr>
        <w:t>NOx</w:t>
      </w:r>
      <w:proofErr w:type="spellEnd"/>
      <w:r>
        <w:rPr>
          <w:rFonts w:ascii="Times New Roman" w:hAnsi="Times New Roman"/>
          <w:sz w:val="24"/>
          <w:szCs w:val="24"/>
        </w:rPr>
        <w:t xml:space="preserve"> heite piirväärtus 320 mg/m</w:t>
      </w:r>
      <w:r>
        <w:rPr>
          <w:rFonts w:ascii="Times New Roman" w:hAnsi="Times New Roman"/>
          <w:sz w:val="24"/>
          <w:szCs w:val="24"/>
          <w:vertAlign w:val="superscript"/>
        </w:rPr>
        <w:t>3</w:t>
      </w:r>
      <w:r>
        <w:rPr>
          <w:rFonts w:ascii="Times New Roman" w:hAnsi="Times New Roman"/>
          <w:sz w:val="24"/>
          <w:szCs w:val="24"/>
        </w:rPr>
        <w:t xml:space="preserve">, tahkeid </w:t>
      </w:r>
      <w:proofErr w:type="spellStart"/>
      <w:r>
        <w:rPr>
          <w:rFonts w:ascii="Times New Roman" w:hAnsi="Times New Roman"/>
          <w:sz w:val="24"/>
          <w:szCs w:val="24"/>
        </w:rPr>
        <w:t>biomasskütuseid</w:t>
      </w:r>
      <w:proofErr w:type="spellEnd"/>
      <w:r>
        <w:rPr>
          <w:rFonts w:ascii="Times New Roman" w:hAnsi="Times New Roman"/>
          <w:sz w:val="24"/>
          <w:szCs w:val="24"/>
        </w:rPr>
        <w:t xml:space="preserve"> kasutavate vedeliku põlemise teel töötavate katelde puhul 300 mg/m</w:t>
      </w:r>
      <w:r>
        <w:rPr>
          <w:rFonts w:ascii="Times New Roman" w:hAnsi="Times New Roman"/>
          <w:sz w:val="24"/>
          <w:szCs w:val="24"/>
          <w:vertAlign w:val="superscript"/>
        </w:rPr>
        <w:t>3</w:t>
      </w:r>
      <w:r>
        <w:rPr>
          <w:rFonts w:ascii="Times New Roman" w:hAnsi="Times New Roman"/>
          <w:sz w:val="24"/>
          <w:szCs w:val="24"/>
        </w:rPr>
        <w:t xml:space="preserve"> ja muid tahkekütuseid kasutavate vedeliku põlemise teel töötavate katelde puhul 210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Dekreedi 2. lisa punkti 2 alapunkt 3.3 jõustub järgmises sõnastuses: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„3.3. „</w:t>
      </w:r>
      <w:proofErr w:type="spellStart"/>
      <w:r>
        <w:rPr>
          <w:rFonts w:ascii="Times New Roman" w:hAnsi="Times New Roman"/>
          <w:sz w:val="24"/>
          <w:szCs w:val="24"/>
        </w:rPr>
        <w:t>NOx</w:t>
      </w:r>
      <w:proofErr w:type="spellEnd"/>
      <w:r>
        <w:rPr>
          <w:rFonts w:ascii="Times New Roman" w:hAnsi="Times New Roman"/>
          <w:sz w:val="24"/>
          <w:szCs w:val="24"/>
        </w:rPr>
        <w:t xml:space="preserve"> heite piirväärtus on 1500 mg/Nm</w:t>
      </w:r>
      <w:r>
        <w:rPr>
          <w:rFonts w:ascii="Times New Roman" w:hAnsi="Times New Roman"/>
          <w:sz w:val="24"/>
          <w:szCs w:val="24"/>
          <w:vertAlign w:val="superscript"/>
        </w:rPr>
        <w:t>3</w:t>
      </w:r>
      <w:r>
        <w:rPr>
          <w:rFonts w:ascii="Times New Roman" w:hAnsi="Times New Roman"/>
          <w:sz w:val="24"/>
          <w:szCs w:val="24"/>
        </w:rPr>
        <w:t xml:space="preserve"> järgmistel juhtudel:</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diiselmootorite puhul, mille ehitus algas enne 18. maid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kahekütusemootorite puhul vedelkütuse režiimis.“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Dekreedi 2. lisa punktile 3 lisatakse järgmine alapunkt 3.8:</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„3.8. Gaasimootorite puhul, milles kasutatakse maagaasi, mille etaanisisaldus on suurem kui 5 %, on orgaanilise süsiniku kogusisalduse heite piirväärtus 95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Põllumajandusministri 28. oktoobri 2019. aasta dekreedi nr 51/2019 3. lisa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Dekreedi 3. lisa punkti 2 tabeli lahtris B:5 asendatakse arv „1500“ arvuga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Dekreedi 3. lisa punkti 2 alapunkt 2.6 jõustub järgmises sõnastuses: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„2.6. Pruunsöe põletamise puhul on </w:t>
      </w:r>
      <w:proofErr w:type="spellStart"/>
      <w:r>
        <w:rPr>
          <w:rFonts w:ascii="Times New Roman" w:hAnsi="Times New Roman"/>
          <w:sz w:val="24"/>
          <w:szCs w:val="24"/>
        </w:rPr>
        <w:t>NOx</w:t>
      </w:r>
      <w:proofErr w:type="spellEnd"/>
      <w:r>
        <w:rPr>
          <w:rFonts w:ascii="Times New Roman" w:hAnsi="Times New Roman"/>
          <w:sz w:val="24"/>
          <w:szCs w:val="24"/>
        </w:rPr>
        <w:t xml:space="preserve"> heite piirväärtus 320 mg/m</w:t>
      </w:r>
      <w:r>
        <w:rPr>
          <w:rFonts w:ascii="Times New Roman" w:hAnsi="Times New Roman"/>
          <w:sz w:val="24"/>
          <w:szCs w:val="24"/>
          <w:vertAlign w:val="superscript"/>
        </w:rPr>
        <w:t>3</w:t>
      </w:r>
      <w:r>
        <w:rPr>
          <w:rFonts w:ascii="Times New Roman" w:hAnsi="Times New Roman"/>
          <w:sz w:val="24"/>
          <w:szCs w:val="24"/>
        </w:rPr>
        <w:t xml:space="preserve">, tahkeid </w:t>
      </w:r>
      <w:proofErr w:type="spellStart"/>
      <w:r>
        <w:rPr>
          <w:rFonts w:ascii="Times New Roman" w:hAnsi="Times New Roman"/>
          <w:sz w:val="24"/>
          <w:szCs w:val="24"/>
        </w:rPr>
        <w:t>biomasskütuseid</w:t>
      </w:r>
      <w:proofErr w:type="spellEnd"/>
      <w:r>
        <w:rPr>
          <w:rFonts w:ascii="Times New Roman" w:hAnsi="Times New Roman"/>
          <w:sz w:val="24"/>
          <w:szCs w:val="24"/>
        </w:rPr>
        <w:t xml:space="preserve"> kasutavate vedeliku põlemise teel töötavate katelde puhul 300 mg/m</w:t>
      </w:r>
      <w:r>
        <w:rPr>
          <w:rFonts w:ascii="Times New Roman" w:hAnsi="Times New Roman"/>
          <w:sz w:val="24"/>
          <w:szCs w:val="24"/>
          <w:vertAlign w:val="superscript"/>
        </w:rPr>
        <w:t>3</w:t>
      </w:r>
      <w:r>
        <w:rPr>
          <w:rFonts w:ascii="Times New Roman" w:hAnsi="Times New Roman"/>
          <w:sz w:val="24"/>
          <w:szCs w:val="24"/>
        </w:rPr>
        <w:t xml:space="preserve"> ja muid tahkekütuseid kasutavate vedeliku põlemise teel töötavate katelde puhul 210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Dekreedi 3. lisa punkti 3 alapunkt 3.2 jõustub järgmises sõnastuses: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„3.2. „</w:t>
      </w:r>
      <w:proofErr w:type="spellStart"/>
      <w:r>
        <w:rPr>
          <w:rFonts w:ascii="Times New Roman" w:hAnsi="Times New Roman"/>
          <w:sz w:val="24"/>
          <w:szCs w:val="24"/>
        </w:rPr>
        <w:t>NOx</w:t>
      </w:r>
      <w:proofErr w:type="spellEnd"/>
      <w:r>
        <w:rPr>
          <w:rFonts w:ascii="Times New Roman" w:hAnsi="Times New Roman"/>
          <w:sz w:val="24"/>
          <w:szCs w:val="24"/>
        </w:rPr>
        <w:t xml:space="preserve"> heite piirväärtus on 1500 mg/Nm</w:t>
      </w:r>
      <w:r>
        <w:rPr>
          <w:rFonts w:ascii="Times New Roman" w:hAnsi="Times New Roman"/>
          <w:sz w:val="24"/>
          <w:szCs w:val="24"/>
          <w:vertAlign w:val="superscript"/>
        </w:rPr>
        <w:t>3</w:t>
      </w:r>
      <w:r>
        <w:rPr>
          <w:rFonts w:ascii="Times New Roman" w:hAnsi="Times New Roman"/>
          <w:sz w:val="24"/>
          <w:szCs w:val="24"/>
        </w:rPr>
        <w:t xml:space="preserve"> järgmistel juhtudel:</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diiselmootorite puhul, mille ehitus algas enne 18. maid 2006;</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kahekütusemootorite puhul vedelkütuse režiimis.“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Dekreedi 3. lisa punkt 3 jõustub koos järgmiste alapunktidega 3.9 ja 3.10:</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„3.9. Gaasimootorite puhul, milles kasutatakse maagaasi, mille etaanisisaldus on suurem kui 5 %, on orgaanilise süsiniku kogusisalduse heite piirväärtus 95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3.10. Gaasimootorite puhul, mis võeti kasutusele enne 1. jaanuari 1994, millega varustatakse gaasi ülekandesüsteemi ohutuse ja turvalisuse tagamiseks vajalikke gaasikompressorjaamasid, on kuni 1. jaanuarini 2030 CO-heite piirväärtus neljataktiliste mootorite puhul 375 mg/m</w:t>
      </w:r>
      <w:r>
        <w:rPr>
          <w:rFonts w:ascii="Times New Roman" w:hAnsi="Times New Roman"/>
          <w:sz w:val="24"/>
          <w:szCs w:val="24"/>
          <w:vertAlign w:val="superscript"/>
        </w:rPr>
        <w:t>3</w:t>
      </w:r>
      <w:r>
        <w:rPr>
          <w:rFonts w:ascii="Times New Roman" w:hAnsi="Times New Roman"/>
          <w:sz w:val="24"/>
          <w:szCs w:val="24"/>
        </w:rPr>
        <w:t xml:space="preserve">, </w:t>
      </w:r>
      <w:r>
        <w:rPr>
          <w:rFonts w:ascii="Times New Roman" w:hAnsi="Times New Roman"/>
          <w:sz w:val="24"/>
          <w:szCs w:val="24"/>
        </w:rPr>
        <w:lastRenderedPageBreak/>
        <w:t>kahetaktiliste mootorite puhul 320 mg/m</w:t>
      </w:r>
      <w:r>
        <w:rPr>
          <w:rFonts w:ascii="Times New Roman" w:hAnsi="Times New Roman"/>
          <w:sz w:val="24"/>
          <w:szCs w:val="24"/>
          <w:vertAlign w:val="superscript"/>
        </w:rPr>
        <w:t>3</w:t>
      </w:r>
      <w:r>
        <w:rPr>
          <w:rFonts w:ascii="Times New Roman" w:hAnsi="Times New Roman"/>
          <w:sz w:val="24"/>
          <w:szCs w:val="24"/>
        </w:rPr>
        <w:t xml:space="preserve"> ning orgaanilise süsiniku kogusisalduse heite piirväärtus on 115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Põllumajandusministri 28. oktoobri 2019. aasta dekreedi nr 51/2019 4. lisa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Dekreedi 4. lisa punkti 2 alapunkt 2.5 asendatakse järgmisega: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„2.5. Pruunsöe põletamise puhul on </w:t>
      </w:r>
      <w:proofErr w:type="spellStart"/>
      <w:r>
        <w:rPr>
          <w:rFonts w:ascii="Times New Roman" w:hAnsi="Times New Roman"/>
          <w:sz w:val="24"/>
          <w:szCs w:val="24"/>
        </w:rPr>
        <w:t>NOx</w:t>
      </w:r>
      <w:proofErr w:type="spellEnd"/>
      <w:r>
        <w:rPr>
          <w:rFonts w:ascii="Times New Roman" w:hAnsi="Times New Roman"/>
          <w:sz w:val="24"/>
          <w:szCs w:val="24"/>
        </w:rPr>
        <w:t xml:space="preserve"> heite piirväärtus 320 mg/m</w:t>
      </w:r>
      <w:r>
        <w:rPr>
          <w:rFonts w:ascii="Times New Roman" w:hAnsi="Times New Roman"/>
          <w:sz w:val="24"/>
          <w:szCs w:val="24"/>
          <w:vertAlign w:val="superscript"/>
        </w:rPr>
        <w:t>3</w:t>
      </w:r>
      <w:r>
        <w:rPr>
          <w:rFonts w:ascii="Times New Roman" w:hAnsi="Times New Roman"/>
          <w:sz w:val="24"/>
          <w:szCs w:val="24"/>
        </w:rPr>
        <w:t xml:space="preserve">, tahkeid </w:t>
      </w:r>
      <w:proofErr w:type="spellStart"/>
      <w:r>
        <w:rPr>
          <w:rFonts w:ascii="Times New Roman" w:hAnsi="Times New Roman"/>
          <w:sz w:val="24"/>
          <w:szCs w:val="24"/>
        </w:rPr>
        <w:t>biomasskütuseid</w:t>
      </w:r>
      <w:proofErr w:type="spellEnd"/>
      <w:r>
        <w:rPr>
          <w:rFonts w:ascii="Times New Roman" w:hAnsi="Times New Roman"/>
          <w:sz w:val="24"/>
          <w:szCs w:val="24"/>
        </w:rPr>
        <w:t xml:space="preserve"> kasutavate vedeliku põlemise teel töötavate katelde puhul 300 mg/m</w:t>
      </w:r>
      <w:r>
        <w:rPr>
          <w:rFonts w:ascii="Times New Roman" w:hAnsi="Times New Roman"/>
          <w:sz w:val="24"/>
          <w:szCs w:val="24"/>
          <w:vertAlign w:val="superscript"/>
        </w:rPr>
        <w:t>3</w:t>
      </w:r>
      <w:r>
        <w:rPr>
          <w:rFonts w:ascii="Times New Roman" w:hAnsi="Times New Roman"/>
          <w:sz w:val="24"/>
          <w:szCs w:val="24"/>
        </w:rPr>
        <w:t xml:space="preserve"> ja muid tahkekütuseid kasutavate vedeliku põlemise teel töötavate katelde puhul 210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Dekreedi 4. lisa punkti 3 alapunkt 3.3 asendatakse järgmisega: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„3.3. </w:t>
      </w:r>
      <w:proofErr w:type="spellStart"/>
      <w:r>
        <w:rPr>
          <w:rFonts w:ascii="Times New Roman" w:hAnsi="Times New Roman"/>
          <w:sz w:val="24"/>
          <w:szCs w:val="24"/>
        </w:rPr>
        <w:t>NOx</w:t>
      </w:r>
      <w:proofErr w:type="spellEnd"/>
      <w:r>
        <w:rPr>
          <w:rFonts w:ascii="Times New Roman" w:hAnsi="Times New Roman"/>
          <w:sz w:val="24"/>
          <w:szCs w:val="24"/>
        </w:rPr>
        <w:t xml:space="preserve"> heite piirväärtus diiselmootoritel puhul, kui nende </w:t>
      </w:r>
      <w:proofErr w:type="spellStart"/>
      <w:r>
        <w:rPr>
          <w:rFonts w:ascii="Times New Roman" w:hAnsi="Times New Roman"/>
          <w:sz w:val="24"/>
          <w:szCs w:val="24"/>
        </w:rPr>
        <w:t>NOx</w:t>
      </w:r>
      <w:proofErr w:type="spellEnd"/>
      <w:r>
        <w:rPr>
          <w:rFonts w:ascii="Times New Roman" w:hAnsi="Times New Roman"/>
          <w:sz w:val="24"/>
          <w:szCs w:val="24"/>
        </w:rPr>
        <w:t xml:space="preserve"> heide on piiratud esmaste meetmetega, on 1650 mg/m</w:t>
      </w:r>
      <w:r>
        <w:rPr>
          <w:rFonts w:ascii="Times New Roman" w:hAnsi="Times New Roman"/>
          <w:sz w:val="24"/>
          <w:szCs w:val="24"/>
          <w:vertAlign w:val="superscript"/>
        </w:rPr>
        <w:t>3</w:t>
      </w:r>
      <w:r>
        <w:rPr>
          <w:rFonts w:ascii="Times New Roman" w:hAnsi="Times New Roman"/>
          <w:sz w:val="24"/>
          <w:szCs w:val="24"/>
        </w:rPr>
        <w:t xml:space="preserve"> diiselkütuste puhul, mida kasutatakse ainuüksi uurimise eesmärgil tehtavatel puurimistöödel ja 1500 mg/m</w:t>
      </w:r>
      <w:r>
        <w:rPr>
          <w:rFonts w:ascii="Times New Roman" w:hAnsi="Times New Roman"/>
          <w:sz w:val="24"/>
          <w:szCs w:val="24"/>
          <w:vertAlign w:val="superscript"/>
        </w:rPr>
        <w:t>3</w:t>
      </w:r>
      <w:r>
        <w:rPr>
          <w:rFonts w:ascii="Times New Roman" w:hAnsi="Times New Roman"/>
          <w:sz w:val="24"/>
          <w:szCs w:val="24"/>
        </w:rPr>
        <w:t xml:space="preserve"> muude diiselmootorite puhul.“</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Dekreedi 4. lisa punktile 3 lisatakse järgmine alapunkt 3.8:</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„3.8. Gaasimootorite puhul, milles kasutatakse maagaasi, mille etaanisisaldus on suurem kui 5 %, on orgaanilise süsiniku kogusisalduse heite piirväärtus 95 mg/m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before="240" w:after="240" w:line="240" w:lineRule="auto"/>
        <w:rPr>
          <w:rFonts w:ascii="Times New Roman" w:hAnsi="Times New Roman" w:cs="Times New Roman"/>
          <w:sz w:val="24"/>
          <w:szCs w:val="24"/>
        </w:rPr>
      </w:pPr>
      <w:r>
        <w:rPr>
          <w:rFonts w:ascii="Times New Roman" w:hAnsi="Times New Roman"/>
          <w:i/>
          <w:iCs/>
          <w:sz w:val="28"/>
          <w:szCs w:val="28"/>
          <w:u w:val="single"/>
        </w:rPr>
        <w:t>Põllumajandusministri 28. oktoobri 2019. aasta dekreedi nr 51/2019 5. lisa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1. Dekreedi 2. lisa punkti 2 tabeli lahtris B:5 asendatakse arv „1500“ arvuga „375“.</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2. Dekreedi 5. lisa punkti 2 alapunktid 2.3 ja 2.4 asendatakse järgmisega:</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„2.3. </w:t>
      </w:r>
      <w:proofErr w:type="spellStart"/>
      <w:r>
        <w:rPr>
          <w:rFonts w:ascii="Times New Roman" w:hAnsi="Times New Roman"/>
          <w:sz w:val="24"/>
          <w:szCs w:val="24"/>
        </w:rPr>
        <w:t>NOx</w:t>
      </w:r>
      <w:proofErr w:type="spellEnd"/>
      <w:r>
        <w:rPr>
          <w:rFonts w:ascii="Times New Roman" w:hAnsi="Times New Roman"/>
          <w:sz w:val="24"/>
          <w:szCs w:val="24"/>
        </w:rPr>
        <w:t xml:space="preserve"> heite piirväärtus tahkekütustel töötavate põletusseadmete puhul, mille summaarne nimisoojusvõimsus on vähemalt 1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 aga väiksem kui 5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 on 500 mg/Nm</w:t>
      </w:r>
      <w:r>
        <w:rPr>
          <w:rFonts w:ascii="Times New Roman" w:hAnsi="Times New Roman"/>
          <w:sz w:val="24"/>
          <w:szCs w:val="24"/>
          <w:vertAlign w:val="superscript"/>
        </w:rPr>
        <w:t>3</w:t>
      </w:r>
      <w:r>
        <w:rPr>
          <w:rFonts w:ascii="Times New Roman" w:hAnsi="Times New Roman"/>
          <w:sz w:val="24"/>
          <w:szCs w:val="24"/>
        </w:rPr>
        <w:t>. Erandiks on, et pruunsöe põlemise puhul on see 320 mg/Nm</w:t>
      </w:r>
      <w:r>
        <w:rPr>
          <w:rFonts w:ascii="Times New Roman" w:hAnsi="Times New Roman"/>
          <w:sz w:val="24"/>
          <w:szCs w:val="24"/>
          <w:vertAlign w:val="superscript"/>
        </w:rPr>
        <w:t>3</w:t>
      </w:r>
      <w:r>
        <w:rPr>
          <w:rFonts w:ascii="Times New Roman" w:hAnsi="Times New Roman"/>
          <w:sz w:val="24"/>
          <w:szCs w:val="24"/>
        </w:rPr>
        <w:t xml:space="preserve"> ja tahkeid </w:t>
      </w:r>
      <w:proofErr w:type="spellStart"/>
      <w:r>
        <w:rPr>
          <w:rFonts w:ascii="Times New Roman" w:hAnsi="Times New Roman"/>
          <w:sz w:val="24"/>
          <w:szCs w:val="24"/>
        </w:rPr>
        <w:t>biomasskütuseid</w:t>
      </w:r>
      <w:proofErr w:type="spellEnd"/>
      <w:r>
        <w:rPr>
          <w:rFonts w:ascii="Times New Roman" w:hAnsi="Times New Roman"/>
          <w:sz w:val="24"/>
          <w:szCs w:val="24"/>
        </w:rPr>
        <w:t xml:space="preserve"> kasutavate vedeliku põlemise teel töötavate katelde puhul on see 300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2.4. Muid tahkekütuseid kasutavate vedeliku põlemise teel töötavate katelde puhul on </w:t>
      </w:r>
      <w:proofErr w:type="spellStart"/>
      <w:r>
        <w:rPr>
          <w:rFonts w:ascii="Times New Roman" w:hAnsi="Times New Roman"/>
          <w:sz w:val="24"/>
          <w:szCs w:val="24"/>
        </w:rPr>
        <w:t>NOx</w:t>
      </w:r>
      <w:proofErr w:type="spellEnd"/>
      <w:r>
        <w:rPr>
          <w:rFonts w:ascii="Times New Roman" w:hAnsi="Times New Roman"/>
          <w:sz w:val="24"/>
          <w:szCs w:val="24"/>
        </w:rPr>
        <w:t xml:space="preserve"> heite piirväärtus 210 mg/Nm</w:t>
      </w:r>
      <w:r>
        <w:rPr>
          <w:rFonts w:ascii="Times New Roman" w:hAnsi="Times New Roman"/>
          <w:sz w:val="24"/>
          <w:szCs w:val="24"/>
          <w:vertAlign w:val="superscript"/>
        </w:rPr>
        <w:t>3</w:t>
      </w:r>
      <w:r>
        <w:rPr>
          <w:rFonts w:ascii="Times New Roman" w:hAnsi="Times New Roman"/>
          <w:sz w:val="24"/>
          <w:szCs w:val="24"/>
        </w:rPr>
        <w:t>.“</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 Dekreedi 5. lisa punkti 3 alapunkt 3.2 asendatakse järgmisega:</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 xml:space="preserve">„3.2. Mootorite puhul, mis töötavad aastas 500–1500 tundi, kui nende </w:t>
      </w:r>
      <w:proofErr w:type="spellStart"/>
      <w:r>
        <w:rPr>
          <w:rFonts w:ascii="Times New Roman" w:hAnsi="Times New Roman"/>
          <w:sz w:val="24"/>
          <w:szCs w:val="24"/>
        </w:rPr>
        <w:t>NOx</w:t>
      </w:r>
      <w:proofErr w:type="spellEnd"/>
      <w:r>
        <w:rPr>
          <w:rFonts w:ascii="Times New Roman" w:hAnsi="Times New Roman"/>
          <w:sz w:val="24"/>
          <w:szCs w:val="24"/>
        </w:rPr>
        <w:t xml:space="preserve"> heide on piiratud esmaste meetmete tõttu, kehtivad järgmised </w:t>
      </w:r>
      <w:proofErr w:type="spellStart"/>
      <w:r>
        <w:rPr>
          <w:rFonts w:ascii="Times New Roman" w:hAnsi="Times New Roman"/>
          <w:sz w:val="24"/>
          <w:szCs w:val="24"/>
        </w:rPr>
        <w:t>NOx</w:t>
      </w:r>
      <w:proofErr w:type="spellEnd"/>
      <w:r>
        <w:rPr>
          <w:rFonts w:ascii="Times New Roman" w:hAnsi="Times New Roman"/>
          <w:sz w:val="24"/>
          <w:szCs w:val="24"/>
        </w:rPr>
        <w:t xml:space="preserve"> heite piirväärtused:</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a)</w:t>
      </w:r>
      <w:r>
        <w:rPr>
          <w:rFonts w:ascii="Times New Roman" w:hAnsi="Times New Roman"/>
          <w:sz w:val="24"/>
          <w:szCs w:val="24"/>
        </w:rPr>
        <w:t xml:space="preserve"> 1300 mg/Nm</w:t>
      </w:r>
      <w:r>
        <w:rPr>
          <w:rFonts w:ascii="Times New Roman" w:hAnsi="Times New Roman"/>
          <w:sz w:val="24"/>
          <w:szCs w:val="24"/>
          <w:vertAlign w:val="superscript"/>
        </w:rPr>
        <w:t>3</w:t>
      </w:r>
      <w:r>
        <w:rPr>
          <w:rFonts w:ascii="Times New Roman" w:hAnsi="Times New Roman"/>
          <w:i/>
          <w:iCs/>
          <w:sz w:val="24"/>
          <w:szCs w:val="24"/>
        </w:rPr>
        <w:t xml:space="preserve"> </w:t>
      </w:r>
      <w:r>
        <w:rPr>
          <w:rFonts w:ascii="Times New Roman" w:hAnsi="Times New Roman"/>
          <w:sz w:val="24"/>
          <w:szCs w:val="24"/>
        </w:rPr>
        <w:t>diiselmootorite puhul, mille summaarne nimisoojusvõimsus ei ole kiirusel ≤ 1200 r/min suurem kui 20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b)</w:t>
      </w:r>
      <w:r>
        <w:rPr>
          <w:rFonts w:ascii="Times New Roman" w:hAnsi="Times New Roman"/>
          <w:sz w:val="24"/>
          <w:szCs w:val="24"/>
        </w:rPr>
        <w:t xml:space="preserve"> 1500 mg/Nm</w:t>
      </w:r>
      <w:r>
        <w:rPr>
          <w:rFonts w:ascii="Times New Roman" w:hAnsi="Times New Roman"/>
          <w:sz w:val="24"/>
          <w:szCs w:val="24"/>
          <w:vertAlign w:val="superscript"/>
        </w:rPr>
        <w:t>3</w:t>
      </w:r>
      <w:r>
        <w:rPr>
          <w:rFonts w:ascii="Times New Roman" w:hAnsi="Times New Roman"/>
          <w:i/>
          <w:iCs/>
          <w:sz w:val="24"/>
          <w:szCs w:val="24"/>
        </w:rPr>
        <w:t xml:space="preserve"> </w:t>
      </w:r>
      <w:r>
        <w:rPr>
          <w:rFonts w:ascii="Times New Roman" w:hAnsi="Times New Roman"/>
          <w:sz w:val="24"/>
          <w:szCs w:val="24"/>
        </w:rPr>
        <w:t>diiselmootorite puhul, mille summaarne nimisoojusvõimsus ei ole suurem kui 20 </w:t>
      </w:r>
      <w:proofErr w:type="spellStart"/>
      <w:r>
        <w:rPr>
          <w:rFonts w:ascii="Times New Roman" w:hAnsi="Times New Roman"/>
          <w:sz w:val="24"/>
          <w:szCs w:val="24"/>
        </w:rPr>
        <w:t>MW</w:t>
      </w:r>
      <w:r>
        <w:rPr>
          <w:rFonts w:ascii="Times New Roman" w:hAnsi="Times New Roman"/>
          <w:sz w:val="24"/>
          <w:szCs w:val="24"/>
          <w:vertAlign w:val="subscript"/>
        </w:rPr>
        <w:t>th</w:t>
      </w:r>
      <w:proofErr w:type="spellEnd"/>
      <w:r>
        <w:rPr>
          <w:rFonts w:ascii="Times New Roman" w:hAnsi="Times New Roman"/>
          <w:sz w:val="24"/>
          <w:szCs w:val="24"/>
        </w:rPr>
        <w:t xml:space="preserve"> ja kahekütusemootorite puhul vedelkütuse režiimis;</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c)</w:t>
      </w:r>
      <w:r>
        <w:rPr>
          <w:rFonts w:ascii="Times New Roman" w:hAnsi="Times New Roman"/>
          <w:sz w:val="24"/>
          <w:szCs w:val="24"/>
        </w:rPr>
        <w:t xml:space="preserve"> 750 mg/Nm</w:t>
      </w:r>
      <w:r>
        <w:rPr>
          <w:rFonts w:ascii="Times New Roman" w:hAnsi="Times New Roman"/>
          <w:sz w:val="24"/>
          <w:szCs w:val="24"/>
          <w:vertAlign w:val="superscript"/>
        </w:rPr>
        <w:t>3</w:t>
      </w:r>
      <w:r>
        <w:rPr>
          <w:rFonts w:ascii="Times New Roman" w:hAnsi="Times New Roman"/>
          <w:sz w:val="24"/>
          <w:szCs w:val="24"/>
        </w:rPr>
        <w:t xml:space="preserve"> diiselmootorite puhul, mille kiirus on &gt; 1 200 r/min;</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i/>
          <w:iCs/>
          <w:sz w:val="24"/>
          <w:szCs w:val="24"/>
        </w:rPr>
        <w:t>d)</w:t>
      </w:r>
      <w:r>
        <w:rPr>
          <w:rFonts w:ascii="Times New Roman" w:hAnsi="Times New Roman"/>
          <w:sz w:val="24"/>
          <w:szCs w:val="24"/>
        </w:rPr>
        <w:t xml:space="preserve"> 380 mg/Nm</w:t>
      </w:r>
      <w:r>
        <w:rPr>
          <w:rFonts w:ascii="Times New Roman" w:hAnsi="Times New Roman"/>
          <w:sz w:val="24"/>
          <w:szCs w:val="24"/>
          <w:vertAlign w:val="superscript"/>
        </w:rPr>
        <w:t>3</w:t>
      </w:r>
      <w:r>
        <w:rPr>
          <w:rFonts w:ascii="Times New Roman" w:hAnsi="Times New Roman"/>
          <w:sz w:val="24"/>
          <w:szCs w:val="24"/>
        </w:rPr>
        <w:t xml:space="preserve"> kahekütusemootorite puhul gaaskütuse režiimis.“</w:t>
      </w:r>
    </w:p>
    <w:p w:rsidR="0093333B" w:rsidRPr="00F91869" w:rsidRDefault="0093333B" w:rsidP="00F91869">
      <w:pPr>
        <w:keepNext/>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4. Dekreedi 5. lisa punktile 3 lisatakse järgmine alapunkt 3.9:</w:t>
      </w:r>
    </w:p>
    <w:p w:rsidR="0093333B" w:rsidRPr="00F91869" w:rsidRDefault="0093333B" w:rsidP="0093333B">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sz w:val="24"/>
          <w:szCs w:val="24"/>
        </w:rPr>
        <w:t>„3.9. Gaasimootorite puhul, milles kasutatakse maagaasi, mille etaanisisaldus on suurem kui 5 %, on orgaanilise süsiniku kogusisalduse heite piirväärtus 95 mg/m</w:t>
      </w:r>
      <w:r>
        <w:rPr>
          <w:rFonts w:ascii="Times New Roman" w:hAnsi="Times New Roman"/>
          <w:sz w:val="24"/>
          <w:szCs w:val="24"/>
          <w:vertAlign w:val="superscript"/>
        </w:rPr>
        <w:t>3</w:t>
      </w:r>
      <w:r>
        <w:rPr>
          <w:rFonts w:ascii="Times New Roman" w:hAnsi="Times New Roman"/>
          <w:sz w:val="24"/>
          <w:szCs w:val="24"/>
        </w:rPr>
        <w:t>.“</w:t>
      </w:r>
    </w:p>
    <w:sectPr w:rsidR="0093333B" w:rsidRPr="00F91869"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C8D" w:rsidRDefault="007E0C8D" w:rsidP="000A7E07">
      <w:pPr>
        <w:spacing w:after="0" w:line="240" w:lineRule="auto"/>
      </w:pPr>
      <w:r>
        <w:separator/>
      </w:r>
    </w:p>
  </w:endnote>
  <w:endnote w:type="continuationSeparator" w:id="0">
    <w:p w:rsidR="007E0C8D" w:rsidRDefault="007E0C8D" w:rsidP="000A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C8D" w:rsidRDefault="007E0C8D" w:rsidP="000A7E07">
      <w:pPr>
        <w:spacing w:after="0" w:line="240" w:lineRule="auto"/>
      </w:pPr>
      <w:r>
        <w:separator/>
      </w:r>
    </w:p>
  </w:footnote>
  <w:footnote w:type="continuationSeparator" w:id="0">
    <w:p w:rsidR="007E0C8D" w:rsidRDefault="007E0C8D" w:rsidP="000A7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B"/>
    <w:rsid w:val="000A7E07"/>
    <w:rsid w:val="00196C2F"/>
    <w:rsid w:val="00502370"/>
    <w:rsid w:val="007E0C8D"/>
    <w:rsid w:val="0093333B"/>
    <w:rsid w:val="00A8487D"/>
    <w:rsid w:val="00C3274D"/>
    <w:rsid w:val="00D23C28"/>
    <w:rsid w:val="00E377C2"/>
    <w:rsid w:val="00ED5715"/>
    <w:rsid w:val="00F9186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E2FE3"/>
  <w15:docId w15:val="{7AF770AC-F4EB-4C9B-A399-9E60975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93333B"/>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3333B"/>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3333B"/>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3333B"/>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3333B"/>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3333B"/>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3333B"/>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3333B"/>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3333B"/>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3333B"/>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3333B"/>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3333B"/>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3333B"/>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3333B"/>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3333B"/>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3333B"/>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0A7E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E07"/>
  </w:style>
  <w:style w:type="paragraph" w:styleId="Footer">
    <w:name w:val="footer"/>
    <w:basedOn w:val="Normal"/>
    <w:link w:val="FooterChar"/>
    <w:uiPriority w:val="99"/>
    <w:unhideWhenUsed/>
    <w:rsid w:val="000A7E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E42F8-CE91-4B51-A438-1638D61F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DAE3A-C924-4EA0-B4E2-5F884A074EC5}">
  <ds:schemaRefs>
    <ds:schemaRef ds:uri="http://schemas.microsoft.com/sharepoint/v3/contenttype/forms"/>
  </ds:schemaRefs>
</ds:datastoreItem>
</file>

<file path=customXml/itemProps3.xml><?xml version="1.0" encoding="utf-8"?>
<ds:datastoreItem xmlns:ds="http://schemas.openxmlformats.org/officeDocument/2006/customXml" ds:itemID="{65D528FA-D9F5-4FBF-9573-8894115351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1840</Words>
  <Characters>10489</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Ke, Tingting</cp:lastModifiedBy>
  <cp:revision>8</cp:revision>
  <dcterms:created xsi:type="dcterms:W3CDTF">2020-09-23T07:03:00Z</dcterms:created>
  <dcterms:modified xsi:type="dcterms:W3CDTF">2020-11-27T08:58:00Z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