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3B" w:rsidRPr="00F91869" w:rsidRDefault="00E377C2" w:rsidP="0093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0"/>
          <w:szCs w:val="20"/>
        </w:rPr>
        <w:t>1. ---</w:t>
      </w:r>
      <w:r w:rsidR="00CA7F3D">
        <w:rPr>
          <w:rFonts w:ascii="Courier New" w:hAnsi="Courier New"/>
          <w:sz w:val="20"/>
          <w:szCs w:val="20"/>
        </w:rPr>
        <w:t>-</w:t>
      </w:r>
      <w:bookmarkStart w:id="0" w:name="_GoBack"/>
      <w:bookmarkEnd w:id="0"/>
      <w:r>
        <w:rPr>
          <w:rFonts w:ascii="Courier New" w:hAnsi="Courier New"/>
          <w:sz w:val="20"/>
          <w:szCs w:val="20"/>
        </w:rPr>
        <w:t xml:space="preserve">--IND- 2019 0309 HU- SK- ------ </w:t>
      </w:r>
      <w:r>
        <w:rPr>
          <w:rFonts w:ascii="Segoe UI" w:hAnsi="Segoe UI"/>
          <w:color w:val="000000"/>
          <w:sz w:val="20"/>
          <w:szCs w:val="20"/>
        </w:rPr>
        <w:t>20201130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ourier New" w:hAnsi="Courier New"/>
          <w:sz w:val="20"/>
          <w:szCs w:val="20"/>
        </w:rPr>
        <w:t>--- --- FINAL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Vyhláška ministra poľnohospodárstva č. 51/2019 z 28. októbra 2019,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ktorou sa mení vyhláška ministra poľnohospodárstva č. 53/2017 z 18. októbra 2017 o prevádzkových podmienkach spaľovacích zariadení s celkovým nominálnym tepelným príkonom vyšším alebo rovným ako 140 kWth, ale nižším ako 50 MWth a o limitných hodnotách látok znečisťujúcich ovzdušie, ktoré vypúšťajú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súlade s oprávnením udeleným v zmysle § 110 ods. 8 písm. </w:t>
      </w:r>
      <w:r>
        <w:rPr>
          <w:rFonts w:ascii="Times New Roman" w:hAnsi="Times New Roman"/>
          <w:i/>
          <w:iCs/>
          <w:sz w:val="24"/>
          <w:szCs w:val="24"/>
        </w:rPr>
        <w:t>g)</w:t>
      </w:r>
      <w:r>
        <w:rPr>
          <w:rFonts w:ascii="Times New Roman" w:hAnsi="Times New Roman"/>
          <w:sz w:val="24"/>
          <w:szCs w:val="24"/>
        </w:rPr>
        <w:t xml:space="preserve"> zákona LIII z roku 1995 o všeobecných pravidlách ochrany životného prostredia a v rozsahu mojich povinností vymedzených v § 79 ods. 9 vládnej vyhlášky č. 94/2018 z 22. mája 2018 o povinnostiach a právomociach členov vlády týmto nariaďujem toto: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1 </w:t>
      </w:r>
      <w:r>
        <w:rPr>
          <w:rFonts w:ascii="Times New Roman" w:hAnsi="Times New Roman"/>
          <w:sz w:val="24"/>
          <w:szCs w:val="24"/>
        </w:rPr>
        <w:t>(1) Do § 2 ods. 1 vyhlášky ministra poľnohospodárstva č. 53/2017 z 18. októbra 2017 o prevádzkových podmienkach spaľovacích zariadení s celkovým menovitým tepelným príkonom vyšším alebo rovným ako 140 kWth, ale nižším ako 50 MWth a o limitných hodnotách látok znečisťujúcich ovzdušie, ktoré vypúšťajú (ďalej len „vyhláška“) sa pridáva tento bod 1a: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(Na účely tejto vyhlášky)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„1.a „</w:t>
      </w:r>
      <w:r>
        <w:rPr>
          <w:rFonts w:ascii="Times New Roman" w:hAnsi="Times New Roman"/>
          <w:i/>
          <w:iCs/>
          <w:sz w:val="24"/>
          <w:szCs w:val="24"/>
        </w:rPr>
        <w:t>prepravná sieť pre plyn“</w:t>
      </w:r>
      <w:r>
        <w:rPr>
          <w:rFonts w:ascii="Times New Roman" w:hAnsi="Times New Roman"/>
          <w:sz w:val="24"/>
          <w:szCs w:val="24"/>
        </w:rPr>
        <w:t xml:space="preserve"> znamená spolupracujúcu sieť zemného plynu podľa zákona XL z roku 2008 o dodávkach zemného plynu;“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§ 2 ods. 1 bod 9 tejto vyhlášky sa nahrádza takto: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„9. „</w:t>
      </w:r>
      <w:r>
        <w:rPr>
          <w:rFonts w:ascii="Times New Roman" w:hAnsi="Times New Roman"/>
          <w:i/>
          <w:iCs/>
          <w:sz w:val="24"/>
          <w:szCs w:val="24"/>
        </w:rPr>
        <w:t>celkový menovitý tepelný príkon</w:t>
      </w:r>
      <w:r>
        <w:rPr>
          <w:rFonts w:ascii="Times New Roman" w:hAnsi="Times New Roman"/>
          <w:sz w:val="24"/>
          <w:szCs w:val="24"/>
        </w:rPr>
        <w:t>“ znamená súčet menovitých tepelných príkonov spaľovacích zariadení, vypočítaný podľa agregačného pravidla, ktorý sa v prípade spaľovacieho zariadenia rovná jeho menovitému tepelnému príkonu;“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2 </w:t>
      </w:r>
      <w:r>
        <w:rPr>
          <w:rFonts w:ascii="Times New Roman" w:hAnsi="Times New Roman"/>
          <w:sz w:val="24"/>
          <w:szCs w:val="24"/>
        </w:rPr>
        <w:t>(1) § 4 ods. 6 a ods. 7 vyhlášky nadobúdajú účinnosť s týmto znením: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„(6) Hodnoty emisných limitov uvedené v prílohe 1 sa týkajú spaľovacích zariadení I. kategórie s celkovým menovitým tepelným príkonom vyšším alebo rovným 1 MWth a ktoré sa prevádzkujú najviac 500 prevádzkových hodín ročne ako kĺzavý priemer počas obdobia piatich rokov s výnimkou toho, že emisný limit pre pevné materiály pre spaľovacie zariadenia na pevné biomasové palivá je 200 mg/Nm3 a emisný limit pre oxid uhoľnatý je 375 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Do 1. januára 2030 sa hodnoty limitov uvedené v prílohe 1 týkajú spaľovacích zariadení I. kategórie s celkovým menovitým tepelným príkonom viac ako 5 MWth, ak sa 50 % produkcie využiteľného tepla týchto zariadení, ako kĺzavý priemer počas obdobia piatich rokov, dodá formou pary alebo teplej alebo horúcej vody do verejnej siete diaľkového vykurovania, s výnimkou toho, že emisný limit pre oxid siričitý pre spaľovacie zariadenia na pevné alebo kvapalné palivá je 1 100 mg/Nm3 a emisný limit pre pevné materiály pre spaľovacie zariadenia na pevné palivá je 150 mg/Nm3, zatiaľ čo emisný limit pre oxid uhoľnatý pre spaľovacie zariadenia spaľujúce pevné biomasové palivá je 375 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§ 4 ods. 9 vyhlášky nadobúda účinnosť s týmto znením: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„(9) Do 1. januára 2030 sa použijú emisné limity stanovené v prílohe 1 na oxidy dusíka z motorov kategórie 1 a plynových turbín s celkovým menovitým tepelným príkonom vyšším ako 5 MWth a používaných na pohon plynových kompresorových staníc potrebných na zaistenie bezpečnosti a ochrany prepravných sietí pre plyn s výnimkou toho, že v prípade plynových motorov uvedených do prevádzky pred 1. januárom 1994 je emisný limit pre oxidy dusíka 565 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(3) § 4 ods. 10 vyhlášky sa nahrádza takto: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„(10) Hodnoty emisných limitov uvedené v prílohe 1 sa týkajú spaľovacích zariadení II. kategórie, ktoré sa prevádzkujú najviac 500 prevádzkových hodín ročne ako kĺzavý priemer počas obdobia troch rokov s výnimkou toho, že emisný limit pre pevné materiály pre spaľovacie zariadenia na pevné palivá je 100 mg/Nm3 a emisný limit pre oxid uhoľnatý pre spaľovacie zariadenia s celkovým menovitým tepelným príkonom vyšším alebo rovným ako 1 MWth, ktoré spaľujú pevné biomasové palivá, je 375 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§ 4 ods. 13 vyhlášky sa nahrádza takto: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„(13) V prípade stacionárnych motorov sa emisné limity vzťahujú na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motory s menovitým tepelným príkonom menším ako 1 MWth, ktorých spotreba paliva je menšia ako 50 kg/h, a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stacionárne motory s núdzovým napájaním, ktoré sa prevádzkujú menej ako 50 hodín ročne.“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 </w:t>
      </w:r>
      <w:r>
        <w:rPr>
          <w:rFonts w:ascii="Times New Roman" w:hAnsi="Times New Roman"/>
          <w:sz w:val="24"/>
          <w:szCs w:val="24"/>
        </w:rPr>
        <w:t>§ 12 ods. 2 a ods. 3 vyhlášky sa nahrádza takto: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„(2) Do 31. decembra 2029 sa emisné limity uvedené v prílohe 1 uplatňujú na spaľovacie zariadenia I. kategórie s celkovým menovitým tepelným príkonom vyšším alebo rovným ako 1 MWth ale nižším ako 5 MWth, s týmito výnimkami: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v prípade spaľovania pevnej biomasy je emisný limit pre oxid uhoľnatý 375 mg/Nm3;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v prípade plynových motorov uvedených do prevádzky pred 1. januárom 1994, ktoré majú celkový menovitý tepelný príkon viac ako 3 MWth, je emisný limit pre oxidy dusíka 565 mg/Nm3, emisný limit CO pre štvortaktné motory je 375 mg/Nm3, pre dvojtaktné motory je to 320 mg/Nm3 a pre celkové organické zlúčeniny, vyjadrené ako C (uhlík), okrem metánu, je emisný limit 115 mg/Nm3.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Do 31. decembra 2024 sa emisné limity uvedené v prílohe 1 uplatňujú na spaľovacie zariadenia I. kategórie s celkovým menovitým tepelným príkonom viac ako 5 MWth, s týmito výnimkami: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>v prípade spaľovania pevnej biomasy je emisný limit pre oxid uhoľnatý 375 mg/Nm3;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>v prípade plynových motorov uvedených do prevádzky pred 1. januárom 1994 je emisný limit pre oxidy dusíka 565 mg/Nm3, emisný limit pre oxid uhoľnatý pre štvortaktné motory je 375 mg/Nm3, pre dvojtaktné motory je to 320 mg/Nm3 a pre celkové organické zlúčeniny, vyjadrené ako C (uhlík), okrem metánu, je emisný limit 115 mg/Nm3.“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 </w:t>
      </w:r>
      <w:r>
        <w:rPr>
          <w:rFonts w:ascii="Times New Roman" w:hAnsi="Times New Roman"/>
          <w:sz w:val="24"/>
          <w:szCs w:val="24"/>
        </w:rPr>
        <w:t>(1) Príloha 1 k vyhláške sa mení v súlade s prílohou 1.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Príloha 2 k vyhláške nadobúda účinnosť v súlade s prílohou 2.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Príloha 3 k vyhláške nadobúda účinnosť v súlade s prílohou 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Príloha 4 k vyhláške sa mení v súlade s prílohou 4.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Príloha 5 k vyhláške sa mení v súlade s prílohou 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t>Podbod 3.4 bodu 3 prílohy 4 k vyhláške sa týmto zrušuje.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6 </w:t>
      </w:r>
      <w:r>
        <w:rPr>
          <w:rFonts w:ascii="Times New Roman" w:hAnsi="Times New Roman"/>
          <w:sz w:val="24"/>
          <w:szCs w:val="24"/>
        </w:rPr>
        <w:t>(1) Táto vyhláška, s výnimkou uvedenou v ods. 2 a ods. 3, nadobúda účinnosť 15. deň po jej uverejnení.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§ 2 ods. 1 a ods. 2, § 4 ods. 3 a príloha 3 nadobúdajú účinnosť 1. januára 2025.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§ 4 ods. 2 a príloha 2 nadobúdajú účinnosť 1. januára 2030.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7 </w:t>
      </w:r>
      <w:r>
        <w:rPr>
          <w:rFonts w:ascii="Times New Roman" w:hAnsi="Times New Roman"/>
          <w:sz w:val="24"/>
          <w:szCs w:val="24"/>
        </w:rPr>
        <w:t>(1) Táto vyhláška slúži na zabezpečenie súladu so smernicou Európskeho parlamentu a Rady (EÚ) 2015/2193 z 25. novembra 2015 o obmedzení emisií určitých znečisťujúcich látok do ovzdušia zo stredne veľkých spaľovacích zariadení.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Požiadavka predbežného oznámenia tejto vyhlášky, ako je stanovené v článkoch 5 – 7 smernice Európskeho parlamentu a Rady (EÚ) 2015/1535 z 9. septembra 2015, ktorou sa </w:t>
      </w:r>
      <w:r>
        <w:rPr>
          <w:rFonts w:ascii="Times New Roman" w:hAnsi="Times New Roman"/>
          <w:sz w:val="24"/>
          <w:szCs w:val="24"/>
        </w:rPr>
        <w:lastRenderedPageBreak/>
        <w:t>stanovuje postup pri poskytovaní informácií v oblasti technických predpisov a pravidiel vzťahujúcich sa na služby informačnej spoločnosti, bola splnená.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Príloha 1 k vyhláške ministra poľnohospodárstva č. 51/2019 z 28. októbra 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Podbod 2.3 bodu 2 prílohy 1 k vyhláške sa nahrádza nasledujúcim textom: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„2.3. Emisný limit pre NOx je 320 mg/m3 pre spaľovanie hnedého uhlia, 300 mg/m3 pre fluidné kotly spaľujúce pevné biomasové palivá a 210 mg/m3 pre fluidné kotly spaľujúce iné pevné palivá.“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Podbod 3.1 bodu 3 prílohy 1 k vyhláške sa nahrádza nasledujúcim textom: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„3.1. Emisný limit pre NOx je 300 mg/m3 pre dvojtaktné motory, 225 mg/m3 pre štvortaktné plynové motory na bioplyn a skládkový plyn, 1 650 mg/m3 pre dieselové motory používané výlučne na prieskumné vrty a 1 500 mg/m3 pre iné dieselové motory.“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 bodu 3 prílohy 1 k vyhláške sa vkladá tento podbod 3.4: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„3.4. Emisný limit TOC pre plynové motory používajúce zemný plyn s obsahom etánu vyšším ako 5 % je 95 mg/m3.“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Príloha 2 k vyhláške ministra poľnohospodárstva č. 51/2019 z 28. októbra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bunke B:5 tabuľky v bode 2 prílohy 2 k vyhláške sa text „1 500“ nahrádza textom „375“.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Podbod 2.5 bodu 2 v prílohe 2 k vyhláške nadobúda účinnosť takto: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„2.5. Emisný limit pre NOx je 320 mg/Nm3 pre spaľovanie hnedého uhlia, 300 mg/Nm3 pre fluidné kotly spaľujúce pevné biomasové palivá a 210 mg/Nm3 pre fluidné kotly spaľujúce iné pevné palivá.“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Podbod 3.3 bodu 3 v prílohe 2 k vyhláške nadobúda účinnosť takto: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„3.3. Hodnota emisných limitov pre NOx je 1 500 mg/Nm3 v týchto prípadoch: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pre dieselové motory, ktorých zhotovenie sa začalo pred 18. májom 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pre dvojpalivové motory v kvapalnom režime.“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 bodu 3 prílohy 2 k vyhláške sa vkladá tento podbod 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„3.8. Emisný limit TOC pre plynové motory používajúce zemný plyn s obsahom etánu vyšším ako 5 % je 95 mg/m3.“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Príloha 3 k vyhláške ministra poľnohospodárstva č. 51/2019 z 28. októbra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 bunke B:5 tabuľky v bode 2 prílohy 3 k vyhláške sa text „1 500“ nahrádza textom „375“.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Podbod 2.6 bodu 2 v prílohe 3 k vyhláške nadobúda účinnosť takto: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„2.6. Emisný limit pre NOx je 320 mg/m3 pre spaľovanie hnedého uhlia, 300 mg/m3 pre fluidné kotly spaľujúce pevné biomasové palivá a 210 mg/m3 pre fluidné kotly spaľujúce iné pevné palivá.“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Podbod 3.2 bodu 3 v prílohe 3 k vyhláške nadobúda účinnosť takto: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„3.2. Hodnota emisných limitov pre NOx je 1 500 mg/Nm3 v týchto prípadoch: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pre dieselové motory, ktorých zhotovenie sa začalo pred 18. májom 2006;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pre dvojpalivové motory v kvapalnom režime.“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Bod 3 prílohy 3 k vyhláške nadobúda účinnosť s týmito bodmi 3.9 a 3.10: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„3.9. Emisný limit TOC pre plynové motory používajúce zemný plyn s obsahom etánu vyšším ako 5 % je 95 mg/m3.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3.10. V prípade plynových motorov uvedených do prevádzky pred 1. januárom 1994, ktoré sa používajú na pohon plynových kompresorových staníc potrebných na zaistenie bezpečnosti a ochrany prepravných sietí pre plyn, je emisný limit CO pre štvortaktné motory 375 mg/m3, pre dvojtaktné motory je to 320 mg/m3 a emisný limit TOC je 115 mg/m3 do 1. januára 2030.“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Príloha 4 k vyhláške ministra poľnohospodárstva č. 51/2019 z 28. októbra 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Podbod 2.5 bodu 2 v prílohe 4 k vyhláške sa nahrádza nasledujúcim textom: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„2.5. Emisný limit pre NOx je 320 mg/m3 pre spaľovanie hnedého uhlia, 300 mg/m3 pre fluidné kotly spaľujúce pevné biomasové palivá a 210 mg/m3 pre fluidné kotly spaľujúce iné pevné palivá.“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Podbod 3.3 bodu 3 v prílohe 4 k vyhláške sa nahrádza nasledujúcim textom: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„3.3. Emisný limit pre NOx pre dieselové motory, ak sú ich emisie NOx limitované v dôsledku primárnych opatrení, je 1 650 mg/m3 pre dieselové motory používané výlučne na prieskumné vrty a 1 500 mg/m3 pre iné dieselové motory.“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Do bodu 3 prílohy 4 k vyhláške sa vkladá tento podbod 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„3.8. Emisný limit TOC pre plynové motory používajúce zemný plyn s obsahom etánu vyšším ako 5 % je 95 mg/m3.“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8"/>
          <w:szCs w:val="28"/>
          <w:u w:val="single"/>
        </w:rPr>
        <w:t>Príloha 5 k vyhláške ministra poľnohospodárstva č. 51/2019 z 28. októbra 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V bunke B:5 tabuľky v bode 2 prílohy 5 k vyhláške sa text „1 500“ nahrádza textom „375“.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Podbody 2.3 a 2.4 bodu 2 v prílohe 5 k vyhláške sa nahrádzajú nasledujúcim textom: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„2.3. Emisný limit pre NOx pre spaľovacie zariadenia spaľujúce tuhé palivá s celkovým menovitým tepelným príkonom väčším alebo rovným ako 1 MWth ale menším ako 5 MWth je 500 mg/Nm3, s výnimkou, že na spaľovanie hnedého uhlia je to 320 mg/Nm3 a pre fluidné kotly spaľujúce pevné biomasové palivá je to 300 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Emisný limit pre NOx pre fluidné kotly na spaľovanie iných pevných palív je 210 mg/Nm3.“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Podbod 3.2 bodu 3 prílohy 5 k vyhláške sa nahrádza nasledujúcim textom: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„3.2. V prípade motorov prevádzkovaných  po dobu 500 – 1 500 hodín ročne, ak je ich emisia NOx obmedzená z dôvodu primárnych opatrení, sa uplatňujú tieto emisné limity pre NOx: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1 300 mg/Nm3 pre dieselové motory s celkovým menovitým tepelným príkonom najviac 20 MWth s ≤ 1 200 r/min;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 xml:space="preserve"> 1 500 mg/Nm3 pre dieselové motory s celkovým menovitým tepelným príkonom najviac 20 MWth a pre dvojpalivové motory v kvapalnom režime;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750 mg/Nm3 pre dieselové motory s &gt; 1 200 r/min;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380 mg/Nm3 pre dvojpalivové motory v plynnom režime.“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Do bodu 3 prílohy 5 k vyhláške sa vkladá tento podbod 3.9: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„3.9. Emisný limit TOC pre plynové motory používajúce zemný plyn s obsahom etánu vyšším ako 5 % je 95 mg/m3.“</w:t>
      </w:r>
    </w:p>
    <w:sectPr w:rsidR="0093333B" w:rsidRPr="00F91869" w:rsidSect="009C44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AF" w:rsidRDefault="008E44AF" w:rsidP="000A7E07">
      <w:pPr>
        <w:spacing w:after="0" w:line="240" w:lineRule="auto"/>
      </w:pPr>
      <w:r>
        <w:separator/>
      </w:r>
    </w:p>
  </w:endnote>
  <w:endnote w:type="continuationSeparator" w:id="0">
    <w:p w:rsidR="008E44AF" w:rsidRDefault="008E44AF" w:rsidP="000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AF" w:rsidRDefault="008E44AF" w:rsidP="000A7E07">
      <w:pPr>
        <w:spacing w:after="0" w:line="240" w:lineRule="auto"/>
      </w:pPr>
      <w:r>
        <w:separator/>
      </w:r>
    </w:p>
  </w:footnote>
  <w:footnote w:type="continuationSeparator" w:id="0">
    <w:p w:rsidR="008E44AF" w:rsidRDefault="008E44AF" w:rsidP="000A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B"/>
    <w:rsid w:val="000A7E07"/>
    <w:rsid w:val="00196C2F"/>
    <w:rsid w:val="008E44AF"/>
    <w:rsid w:val="0093333B"/>
    <w:rsid w:val="00A8487D"/>
    <w:rsid w:val="00CA7F3D"/>
    <w:rsid w:val="00D23C28"/>
    <w:rsid w:val="00E377C2"/>
    <w:rsid w:val="00ED5715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59558"/>
  <w15:docId w15:val="{7AF770AC-F4EB-4C9B-A399-9E60975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kezds">
    <w:name w:val="Bekezdés"/>
    <w:uiPriority w:val="99"/>
    <w:rsid w:val="0093333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33B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33B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33B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33B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33B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33B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33B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33B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33B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3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07"/>
  </w:style>
  <w:style w:type="paragraph" w:styleId="Footer">
    <w:name w:val="footer"/>
    <w:basedOn w:val="Normal"/>
    <w:link w:val="Foot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528FA-D9F5-4FBF-9573-8894115351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DDAE3A-C924-4EA0-B4E2-5F884A074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E42F8-CE91-4B51-A438-1638D61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Zsolt</dc:creator>
  <cp:lastModifiedBy>Ke, Tingting</cp:lastModifiedBy>
  <cp:revision>7</cp:revision>
  <dcterms:created xsi:type="dcterms:W3CDTF">2020-09-23T07:03:00Z</dcterms:created>
  <dcterms:modified xsi:type="dcterms:W3CDTF">2020-11-27T09:02:00Z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