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8F20" w14:textId="77777777" w:rsidR="00F15D67" w:rsidRPr="004C1B7F" w:rsidRDefault="00F15D67" w:rsidP="00F1590B">
      <w:pPr>
        <w:jc w:val="center"/>
        <w:rPr>
          <w:rFonts w:cstheme="minorHAnsi"/>
          <w:sz w:val="24"/>
          <w:szCs w:val="24"/>
        </w:rPr>
      </w:pPr>
      <w:r w:rsidRPr="004C1B7F">
        <w:rPr>
          <w:rFonts w:cstheme="minorHAnsi"/>
          <w:sz w:val="24"/>
        </w:rPr>
        <w:t>Διάταγμα για την τροποποίηση του διατάγματος για την υγιεινή των τροφίμων</w:t>
      </w:r>
    </w:p>
    <w:p w14:paraId="46616DFB" w14:textId="77777777" w:rsidR="00F15D67" w:rsidRPr="004C1B7F" w:rsidRDefault="00F15D67" w:rsidP="00F1590B">
      <w:pPr>
        <w:jc w:val="center"/>
        <w:rPr>
          <w:rFonts w:cstheme="minorHAnsi"/>
          <w:sz w:val="24"/>
          <w:szCs w:val="24"/>
        </w:rPr>
      </w:pPr>
    </w:p>
    <w:p w14:paraId="22C5083B" w14:textId="77777777" w:rsidR="00F1590B" w:rsidRPr="004C1B7F" w:rsidRDefault="0015460A" w:rsidP="00F1590B">
      <w:pPr>
        <w:jc w:val="center"/>
        <w:rPr>
          <w:rFonts w:cstheme="minorHAnsi"/>
          <w:b/>
          <w:sz w:val="24"/>
          <w:szCs w:val="24"/>
        </w:rPr>
      </w:pPr>
      <w:r w:rsidRPr="004C1B7F">
        <w:rPr>
          <w:rFonts w:cstheme="minorHAnsi"/>
          <w:b/>
          <w:sz w:val="24"/>
        </w:rPr>
        <w:t>Τμήμα 1</w:t>
      </w:r>
    </w:p>
    <w:p w14:paraId="7BD9954C" w14:textId="77777777" w:rsidR="00F15D67" w:rsidRPr="004C1B7F" w:rsidRDefault="00F1590B">
      <w:pPr>
        <w:rPr>
          <w:rFonts w:cstheme="minorHAnsi"/>
          <w:sz w:val="24"/>
          <w:szCs w:val="24"/>
        </w:rPr>
      </w:pPr>
      <w:r w:rsidRPr="004C1B7F">
        <w:rPr>
          <w:rFonts w:cstheme="minorHAnsi"/>
          <w:sz w:val="24"/>
        </w:rPr>
        <w:t>Το διάταγμα αριθ. 497 της 23ης Μαρτίου 2021 για την υγιεινή των τροφίμων τροποποιείται ως εξής:</w:t>
      </w:r>
    </w:p>
    <w:p w14:paraId="65418AF4" w14:textId="77777777" w:rsidR="00F15D67" w:rsidRPr="004C1B7F" w:rsidRDefault="00A50188">
      <w:pPr>
        <w:rPr>
          <w:rFonts w:cstheme="minorHAnsi"/>
          <w:sz w:val="24"/>
          <w:szCs w:val="24"/>
        </w:rPr>
      </w:pPr>
      <w:r w:rsidRPr="004C1B7F">
        <w:rPr>
          <w:rFonts w:cstheme="minorHAnsi"/>
          <w:b/>
          <w:sz w:val="24"/>
        </w:rPr>
        <w:t>1</w:t>
      </w:r>
      <w:r w:rsidRPr="004C1B7F">
        <w:rPr>
          <w:rFonts w:cstheme="minorHAnsi"/>
          <w:i/>
          <w:sz w:val="24"/>
        </w:rPr>
        <w:t>. Το τμήμα 15</w:t>
      </w:r>
      <w:r w:rsidRPr="004C1B7F">
        <w:rPr>
          <w:rFonts w:cstheme="minorHAnsi"/>
          <w:sz w:val="24"/>
        </w:rPr>
        <w:t xml:space="preserve"> διατυπώνεται ως εξής:</w:t>
      </w:r>
    </w:p>
    <w:p w14:paraId="1E7CA6B5" w14:textId="29BEC0DD" w:rsidR="00315D7E" w:rsidRPr="004C1B7F" w:rsidRDefault="002147AD">
      <w:pPr>
        <w:rPr>
          <w:rFonts w:cstheme="minorHAnsi"/>
          <w:sz w:val="24"/>
          <w:szCs w:val="24"/>
        </w:rPr>
      </w:pPr>
      <w:r w:rsidRPr="004C1B7F">
        <w:rPr>
          <w:rStyle w:val="paragrafnr"/>
          <w:rFonts w:cstheme="minorHAnsi"/>
          <w:b/>
          <w:color w:val="212529"/>
          <w:sz w:val="24"/>
        </w:rPr>
        <w:t>«</w:t>
      </w:r>
      <w:r w:rsidRPr="004C1B7F">
        <w:rPr>
          <w:rFonts w:cstheme="minorHAnsi"/>
          <w:b/>
          <w:sz w:val="24"/>
        </w:rPr>
        <w:t>Τμήμα 15</w:t>
      </w:r>
      <w:r w:rsidRPr="004C1B7F">
        <w:rPr>
          <w:rFonts w:cstheme="minorHAnsi"/>
          <w:sz w:val="24"/>
        </w:rPr>
        <w:t xml:space="preserve"> Το νωπό γάλα που διατίθεται στην αγορά από κάθε πρωτογενή παραγωγό πρέπει να πληροί τα κριτήρια για την περιεκτικότητα σε κύτταρα και την περιεκτικότητα σε μικρόβια που ορίζονται στον κανονισμό για την υγιεινή για τα τρόφιμα ζωικής προέλευσης, όπως ορίζονται στο παράρτημα III τμήμα IX κεφάλαιο I μέρος III σημείο 3.</w:t>
      </w:r>
    </w:p>
    <w:p w14:paraId="2F142F18" w14:textId="77777777" w:rsidR="00053863" w:rsidRPr="004C1B7F" w:rsidRDefault="00331B89" w:rsidP="00337092">
      <w:pPr>
        <w:pStyle w:val="paragraf"/>
        <w:shd w:val="clear" w:color="auto" w:fill="F9F9FB"/>
        <w:spacing w:before="200" w:beforeAutospacing="0" w:after="0" w:afterAutospacing="0"/>
        <w:rPr>
          <w:rFonts w:asciiTheme="minorHAnsi" w:hAnsiTheme="minorHAnsi" w:cstheme="minorHAnsi"/>
          <w:color w:val="212529"/>
        </w:rPr>
      </w:pPr>
      <w:r w:rsidRPr="004C1B7F">
        <w:rPr>
          <w:rFonts w:asciiTheme="minorHAnsi" w:hAnsiTheme="minorHAnsi" w:cstheme="minorHAnsi"/>
          <w:i/>
        </w:rPr>
        <w:t>(2)</w:t>
      </w:r>
      <w:r w:rsidRPr="004C1B7F">
        <w:rPr>
          <w:rFonts w:asciiTheme="minorHAnsi" w:hAnsiTheme="minorHAnsi" w:cstheme="minorHAnsi"/>
        </w:rPr>
        <w:t xml:space="preserve"> Όταν το νωπό γάλα δεν πληροί τα κριτήρια για την περιεκτικότητα σε κύτταρα ή την περιεκτικότητα σε μικρόβια που αναφέρονται στο υποτμήμα 1, ο πρωτογενής παραγωγός πρέπει να λάβει τα αναγκαία μέτρα για την αποκατάσταση των ελλείψεων και να ενημερώσει αμέσως τον αγοραστή του γάλακτος ότι το γάλα δεν πληροί τα κριτήρια για την περιεκτικότητα σε κύτταρα ή την περιεκτικότητα σε μικρόβια.</w:t>
      </w:r>
      <w:r w:rsidRPr="004C1B7F">
        <w:rPr>
          <w:rFonts w:asciiTheme="minorHAnsi" w:hAnsiTheme="minorHAnsi" w:cstheme="minorHAnsi"/>
          <w:color w:val="212529"/>
        </w:rPr>
        <w:t xml:space="preserve"> Μέχρις ότου εκπληρωθεί εκ νέου το κριτήριο, το γάλα μπορεί να χρησιμοποιείται μόνο για την παραγωγή τυριών με ελάχιστη περίοδο ωρίμανσης 60 ημερών και γαλακτοκομικών προϊόντων που παράγονται στο πλαίσιο της παρασκευής των τυριών αυτών.</w:t>
      </w:r>
    </w:p>
    <w:p w14:paraId="345F6E2E" w14:textId="77777777" w:rsidR="002A2AC6" w:rsidRPr="004C1B7F" w:rsidRDefault="002A2AC6" w:rsidP="00CD091A">
      <w:pPr>
        <w:rPr>
          <w:rFonts w:cstheme="minorHAnsi"/>
          <w:sz w:val="24"/>
          <w:szCs w:val="24"/>
        </w:rPr>
      </w:pPr>
    </w:p>
    <w:p w14:paraId="4C12B8F8" w14:textId="45DA7124" w:rsidR="000F0A3C" w:rsidRPr="004C1B7F" w:rsidRDefault="00331B89" w:rsidP="00CD091A">
      <w:pPr>
        <w:rPr>
          <w:rFonts w:cstheme="minorHAnsi"/>
          <w:sz w:val="24"/>
          <w:szCs w:val="24"/>
        </w:rPr>
      </w:pPr>
      <w:r w:rsidRPr="004C1B7F">
        <w:rPr>
          <w:rFonts w:cstheme="minorHAnsi"/>
          <w:i/>
          <w:sz w:val="24"/>
        </w:rPr>
        <w:t>(3).</w:t>
      </w:r>
      <w:r w:rsidRPr="004C1B7F">
        <w:rPr>
          <w:rFonts w:cstheme="minorHAnsi"/>
          <w:sz w:val="24"/>
        </w:rPr>
        <w:t xml:space="preserve"> Εάν το νωπό γάλα δεν πληροί τα κριτήρια της περιεκτικότητας σε κύτταρα ή μικρόβια, τα οποία ορίζονται στο υποτμήμα 1, εντός τριών (3) μηνών από το πρώτο περιστατικό μη συμμόρφωσης, ο πρωτογενής παραγωγός πρέπει να διακόπτει την εμπορία νωπού γάλακτος από την εκμετάλλευση. Η διάθεση στην αγορά δεν μπορεί να επαναληφθεί μέχρις ότου το γάλα πληροί τα κριτήρια που αναφέρονται στο υποτμήμα 1. Τα αποτελέσματα αντιπροσωπευτικών δειγμάτων που λαμβάνονται με τη συχνότητα που εφαρμόζεται κατά κανόνα πριν από την υπέρβαση του κριτηρίου πρέπει να είναι διαθέσιμα ώστε να αποδεικνύουν ότι το γάλα πληροί τα κριτήρια. Ο πρωτογενής παραγωγός πρέπει να ενημερώνει τη Δανική Υπηρεσία Κτηνιατρικών Θεμάτων και Τροφίμων εάν διακόπτεται η εμπορία νωπού γάλακτος και αν η εμπορία νωπού γάλακτος συνεχίζεται υπό ενισχυμένη εποπτεία, βλ. τμήμα 16.</w:t>
      </w:r>
      <w:r w:rsidRPr="004C1B7F">
        <w:rPr>
          <w:rFonts w:cstheme="minorHAnsi"/>
          <w:color w:val="212529"/>
        </w:rPr>
        <w:t>»</w:t>
      </w:r>
    </w:p>
    <w:p w14:paraId="054EEF45" w14:textId="77777777" w:rsidR="002A2AC6" w:rsidRPr="004C1B7F" w:rsidRDefault="002A2AC6" w:rsidP="00CD091A">
      <w:pPr>
        <w:rPr>
          <w:rFonts w:cstheme="minorHAnsi"/>
          <w:b/>
          <w:sz w:val="24"/>
          <w:szCs w:val="24"/>
        </w:rPr>
      </w:pPr>
    </w:p>
    <w:p w14:paraId="403DD021" w14:textId="77777777" w:rsidR="00F1590B" w:rsidRPr="004C1B7F" w:rsidRDefault="00A50188" w:rsidP="00CD091A">
      <w:pPr>
        <w:rPr>
          <w:rFonts w:cstheme="minorHAnsi"/>
          <w:sz w:val="24"/>
          <w:szCs w:val="24"/>
        </w:rPr>
      </w:pPr>
      <w:r w:rsidRPr="004C1B7F">
        <w:rPr>
          <w:rFonts w:cstheme="minorHAnsi"/>
          <w:b/>
          <w:sz w:val="24"/>
        </w:rPr>
        <w:t>2.</w:t>
      </w:r>
      <w:r w:rsidRPr="004C1B7F">
        <w:rPr>
          <w:rFonts w:cstheme="minorHAnsi"/>
          <w:sz w:val="24"/>
        </w:rPr>
        <w:t xml:space="preserve"> </w:t>
      </w:r>
      <w:r w:rsidRPr="004C1B7F">
        <w:rPr>
          <w:rFonts w:cstheme="minorHAnsi"/>
          <w:i/>
          <w:sz w:val="24"/>
        </w:rPr>
        <w:t xml:space="preserve">Το τμήμα 16 </w:t>
      </w:r>
      <w:r w:rsidRPr="004C1B7F">
        <w:rPr>
          <w:rFonts w:cstheme="minorHAnsi"/>
          <w:sz w:val="24"/>
        </w:rPr>
        <w:t>διατυπώνεται ως εξής:</w:t>
      </w:r>
    </w:p>
    <w:p w14:paraId="1E666652" w14:textId="77777777" w:rsidR="00CD091A" w:rsidRPr="004C1B7F" w:rsidRDefault="00337092" w:rsidP="00547B2F">
      <w:pPr>
        <w:rPr>
          <w:rFonts w:cstheme="minorHAnsi"/>
          <w:color w:val="212529"/>
          <w:sz w:val="24"/>
          <w:szCs w:val="24"/>
        </w:rPr>
      </w:pPr>
      <w:r w:rsidRPr="004C1B7F">
        <w:rPr>
          <w:rStyle w:val="paragrafnr"/>
          <w:rFonts w:cstheme="minorHAnsi"/>
          <w:b/>
          <w:color w:val="212529"/>
          <w:sz w:val="24"/>
        </w:rPr>
        <w:t>«Τμήμα 16.</w:t>
      </w:r>
      <w:r w:rsidRPr="004C1B7F">
        <w:rPr>
          <w:rFonts w:cstheme="minorHAnsi"/>
          <w:color w:val="212529"/>
          <w:sz w:val="24"/>
        </w:rPr>
        <w:t> Ωστόσο, ανεξάρτητα από το τμήμα 15 παράγραφος 3, ο πρωτογενής παραγωγός μπορεί να εμπορεύεται νωπό αγελαδινό γάλα για ορισμένη περίοδο υπό ενισχυμένη εποπτεία του κριτηρίου στο οποίο παρατηρήθηκε υπέρβαση, εφόσον σε τουλάχιστον ένα δείγμα έχει καταδειχθεί ότι η περιεκτικότητα σε κύτταρα στο χύδην γάλα δεν υπερβαίνει τα 400 000 κύτταρα/ml ή ότι η περιεκτικότητα σε μικρόβια στο χύδην γάλα δεν υπερβαίνει τα 100 000 cfu/ml. Μέχρις ότου εκπληρωθεί εκ νέου το κριτήριο, το γάλα μπορεί να χρησιμοποιηθεί μόνο για την παραγωγή τυριών με ελάχιστη περίοδο ωρίμανσης 60 ημερών</w:t>
      </w:r>
      <w:r w:rsidRPr="004C1B7F">
        <w:rPr>
          <w:rFonts w:cstheme="minorHAnsi"/>
          <w:color w:val="212529"/>
        </w:rPr>
        <w:t xml:space="preserve"> και γαλακτοκομικών προϊόντων που παράγονται στο πλαίσιο της παρασκευής των εν λόγω τυριών</w:t>
      </w:r>
      <w:r w:rsidRPr="004C1B7F">
        <w:rPr>
          <w:rFonts w:cstheme="minorHAnsi"/>
          <w:color w:val="212529"/>
          <w:sz w:val="24"/>
        </w:rPr>
        <w:t>.</w:t>
      </w:r>
    </w:p>
    <w:p w14:paraId="59701395" w14:textId="77777777" w:rsidR="00AB3DB0" w:rsidRPr="004C1B7F" w:rsidRDefault="00B25764" w:rsidP="00337092">
      <w:pPr>
        <w:pStyle w:val="paragraf"/>
        <w:shd w:val="clear" w:color="auto" w:fill="F9F9FB"/>
        <w:spacing w:before="200" w:beforeAutospacing="0" w:after="0" w:afterAutospacing="0"/>
        <w:rPr>
          <w:rFonts w:asciiTheme="minorHAnsi" w:hAnsiTheme="minorHAnsi" w:cstheme="minorHAnsi"/>
          <w:color w:val="212529"/>
        </w:rPr>
      </w:pPr>
      <w:r w:rsidRPr="004C1B7F">
        <w:rPr>
          <w:rFonts w:asciiTheme="minorHAnsi" w:hAnsiTheme="minorHAnsi" w:cstheme="minorHAnsi"/>
          <w:i/>
          <w:color w:val="212529"/>
        </w:rPr>
        <w:lastRenderedPageBreak/>
        <w:t>(2).</w:t>
      </w:r>
      <w:r w:rsidRPr="004C1B7F">
        <w:rPr>
          <w:rFonts w:asciiTheme="minorHAnsi" w:hAnsiTheme="minorHAnsi" w:cstheme="minorHAnsi"/>
          <w:color w:val="212529"/>
        </w:rPr>
        <w:t xml:space="preserve"> Ωστόσο, εάν το γάλα ελέγχεται για την περιεκτικότητα σε κύτταρα και την περιεκτικότητα σε μικρόβια σε κάθε συλλογή νωπού αγελαδινού γάλακτος, και αυτή η πρακτική ήταν συνήθης επίσης πριν από την έναρξη της περιόδου ενισχυμένης εποπτείας, το γάλα από το οποίο λαμβάνεται το μεμονωμένο αντιπροσωπευτικό δείγμα που αναφέρεται στο υποτμήμα 1 μπορεί να συλλεχθεί και να χρησιμοποιηθεί για την παραγωγή τυριών με ελάχιστο χρόνο ωρίμανσης 60 ημερών και γαλακτοκομικών προϊόντων που παράγονται κατά την παρασκευή των εν λόγω τυριών.</w:t>
      </w:r>
    </w:p>
    <w:p w14:paraId="3BAC1305" w14:textId="77777777" w:rsidR="00770E03" w:rsidRPr="004C1B7F" w:rsidRDefault="00770E03" w:rsidP="00337092">
      <w:pPr>
        <w:pStyle w:val="stk2"/>
        <w:shd w:val="clear" w:color="auto" w:fill="F9F9FB"/>
        <w:spacing w:before="0" w:beforeAutospacing="0" w:after="0" w:afterAutospacing="0"/>
        <w:rPr>
          <w:rStyle w:val="stknr"/>
          <w:rFonts w:asciiTheme="minorHAnsi" w:hAnsiTheme="minorHAnsi" w:cstheme="minorHAnsi"/>
          <w:i/>
          <w:iCs/>
          <w:color w:val="212529"/>
        </w:rPr>
      </w:pPr>
    </w:p>
    <w:p w14:paraId="53628321" w14:textId="77777777" w:rsidR="00CD091A" w:rsidRPr="004C1B7F"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4C1B7F">
        <w:rPr>
          <w:rStyle w:val="stknr"/>
          <w:rFonts w:asciiTheme="minorHAnsi" w:hAnsiTheme="minorHAnsi" w:cstheme="minorHAnsi"/>
          <w:i/>
          <w:color w:val="212529"/>
        </w:rPr>
        <w:t>3)</w:t>
      </w:r>
      <w:r w:rsidRPr="004C1B7F">
        <w:rPr>
          <w:rFonts w:asciiTheme="minorHAnsi" w:hAnsiTheme="minorHAnsi" w:cstheme="minorHAnsi"/>
          <w:color w:val="212529"/>
        </w:rPr>
        <w:t xml:space="preserve"> Κατά την περίοδο της ενισχυμένης εποπτείας του κριτηρίου στο οποίο παρατηρήθηκε υπέρβαση, ο πρωτογενής παραγωγός μπορεί να εμπορεύεται νωπό αγελαδινό γάλα μόνο εάν όλα τα συνήθη μεμονωμένα δείγματα που ελήφθησαν για ανάλυση του εν λόγω κριτηρίου, σύμφωνα με το τμήμα 17 παράγραφος 1, δείχνουν ότι η περιεκτικότητα σε κύτταρα στο χύδην γάλα δεν υπερβαίνει τα 400 000 κύτταρα/ml ή ότι η περιεκτικότητα σε μικρόβια στο χύδην γάλα δεν υπερβαίνει τα 100 000 cfu/ml. Όταν από την ενισχυμένη εποπτεία προκύπτει υπέρβαση της περιεκτικότητας σε κύτταρα ή της περιεκτικότητας σε μικρόβια, δεν επιτρέπεται η διάθεση στην αγορά νωπού αγελαδινού γάλακτος από την εκμετάλλευση.</w:t>
      </w:r>
    </w:p>
    <w:p w14:paraId="054D5A70" w14:textId="77777777" w:rsidR="000F0A3C" w:rsidRPr="004C1B7F"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03933F2D" w14:textId="77777777" w:rsidR="00CD091A" w:rsidRPr="004C1B7F"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4C1B7F">
        <w:rPr>
          <w:rStyle w:val="stknr"/>
          <w:rFonts w:asciiTheme="minorHAnsi" w:hAnsiTheme="minorHAnsi" w:cstheme="minorHAnsi"/>
          <w:i/>
          <w:color w:val="212529"/>
        </w:rPr>
        <w:t>4)</w:t>
      </w:r>
      <w:r w:rsidRPr="004C1B7F">
        <w:rPr>
          <w:rFonts w:asciiTheme="minorHAnsi" w:hAnsiTheme="minorHAnsi" w:cstheme="minorHAnsi"/>
          <w:color w:val="212529"/>
        </w:rPr>
        <w:t xml:space="preserve"> Κατά την περίοδο ενισχυμένης εποπτείας, οι επιχειρήσεις που συλλέγουν ή μεταποιούν το νωπό αγελαδινό γάλα πρέπει να ενημερώνουν άμεσα τη Δανική Υπηρεσία Κτηνιατρικών Θεμάτων και Τροφίμων για τα αποτελέσματα των αναλύσεων που συνεπάγονται τη διακοπή ή επανέναρξη της εμπορίας.</w:t>
      </w:r>
    </w:p>
    <w:p w14:paraId="42EB5593" w14:textId="77777777" w:rsidR="000F0A3C" w:rsidRPr="004C1B7F"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593EB308" w14:textId="77777777" w:rsidR="00CD091A" w:rsidRPr="004C1B7F"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4C1B7F">
        <w:rPr>
          <w:rStyle w:val="stknr"/>
          <w:rFonts w:asciiTheme="minorHAnsi" w:hAnsiTheme="minorHAnsi" w:cstheme="minorHAnsi"/>
          <w:i/>
          <w:color w:val="212529"/>
        </w:rPr>
        <w:t>5)</w:t>
      </w:r>
      <w:r w:rsidRPr="004C1B7F">
        <w:rPr>
          <w:rFonts w:asciiTheme="minorHAnsi" w:hAnsiTheme="minorHAnsi" w:cstheme="minorHAnsi"/>
          <w:color w:val="212529"/>
        </w:rPr>
        <w:t xml:space="preserve"> Οι πρωτογενείς παραγωγοί σε κοπάδια από τα οποία το νωπό γάλα δεν συλλέγεται ή μεταποιείται από εγκατάσταση στη Δανία που προτίθεται να διαθέσει νωπό γάλα στην αγορά κατά τη διάρκεια περιόδου ενισχυμένης εποπτείας, όπως αναφέρεται στο υποτμήμα 1, πρέπει να εξασφαλίζουν ότι λαμβάνονται και αναλύονται τα επιμέρους δείγματα που αναφέρονται στα υποτμήματα 1-2. Ο πρωτογενής παραγωγός πρέπει να εξασφαλίζει ότι η Δανική Υπηρεσία Κτηνιατρικών Θεμάτων και Τροφίμων ενημερώνεται αμέσως για τα αποτελέσματα των αναλύσεων που οδηγούν σε διακοπή ή επανέναρξη της διάθεσης στην αγορά.</w:t>
      </w:r>
    </w:p>
    <w:p w14:paraId="55671073" w14:textId="77777777" w:rsidR="002A2AC6" w:rsidRPr="004C1B7F" w:rsidRDefault="002A2AC6" w:rsidP="00CD091A">
      <w:pPr>
        <w:pStyle w:val="stk2"/>
        <w:shd w:val="clear" w:color="auto" w:fill="F9F9FB"/>
        <w:spacing w:before="0" w:beforeAutospacing="0" w:after="0" w:afterAutospacing="0"/>
        <w:ind w:firstLine="240"/>
        <w:rPr>
          <w:rFonts w:asciiTheme="minorHAnsi" w:hAnsiTheme="minorHAnsi" w:cstheme="minorHAnsi"/>
          <w:color w:val="212529"/>
        </w:rPr>
      </w:pPr>
    </w:p>
    <w:p w14:paraId="6DEEDDBF" w14:textId="77777777" w:rsidR="00CD091A" w:rsidRPr="004C1B7F"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4C1B7F">
        <w:rPr>
          <w:rStyle w:val="stknr"/>
          <w:rFonts w:asciiTheme="minorHAnsi" w:hAnsiTheme="minorHAnsi" w:cstheme="minorHAnsi"/>
          <w:i/>
          <w:color w:val="212529"/>
        </w:rPr>
        <w:t>6)</w:t>
      </w:r>
      <w:r w:rsidRPr="004C1B7F">
        <w:rPr>
          <w:rFonts w:asciiTheme="minorHAnsi" w:hAnsiTheme="minorHAnsi" w:cstheme="minorHAnsi"/>
          <w:color w:val="212529"/>
        </w:rPr>
        <w:t xml:space="preserve"> Η περίοδος ενισχυμένης εποπτείας λήγει όταν πληρούται και πάλι το κριτήριο υπέρβασης για την περιεκτικότητα σε κύτταρα ή την περιεκτικότητα σε μικρόβια (βλ. τμήμα 15 παράγραφος1).</w:t>
      </w:r>
    </w:p>
    <w:p w14:paraId="7FBDDDA5" w14:textId="77777777" w:rsidR="000F0A3C" w:rsidRPr="004C1B7F"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31ED0D7C" w14:textId="68335AE7" w:rsidR="00CD091A" w:rsidRPr="004C1B7F"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4C1B7F">
        <w:rPr>
          <w:rStyle w:val="stknr"/>
          <w:rFonts w:asciiTheme="minorHAnsi" w:hAnsiTheme="minorHAnsi" w:cstheme="minorHAnsi"/>
          <w:i/>
          <w:color w:val="212529"/>
        </w:rPr>
        <w:t>7)</w:t>
      </w:r>
      <w:r w:rsidRPr="004C1B7F">
        <w:rPr>
          <w:rFonts w:asciiTheme="minorHAnsi" w:hAnsiTheme="minorHAnsi" w:cstheme="minorHAnsi"/>
          <w:color w:val="212529"/>
        </w:rPr>
        <w:t xml:space="preserve"> Η περίοδος ενισχυμένης εποπτείας δεν πρέπει να υπερβαίνει τις 60 ημέρες. Εάν τα κριτήρια που ορίζονται στο τμήμα 15 παράγραφος 1 δεν πληρούνται εντός 60 ημερών υπό ενισχυμένη εποπτεία, ο πρωτογενής παραγωγός πρέπει να παύσει την εμπορία νωπού γάλακτος από την εκμετάλλευση. Η διάθεση στην αγορά μπορεί να επαναληφθεί μόνον όταν το γάλα πληροί εκ νέου τα κριτήρια για το νωπό γάλα».</w:t>
      </w:r>
    </w:p>
    <w:p w14:paraId="6E2B2257" w14:textId="77777777" w:rsidR="00F1590B" w:rsidRPr="004C1B7F"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07D14AB6" w14:textId="77777777" w:rsidR="000F0A3C" w:rsidRPr="004C1B7F" w:rsidRDefault="000F0A3C" w:rsidP="00F1590B">
      <w:pPr>
        <w:pStyle w:val="stk2"/>
        <w:shd w:val="clear" w:color="auto" w:fill="F9F9FB"/>
        <w:spacing w:before="0" w:beforeAutospacing="0" w:after="0" w:afterAutospacing="0"/>
        <w:rPr>
          <w:rFonts w:asciiTheme="minorHAnsi" w:hAnsiTheme="minorHAnsi" w:cstheme="minorHAnsi"/>
          <w:color w:val="212529"/>
        </w:rPr>
      </w:pPr>
    </w:p>
    <w:p w14:paraId="032BD933" w14:textId="77777777" w:rsidR="00F1590B" w:rsidRPr="004C1B7F"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4C1B7F">
        <w:rPr>
          <w:rFonts w:asciiTheme="minorHAnsi" w:hAnsiTheme="minorHAnsi" w:cstheme="minorHAnsi"/>
          <w:b/>
          <w:color w:val="212529"/>
        </w:rPr>
        <w:t xml:space="preserve">3. </w:t>
      </w:r>
      <w:r w:rsidRPr="004C1B7F">
        <w:rPr>
          <w:rFonts w:asciiTheme="minorHAnsi" w:hAnsiTheme="minorHAnsi" w:cstheme="minorHAnsi"/>
          <w:i/>
          <w:color w:val="212529"/>
        </w:rPr>
        <w:t xml:space="preserve">Το τμήμα 17 </w:t>
      </w:r>
      <w:r w:rsidRPr="004C1B7F">
        <w:rPr>
          <w:rFonts w:asciiTheme="minorHAnsi" w:hAnsiTheme="minorHAnsi" w:cstheme="minorHAnsi"/>
          <w:color w:val="212529"/>
        </w:rPr>
        <w:t>διατυπώνεται ως εξής:</w:t>
      </w:r>
    </w:p>
    <w:p w14:paraId="44382C07" w14:textId="77777777" w:rsidR="0085737E" w:rsidRPr="004C1B7F" w:rsidRDefault="0085737E" w:rsidP="00F1590B">
      <w:pPr>
        <w:pStyle w:val="stk2"/>
        <w:shd w:val="clear" w:color="auto" w:fill="F9F9FB"/>
        <w:spacing w:before="0" w:beforeAutospacing="0" w:after="0" w:afterAutospacing="0"/>
        <w:rPr>
          <w:rFonts w:asciiTheme="minorHAnsi" w:hAnsiTheme="minorHAnsi" w:cstheme="minorHAnsi"/>
          <w:color w:val="212529"/>
        </w:rPr>
      </w:pPr>
    </w:p>
    <w:p w14:paraId="39FDF2B8" w14:textId="77777777" w:rsidR="0085737E" w:rsidRPr="004C1B7F" w:rsidRDefault="00F1590B" w:rsidP="0085737E">
      <w:pPr>
        <w:jc w:val="center"/>
        <w:rPr>
          <w:rFonts w:cstheme="minorHAnsi"/>
        </w:rPr>
      </w:pPr>
      <w:r w:rsidRPr="004C1B7F">
        <w:rPr>
          <w:rFonts w:cstheme="minorHAnsi"/>
          <w:color w:val="212529"/>
        </w:rPr>
        <w:t>«</w:t>
      </w:r>
      <w:r w:rsidRPr="004C1B7F">
        <w:rPr>
          <w:rFonts w:cstheme="minorHAnsi"/>
        </w:rPr>
        <w:t xml:space="preserve"> </w:t>
      </w:r>
      <w:r w:rsidRPr="004C1B7F">
        <w:rPr>
          <w:rFonts w:cstheme="minorHAnsi"/>
          <w:i/>
        </w:rPr>
        <w:t>Έλεγχος κριτηρίων για το νωπό αγελαδινό γάλα κατά την περίοδο ενισχυμένης εποπτείας</w:t>
      </w:r>
    </w:p>
    <w:p w14:paraId="5E555615" w14:textId="77777777" w:rsidR="0085737E" w:rsidRPr="004C1B7F" w:rsidRDefault="0085737E" w:rsidP="0085737E">
      <w:pPr>
        <w:rPr>
          <w:rFonts w:cstheme="minorHAnsi"/>
        </w:rPr>
      </w:pPr>
      <w:r w:rsidRPr="004C1B7F">
        <w:rPr>
          <w:rFonts w:cstheme="minorHAnsi"/>
          <w:b/>
        </w:rPr>
        <w:t>Τμήμα 17</w:t>
      </w:r>
      <w:r w:rsidRPr="004C1B7F">
        <w:rPr>
          <w:rFonts w:cstheme="minorHAnsi"/>
        </w:rPr>
        <w:t xml:space="preserve"> Εγκαταστάσεις που συλλέγουν ή μεταποιούν νωπό αγελαδινό γάλα που λαμβάνεται από πρωτογενείς παραγωγούς υπό ενισχυμένη εποπτεία, βλ. τμήμα 16, πρέπει να διασφαλίζουν ότι αντιπροσωπευτικά, συνήθη δείγματα νωπού αγελαδινού γάλακτος λαμβάνονται τουλάχιστον εβδομαδιαίως και αναλύονται με καθορισμένη συνήθη συχνότητα, η οποία συμμορφώνεται τουλάχιστον με το παράρτημα 2. Τα δείγματα πρέπει να λαμβάνονται κατόπιν συλλογής σε δεξαμενές ή κατόπιν παράδοσης σε επιχείρηση τροφίμων.</w:t>
      </w:r>
    </w:p>
    <w:p w14:paraId="0AD44A49" w14:textId="77777777" w:rsidR="0085737E" w:rsidRPr="004C1B7F" w:rsidRDefault="0085737E" w:rsidP="0085737E">
      <w:pPr>
        <w:rPr>
          <w:rFonts w:cstheme="minorHAnsi"/>
        </w:rPr>
      </w:pPr>
      <w:r w:rsidRPr="004C1B7F">
        <w:rPr>
          <w:rFonts w:cstheme="minorHAnsi"/>
          <w:i/>
        </w:rPr>
        <w:lastRenderedPageBreak/>
        <w:t>2)</w:t>
      </w:r>
      <w:r w:rsidRPr="004C1B7F">
        <w:rPr>
          <w:rFonts w:cstheme="minorHAnsi"/>
        </w:rPr>
        <w:t xml:space="preserve"> Εάν το δείγμα που αναφέρεται στο υποτμήμα 1 ληφθεί και αναλυθεί από εγκατάσταση που βρίσκεται στη Δανία, δεν χρειάζεται να ληφθούν περαιτέρω δείγματα νωπού αγελαδινού γάλακτος από την ίδια δεξαμενή στη δεδομένη πρωτογενή εκμετάλλευση.</w:t>
      </w:r>
    </w:p>
    <w:p w14:paraId="0D328027" w14:textId="77777777" w:rsidR="00F1590B" w:rsidRPr="004C1B7F" w:rsidRDefault="0085737E" w:rsidP="0085737E">
      <w:pPr>
        <w:rPr>
          <w:rFonts w:cstheme="minorHAnsi"/>
        </w:rPr>
      </w:pPr>
      <w:r w:rsidRPr="004C1B7F">
        <w:rPr>
          <w:rFonts w:cstheme="minorHAnsi"/>
          <w:i/>
        </w:rPr>
        <w:t>3)</w:t>
      </w:r>
      <w:r w:rsidRPr="004C1B7F">
        <w:rPr>
          <w:rFonts w:cstheme="minorHAnsi"/>
        </w:rPr>
        <w:t xml:space="preserve"> Η μονάδα πρέπει να θέτει στη διάθεση της Δανικής Υπηρεσίας Κτηνιατρικών Θεμάτων και Τροφίμων όλα τα αποτελέσματα των αναλύσεων.</w:t>
      </w:r>
    </w:p>
    <w:p w14:paraId="656B2365" w14:textId="77777777" w:rsidR="00A50188" w:rsidRPr="004C1B7F"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5A39C19E" w14:textId="77777777" w:rsidR="00A50188" w:rsidRPr="004C1B7F"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4C1B7F">
        <w:rPr>
          <w:rFonts w:asciiTheme="minorHAnsi" w:hAnsiTheme="minorHAnsi" w:cstheme="minorHAnsi"/>
          <w:b/>
          <w:color w:val="212529"/>
        </w:rPr>
        <w:t xml:space="preserve">4. </w:t>
      </w:r>
      <w:r w:rsidRPr="004C1B7F">
        <w:rPr>
          <w:rFonts w:asciiTheme="minorHAnsi" w:hAnsiTheme="minorHAnsi" w:cstheme="minorHAnsi"/>
          <w:i/>
          <w:color w:val="212529"/>
        </w:rPr>
        <w:t xml:space="preserve">Το τμήμα 38 παράγραφος 4 </w:t>
      </w:r>
      <w:r w:rsidRPr="004C1B7F">
        <w:rPr>
          <w:rFonts w:asciiTheme="minorHAnsi" w:hAnsiTheme="minorHAnsi" w:cstheme="minorHAnsi"/>
          <w:color w:val="212529"/>
        </w:rPr>
        <w:t>διατυπώνεται ως εξής:</w:t>
      </w:r>
    </w:p>
    <w:p w14:paraId="74C5A1C3" w14:textId="77777777" w:rsidR="0085737E" w:rsidRPr="004C1B7F" w:rsidRDefault="0085737E" w:rsidP="00F1590B">
      <w:pPr>
        <w:pStyle w:val="stk2"/>
        <w:shd w:val="clear" w:color="auto" w:fill="F9F9FB"/>
        <w:spacing w:before="0" w:beforeAutospacing="0" w:after="0" w:afterAutospacing="0"/>
        <w:rPr>
          <w:rFonts w:asciiTheme="minorHAnsi" w:hAnsiTheme="minorHAnsi" w:cstheme="minorHAnsi"/>
          <w:i/>
          <w:color w:val="212529"/>
        </w:rPr>
      </w:pPr>
    </w:p>
    <w:p w14:paraId="5CDBAE19" w14:textId="77777777" w:rsidR="00A50188" w:rsidRPr="004C1B7F" w:rsidRDefault="00337092" w:rsidP="00A50188">
      <w:pPr>
        <w:spacing w:after="0" w:line="240" w:lineRule="auto"/>
        <w:rPr>
          <w:rFonts w:cstheme="minorHAnsi"/>
          <w:sz w:val="24"/>
          <w:szCs w:val="24"/>
        </w:rPr>
      </w:pPr>
      <w:r w:rsidRPr="004C1B7F">
        <w:rPr>
          <w:rFonts w:cstheme="minorHAnsi"/>
          <w:i/>
          <w:sz w:val="24"/>
        </w:rPr>
        <w:t>«4)</w:t>
      </w:r>
      <w:r w:rsidRPr="004C1B7F">
        <w:rPr>
          <w:rFonts w:cstheme="minorHAnsi"/>
          <w:sz w:val="24"/>
        </w:rPr>
        <w:t xml:space="preserve"> Τα ζώα εργασίας που είναι ειδικά εκπαιδευμένα για την εκτέλεση ενός ή περισσότερων πρακτικών καθηκόντων, όπως ο έλεγχος των παρασίτων ή ο οργανοληπτικός έλεγχος των τροφίμων, ενδέχεται να έχουν πρόσβαση σε επιχειρήσεις τροφίμων όταν αυτό πραγματοποιείται στο πλαίσιο των εργασιών επαγγελματία. Αποτελεί ευθύνη του υπευθύνου της επιχείρησης τροφίμων να διασφαλίζει ότι η πρόσβαση αυτή δεν προκαλεί μόλυνση των τροφίμων».</w:t>
      </w:r>
    </w:p>
    <w:p w14:paraId="22A66C1A" w14:textId="77777777" w:rsidR="004C1B7F" w:rsidRDefault="004C1B7F" w:rsidP="00F1590B">
      <w:pPr>
        <w:pStyle w:val="stk2"/>
        <w:shd w:val="clear" w:color="auto" w:fill="F9F9FB"/>
        <w:spacing w:before="0" w:beforeAutospacing="0" w:after="0" w:afterAutospacing="0"/>
        <w:rPr>
          <w:rFonts w:asciiTheme="minorHAnsi" w:hAnsiTheme="minorHAnsi" w:cstheme="minorHAnsi"/>
          <w:b/>
          <w:color w:val="212529"/>
        </w:rPr>
      </w:pPr>
    </w:p>
    <w:p w14:paraId="6D7ADDFC" w14:textId="27B69608" w:rsidR="004D3390" w:rsidRPr="004C1B7F"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4C1B7F">
        <w:rPr>
          <w:rFonts w:asciiTheme="minorHAnsi" w:hAnsiTheme="minorHAnsi" w:cstheme="minorHAnsi"/>
          <w:b/>
          <w:color w:val="212529"/>
        </w:rPr>
        <w:t xml:space="preserve">5. </w:t>
      </w:r>
      <w:r w:rsidRPr="004C1B7F">
        <w:rPr>
          <w:rFonts w:asciiTheme="minorHAnsi" w:hAnsiTheme="minorHAnsi" w:cstheme="minorHAnsi"/>
          <w:i/>
          <w:color w:val="212529"/>
        </w:rPr>
        <w:t>Το παράρτημα 2</w:t>
      </w:r>
      <w:r w:rsidRPr="004C1B7F">
        <w:rPr>
          <w:rFonts w:asciiTheme="minorHAnsi" w:hAnsiTheme="minorHAnsi" w:cstheme="minorHAnsi"/>
          <w:color w:val="212529"/>
        </w:rPr>
        <w:t xml:space="preserve"> διατυπώνεται ως εξής: </w:t>
      </w:r>
    </w:p>
    <w:p w14:paraId="1DA2F1A1" w14:textId="77777777" w:rsidR="00D81FFD" w:rsidRPr="004C1B7F" w:rsidRDefault="00D81FFD" w:rsidP="00CD091A">
      <w:pPr>
        <w:rPr>
          <w:rFonts w:eastAsia="Times New Roman" w:cstheme="minorHAnsi"/>
          <w:color w:val="212529"/>
          <w:sz w:val="24"/>
          <w:szCs w:val="24"/>
          <w:lang w:eastAsia="da-DK"/>
        </w:rPr>
      </w:pPr>
    </w:p>
    <w:p w14:paraId="0F1C6251" w14:textId="77777777" w:rsidR="00D81FFD" w:rsidRPr="004C1B7F" w:rsidRDefault="00F1590B" w:rsidP="00D81FFD">
      <w:pPr>
        <w:jc w:val="right"/>
        <w:rPr>
          <w:rFonts w:cstheme="minorHAnsi"/>
          <w:b/>
          <w:sz w:val="24"/>
          <w:szCs w:val="24"/>
        </w:rPr>
      </w:pPr>
      <w:r w:rsidRPr="004C1B7F">
        <w:rPr>
          <w:rFonts w:cstheme="minorHAnsi"/>
          <w:b/>
          <w:sz w:val="24"/>
        </w:rPr>
        <w:t>«Παράρτημα 2</w:t>
      </w:r>
    </w:p>
    <w:p w14:paraId="4EF47313" w14:textId="77777777" w:rsidR="00D81FFD" w:rsidRPr="004C1B7F" w:rsidRDefault="00D81FFD" w:rsidP="00D81FFD">
      <w:pPr>
        <w:rPr>
          <w:rFonts w:cstheme="minorHAnsi"/>
          <w:sz w:val="24"/>
          <w:szCs w:val="24"/>
        </w:rPr>
      </w:pPr>
    </w:p>
    <w:p w14:paraId="12EF7BD8" w14:textId="77777777" w:rsidR="00D81FFD" w:rsidRPr="004C1B7F" w:rsidRDefault="00D81FFD" w:rsidP="00D81FFD">
      <w:pPr>
        <w:rPr>
          <w:rFonts w:cstheme="minorHAnsi"/>
          <w:sz w:val="24"/>
          <w:szCs w:val="24"/>
        </w:rPr>
      </w:pPr>
      <w:r w:rsidRPr="004C1B7F">
        <w:rPr>
          <w:rFonts w:cstheme="minorHAnsi"/>
          <w:sz w:val="24"/>
        </w:rPr>
        <w:t>Έλεγχος των κριτηρίων για το νωπό αγελαδινό γάλα κατά τη διάρκεια της περιόδου ενισχυμένης εποπτείας (βλ. τμήμα 16)</w:t>
      </w:r>
    </w:p>
    <w:p w14:paraId="086EBC14" w14:textId="77777777" w:rsidR="00D81FFD" w:rsidRPr="004C1B7F" w:rsidRDefault="00D81FFD" w:rsidP="00D81FFD">
      <w:pPr>
        <w:rPr>
          <w:rFonts w:cstheme="minorHAnsi"/>
          <w:sz w:val="24"/>
          <w:szCs w:val="24"/>
        </w:rPr>
      </w:pPr>
      <w:r w:rsidRPr="004C1B7F">
        <w:rPr>
          <w:rFonts w:cstheme="minorHAnsi"/>
          <w:sz w:val="24"/>
        </w:rPr>
        <w:t>Τα δείγματα πρέπει να υποβάλλονται τουλάχιστον στους παρακάτω ελέγχους:</w:t>
      </w:r>
    </w:p>
    <w:tbl>
      <w:tblPr>
        <w:tblStyle w:val="TableGrid"/>
        <w:tblW w:w="0" w:type="auto"/>
        <w:tblLook w:val="04A0" w:firstRow="1" w:lastRow="0" w:firstColumn="1" w:lastColumn="0" w:noHBand="0" w:noVBand="1"/>
      </w:tblPr>
      <w:tblGrid>
        <w:gridCol w:w="2407"/>
        <w:gridCol w:w="2407"/>
        <w:gridCol w:w="2407"/>
        <w:gridCol w:w="2407"/>
      </w:tblGrid>
      <w:tr w:rsidR="00D81FFD" w:rsidRPr="004C1B7F" w14:paraId="361B5020" w14:textId="77777777" w:rsidTr="00D81FFD">
        <w:tc>
          <w:tcPr>
            <w:tcW w:w="2407" w:type="dxa"/>
          </w:tcPr>
          <w:p w14:paraId="1B31FDFF" w14:textId="77777777" w:rsidR="00D81FFD" w:rsidRPr="004C1B7F" w:rsidRDefault="00D81FFD" w:rsidP="00D81FFD">
            <w:pPr>
              <w:rPr>
                <w:rFonts w:cstheme="minorHAnsi"/>
                <w:sz w:val="24"/>
                <w:szCs w:val="24"/>
              </w:rPr>
            </w:pPr>
          </w:p>
        </w:tc>
        <w:tc>
          <w:tcPr>
            <w:tcW w:w="2407" w:type="dxa"/>
          </w:tcPr>
          <w:p w14:paraId="67E9D1FD" w14:textId="77777777" w:rsidR="00D81FFD" w:rsidRPr="004C1B7F" w:rsidRDefault="00D81FFD" w:rsidP="00D81FFD">
            <w:pPr>
              <w:rPr>
                <w:rFonts w:cstheme="minorHAnsi"/>
                <w:b/>
                <w:sz w:val="24"/>
                <w:szCs w:val="24"/>
              </w:rPr>
            </w:pPr>
            <w:r w:rsidRPr="004C1B7F">
              <w:rPr>
                <w:rFonts w:cstheme="minorHAnsi"/>
                <w:b/>
                <w:sz w:val="24"/>
              </w:rPr>
              <w:t>Προσδιορισμός της περιεκτικότητας σε μικρόβια στους 30 °C</w:t>
            </w:r>
          </w:p>
        </w:tc>
        <w:tc>
          <w:tcPr>
            <w:tcW w:w="2407" w:type="dxa"/>
          </w:tcPr>
          <w:p w14:paraId="1029B326" w14:textId="77777777" w:rsidR="00D81FFD" w:rsidRPr="004C1B7F" w:rsidRDefault="00D81FFD" w:rsidP="00D81FFD">
            <w:pPr>
              <w:rPr>
                <w:rFonts w:cstheme="minorHAnsi"/>
                <w:b/>
                <w:sz w:val="24"/>
                <w:szCs w:val="24"/>
              </w:rPr>
            </w:pPr>
            <w:r w:rsidRPr="004C1B7F">
              <w:rPr>
                <w:rFonts w:cstheme="minorHAnsi"/>
                <w:b/>
                <w:sz w:val="24"/>
              </w:rPr>
              <w:t>Προσδιορισμός της περιεκτικότητας σε κύτταρα</w:t>
            </w:r>
          </w:p>
        </w:tc>
        <w:tc>
          <w:tcPr>
            <w:tcW w:w="2407" w:type="dxa"/>
          </w:tcPr>
          <w:p w14:paraId="2ACA8349" w14:textId="77777777" w:rsidR="00D81FFD" w:rsidRPr="004C1B7F" w:rsidRDefault="00D81FFD" w:rsidP="00D81FFD">
            <w:pPr>
              <w:rPr>
                <w:rFonts w:cstheme="minorHAnsi"/>
                <w:b/>
                <w:sz w:val="24"/>
                <w:szCs w:val="24"/>
              </w:rPr>
            </w:pPr>
            <w:r w:rsidRPr="004C1B7F">
              <w:rPr>
                <w:rFonts w:cstheme="minorHAnsi"/>
                <w:b/>
                <w:sz w:val="24"/>
              </w:rPr>
              <w:t>Προσδιορισμός της περιεκτικότητας σε κατάλοιπα αντιβιοτικών</w:t>
            </w:r>
          </w:p>
        </w:tc>
      </w:tr>
      <w:tr w:rsidR="00D81FFD" w:rsidRPr="004C1B7F" w14:paraId="0CDC8AB3" w14:textId="77777777" w:rsidTr="00D81FFD">
        <w:tc>
          <w:tcPr>
            <w:tcW w:w="2407" w:type="dxa"/>
          </w:tcPr>
          <w:p w14:paraId="50DDB5D7" w14:textId="77777777" w:rsidR="00D81FFD" w:rsidRPr="004C1B7F" w:rsidRDefault="00D81FFD" w:rsidP="00D81FFD">
            <w:pPr>
              <w:rPr>
                <w:rFonts w:cstheme="minorHAnsi"/>
                <w:b/>
                <w:sz w:val="24"/>
                <w:szCs w:val="24"/>
              </w:rPr>
            </w:pPr>
            <w:r w:rsidRPr="004C1B7F">
              <w:rPr>
                <w:rFonts w:cstheme="minorHAnsi"/>
                <w:b/>
                <w:sz w:val="24"/>
              </w:rPr>
              <w:t>Συχνότητα υπό ενισχυμένη εποπτεία</w:t>
            </w:r>
          </w:p>
        </w:tc>
        <w:tc>
          <w:tcPr>
            <w:tcW w:w="2407" w:type="dxa"/>
          </w:tcPr>
          <w:p w14:paraId="6495C741" w14:textId="77777777" w:rsidR="00D81FFD" w:rsidRPr="004C1B7F" w:rsidRDefault="00D81FFD" w:rsidP="00D81FFD">
            <w:pPr>
              <w:rPr>
                <w:rFonts w:cstheme="minorHAnsi"/>
                <w:sz w:val="24"/>
                <w:szCs w:val="24"/>
              </w:rPr>
            </w:pPr>
            <w:r w:rsidRPr="004C1B7F">
              <w:rPr>
                <w:rFonts w:cstheme="minorHAnsi"/>
                <w:sz w:val="24"/>
              </w:rPr>
              <w:t>1 φορά εβδομαδιαίως</w:t>
            </w:r>
          </w:p>
        </w:tc>
        <w:tc>
          <w:tcPr>
            <w:tcW w:w="2407" w:type="dxa"/>
          </w:tcPr>
          <w:p w14:paraId="6109F3C2" w14:textId="77777777" w:rsidR="00D81FFD" w:rsidRPr="004C1B7F" w:rsidRDefault="00D81FFD" w:rsidP="00D81FFD">
            <w:pPr>
              <w:rPr>
                <w:rFonts w:cstheme="minorHAnsi"/>
                <w:sz w:val="24"/>
                <w:szCs w:val="24"/>
              </w:rPr>
            </w:pPr>
            <w:r w:rsidRPr="004C1B7F">
              <w:rPr>
                <w:rFonts w:cstheme="minorHAnsi"/>
                <w:sz w:val="24"/>
              </w:rPr>
              <w:t>1 φορά εβδομαδιαίως</w:t>
            </w:r>
          </w:p>
        </w:tc>
        <w:tc>
          <w:tcPr>
            <w:tcW w:w="2407" w:type="dxa"/>
          </w:tcPr>
          <w:p w14:paraId="55D94FF0" w14:textId="77777777" w:rsidR="00D81FFD" w:rsidRPr="004C1B7F" w:rsidRDefault="00D81FFD" w:rsidP="00D81FFD">
            <w:pPr>
              <w:rPr>
                <w:rFonts w:cstheme="minorHAnsi"/>
                <w:sz w:val="24"/>
                <w:szCs w:val="24"/>
              </w:rPr>
            </w:pPr>
            <w:r w:rsidRPr="004C1B7F">
              <w:rPr>
                <w:rFonts w:cstheme="minorHAnsi"/>
                <w:sz w:val="24"/>
              </w:rPr>
              <w:t>1 φορά κάθε τέσσερις εβδομάδες</w:t>
            </w:r>
          </w:p>
        </w:tc>
      </w:tr>
    </w:tbl>
    <w:p w14:paraId="03C1A6B5" w14:textId="77777777" w:rsidR="00D81FFD" w:rsidRPr="004C1B7F" w:rsidRDefault="00D81FFD" w:rsidP="00D81FFD">
      <w:pPr>
        <w:rPr>
          <w:rFonts w:cstheme="minorHAnsi"/>
          <w:sz w:val="24"/>
          <w:szCs w:val="24"/>
        </w:rPr>
      </w:pPr>
    </w:p>
    <w:p w14:paraId="372531A4" w14:textId="14E74DFD" w:rsidR="00D81FFD" w:rsidRPr="004C1B7F" w:rsidRDefault="00F80EAE" w:rsidP="00F80EAE">
      <w:pPr>
        <w:rPr>
          <w:rFonts w:cstheme="minorHAnsi"/>
          <w:sz w:val="24"/>
          <w:szCs w:val="24"/>
        </w:rPr>
      </w:pPr>
      <w:r w:rsidRPr="004C1B7F">
        <w:rPr>
          <w:rFonts w:cstheme="minorHAnsi"/>
          <w:sz w:val="24"/>
        </w:rPr>
        <w:t>Μετά την ανίχνευση καταλοίπων αντιβιοτικών που υπερβαίνουν το ανώτατο όριο καταλοίπων για την εν λόγω ουσία, η εξέταση επαναλαμβάνεται εβδομαδιαίως για τις επόμενες τέσσερις εβδομάδες».</w:t>
      </w:r>
    </w:p>
    <w:p w14:paraId="28EE29C9" w14:textId="77777777" w:rsidR="000F0A3C" w:rsidRPr="004C1B7F" w:rsidRDefault="000F0A3C" w:rsidP="00F80EAE">
      <w:pPr>
        <w:rPr>
          <w:rFonts w:cstheme="minorHAnsi"/>
          <w:sz w:val="24"/>
          <w:szCs w:val="24"/>
        </w:rPr>
      </w:pPr>
    </w:p>
    <w:p w14:paraId="53C5C941" w14:textId="77777777" w:rsidR="000F0A3C" w:rsidRPr="004C1B7F" w:rsidRDefault="000F0A3C" w:rsidP="00F80EAE">
      <w:pPr>
        <w:rPr>
          <w:rFonts w:cstheme="minorHAnsi"/>
          <w:sz w:val="24"/>
          <w:szCs w:val="24"/>
        </w:rPr>
      </w:pPr>
    </w:p>
    <w:p w14:paraId="65C69628" w14:textId="77777777" w:rsidR="000F0A3C" w:rsidRPr="004C1B7F" w:rsidRDefault="000F0A3C" w:rsidP="000F0A3C">
      <w:pPr>
        <w:jc w:val="center"/>
        <w:rPr>
          <w:rFonts w:cstheme="minorHAnsi"/>
          <w:b/>
          <w:sz w:val="24"/>
          <w:szCs w:val="24"/>
        </w:rPr>
      </w:pPr>
      <w:r w:rsidRPr="004C1B7F">
        <w:rPr>
          <w:rFonts w:cstheme="minorHAnsi"/>
          <w:b/>
          <w:sz w:val="24"/>
        </w:rPr>
        <w:t>Τμήμα 2</w:t>
      </w:r>
    </w:p>
    <w:p w14:paraId="0E7B6AAE" w14:textId="77777777" w:rsidR="0015460A" w:rsidRPr="004C1B7F" w:rsidRDefault="0015460A" w:rsidP="000F0A3C">
      <w:pPr>
        <w:rPr>
          <w:rFonts w:cstheme="minorHAnsi"/>
          <w:sz w:val="24"/>
          <w:szCs w:val="24"/>
        </w:rPr>
      </w:pPr>
      <w:r w:rsidRPr="004C1B7F">
        <w:rPr>
          <w:rFonts w:cstheme="minorHAnsi"/>
          <w:i/>
          <w:sz w:val="24"/>
        </w:rPr>
        <w:t xml:space="preserve">1) </w:t>
      </w:r>
      <w:r w:rsidRPr="004C1B7F">
        <w:rPr>
          <w:rFonts w:cstheme="minorHAnsi"/>
          <w:sz w:val="24"/>
        </w:rPr>
        <w:t xml:space="preserve">Το παρόν διάταγμα τίθεται σε ισχύ την 1η Ιανουαρίου 2022. </w:t>
      </w:r>
    </w:p>
    <w:p w14:paraId="2FB84923" w14:textId="77777777" w:rsidR="000F0A3C" w:rsidRPr="004C1B7F" w:rsidRDefault="0015460A" w:rsidP="000F0A3C">
      <w:pPr>
        <w:rPr>
          <w:rFonts w:cstheme="minorHAnsi"/>
          <w:sz w:val="24"/>
          <w:szCs w:val="24"/>
        </w:rPr>
      </w:pPr>
      <w:r w:rsidRPr="004C1B7F">
        <w:rPr>
          <w:rFonts w:cstheme="minorHAnsi"/>
          <w:i/>
          <w:sz w:val="24"/>
        </w:rPr>
        <w:t xml:space="preserve">2) </w:t>
      </w:r>
      <w:r w:rsidRPr="004C1B7F">
        <w:rPr>
          <w:rFonts w:cstheme="minorHAnsi"/>
          <w:sz w:val="24"/>
        </w:rPr>
        <w:t>Το διάταγμα αριθ. 497 της 23ης Μαρτίου 2021 σχετικά με την υγιεινή των τροφίμων καταργείται.</w:t>
      </w:r>
    </w:p>
    <w:sectPr w:rsidR="000F0A3C" w:rsidRPr="004C1B7F" w:rsidSect="00D81FF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43619" w14:textId="77777777" w:rsidR="00DF03E5" w:rsidRDefault="00DF03E5" w:rsidP="00A50188">
      <w:pPr>
        <w:spacing w:after="0" w:line="240" w:lineRule="auto"/>
      </w:pPr>
      <w:r>
        <w:separator/>
      </w:r>
    </w:p>
  </w:endnote>
  <w:endnote w:type="continuationSeparator" w:id="0">
    <w:p w14:paraId="008428C2" w14:textId="77777777" w:rsidR="00DF03E5" w:rsidRDefault="00DF03E5" w:rsidP="00A5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21A66" w14:textId="77777777" w:rsidR="00DF03E5" w:rsidRDefault="00DF03E5" w:rsidP="00A50188">
      <w:pPr>
        <w:spacing w:after="0" w:line="240" w:lineRule="auto"/>
      </w:pPr>
      <w:r>
        <w:separator/>
      </w:r>
    </w:p>
  </w:footnote>
  <w:footnote w:type="continuationSeparator" w:id="0">
    <w:p w14:paraId="41691DB3" w14:textId="77777777" w:rsidR="00DF03E5" w:rsidRDefault="00DF03E5" w:rsidP="00A50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9"/>
    <w:rsid w:val="00043C9D"/>
    <w:rsid w:val="00053863"/>
    <w:rsid w:val="00060FC9"/>
    <w:rsid w:val="000F0A3C"/>
    <w:rsid w:val="0015460A"/>
    <w:rsid w:val="001D7D66"/>
    <w:rsid w:val="001E4D7D"/>
    <w:rsid w:val="002147AD"/>
    <w:rsid w:val="002A2AC6"/>
    <w:rsid w:val="002E7540"/>
    <w:rsid w:val="003101AF"/>
    <w:rsid w:val="00315D7E"/>
    <w:rsid w:val="0031683F"/>
    <w:rsid w:val="00331B89"/>
    <w:rsid w:val="00337092"/>
    <w:rsid w:val="00340D26"/>
    <w:rsid w:val="00345694"/>
    <w:rsid w:val="00370DEF"/>
    <w:rsid w:val="003A0A26"/>
    <w:rsid w:val="003A7D73"/>
    <w:rsid w:val="00401EFA"/>
    <w:rsid w:val="004C1B7F"/>
    <w:rsid w:val="004D3390"/>
    <w:rsid w:val="00536C63"/>
    <w:rsid w:val="00547B2F"/>
    <w:rsid w:val="0059020A"/>
    <w:rsid w:val="00606DB6"/>
    <w:rsid w:val="006E1949"/>
    <w:rsid w:val="00745CF7"/>
    <w:rsid w:val="007471C9"/>
    <w:rsid w:val="00770E03"/>
    <w:rsid w:val="007C370C"/>
    <w:rsid w:val="007F718C"/>
    <w:rsid w:val="0085737E"/>
    <w:rsid w:val="008A2A56"/>
    <w:rsid w:val="008B2F9D"/>
    <w:rsid w:val="00941AEB"/>
    <w:rsid w:val="009D7E07"/>
    <w:rsid w:val="009E01F3"/>
    <w:rsid w:val="009E59CB"/>
    <w:rsid w:val="00A05302"/>
    <w:rsid w:val="00A274CC"/>
    <w:rsid w:val="00A50188"/>
    <w:rsid w:val="00A81BB2"/>
    <w:rsid w:val="00AB3DB0"/>
    <w:rsid w:val="00AC66E3"/>
    <w:rsid w:val="00AD6948"/>
    <w:rsid w:val="00AD70F9"/>
    <w:rsid w:val="00B25764"/>
    <w:rsid w:val="00B30803"/>
    <w:rsid w:val="00B829C9"/>
    <w:rsid w:val="00BE4F33"/>
    <w:rsid w:val="00C630C9"/>
    <w:rsid w:val="00C71862"/>
    <w:rsid w:val="00C84738"/>
    <w:rsid w:val="00CC7E48"/>
    <w:rsid w:val="00CD091A"/>
    <w:rsid w:val="00D138BD"/>
    <w:rsid w:val="00D16219"/>
    <w:rsid w:val="00D81FFD"/>
    <w:rsid w:val="00DA3397"/>
    <w:rsid w:val="00DF03E5"/>
    <w:rsid w:val="00E0416A"/>
    <w:rsid w:val="00E80038"/>
    <w:rsid w:val="00E9538F"/>
    <w:rsid w:val="00EF0C4F"/>
    <w:rsid w:val="00F1590B"/>
    <w:rsid w:val="00F15D67"/>
    <w:rsid w:val="00F5325A"/>
    <w:rsid w:val="00F80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DD0C"/>
  <w15:chartTrackingRefBased/>
  <w15:docId w15:val="{DD8C494C-9BBB-4BAB-92FF-3A523981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91A"/>
    <w:rPr>
      <w:rFonts w:ascii="Segoe UI" w:hAnsi="Segoe UI" w:cs="Segoe UI"/>
      <w:sz w:val="18"/>
      <w:szCs w:val="18"/>
    </w:rPr>
  </w:style>
  <w:style w:type="paragraph" w:customStyle="1" w:styleId="paragrafgruppeoverskrift">
    <w:name w:val="paragrafgruppeoverskrift"/>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CD091A"/>
  </w:style>
  <w:style w:type="paragraph" w:customStyle="1" w:styleId="paragraf">
    <w:name w:val="paragraf"/>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CD091A"/>
  </w:style>
  <w:style w:type="paragraph" w:customStyle="1" w:styleId="stk2">
    <w:name w:val="stk2"/>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CD091A"/>
  </w:style>
  <w:style w:type="character" w:styleId="CommentReference">
    <w:name w:val="annotation reference"/>
    <w:basedOn w:val="DefaultParagraphFont"/>
    <w:uiPriority w:val="99"/>
    <w:semiHidden/>
    <w:unhideWhenUsed/>
    <w:rsid w:val="00B25764"/>
    <w:rPr>
      <w:sz w:val="16"/>
      <w:szCs w:val="16"/>
    </w:rPr>
  </w:style>
  <w:style w:type="paragraph" w:styleId="CommentText">
    <w:name w:val="annotation text"/>
    <w:basedOn w:val="Normal"/>
    <w:link w:val="CommentTextChar"/>
    <w:uiPriority w:val="99"/>
    <w:semiHidden/>
    <w:unhideWhenUsed/>
    <w:rsid w:val="00B25764"/>
    <w:pPr>
      <w:spacing w:line="240" w:lineRule="auto"/>
    </w:pPr>
    <w:rPr>
      <w:sz w:val="20"/>
      <w:szCs w:val="20"/>
    </w:rPr>
  </w:style>
  <w:style w:type="character" w:customStyle="1" w:styleId="CommentTextChar">
    <w:name w:val="Comment Text Char"/>
    <w:basedOn w:val="DefaultParagraphFont"/>
    <w:link w:val="CommentText"/>
    <w:uiPriority w:val="99"/>
    <w:semiHidden/>
    <w:rsid w:val="00B25764"/>
    <w:rPr>
      <w:sz w:val="20"/>
      <w:szCs w:val="20"/>
    </w:rPr>
  </w:style>
  <w:style w:type="paragraph" w:styleId="CommentSubject">
    <w:name w:val="annotation subject"/>
    <w:basedOn w:val="CommentText"/>
    <w:next w:val="CommentText"/>
    <w:link w:val="CommentSubjectChar"/>
    <w:uiPriority w:val="99"/>
    <w:semiHidden/>
    <w:unhideWhenUsed/>
    <w:rsid w:val="00B25764"/>
    <w:rPr>
      <w:b/>
      <w:bCs/>
    </w:rPr>
  </w:style>
  <w:style w:type="character" w:customStyle="1" w:styleId="CommentSubjectChar">
    <w:name w:val="Comment Subject Char"/>
    <w:basedOn w:val="CommentTextChar"/>
    <w:link w:val="CommentSubject"/>
    <w:uiPriority w:val="99"/>
    <w:semiHidden/>
    <w:rsid w:val="00B25764"/>
    <w:rPr>
      <w:b/>
      <w:bCs/>
      <w:sz w:val="20"/>
      <w:szCs w:val="20"/>
    </w:rPr>
  </w:style>
  <w:style w:type="paragraph" w:styleId="Revision">
    <w:name w:val="Revision"/>
    <w:hidden/>
    <w:uiPriority w:val="99"/>
    <w:semiHidden/>
    <w:rsid w:val="002E7540"/>
    <w:pPr>
      <w:spacing w:after="0" w:line="240" w:lineRule="auto"/>
    </w:pPr>
  </w:style>
  <w:style w:type="table" w:styleId="TableGrid">
    <w:name w:val="Table Grid"/>
    <w:basedOn w:val="TableNormal"/>
    <w:uiPriority w:val="39"/>
    <w:rsid w:val="00D8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1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0188"/>
  </w:style>
  <w:style w:type="paragraph" w:styleId="Footer">
    <w:name w:val="footer"/>
    <w:basedOn w:val="Normal"/>
    <w:link w:val="FooterChar"/>
    <w:uiPriority w:val="99"/>
    <w:unhideWhenUsed/>
    <w:rsid w:val="00A501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1144</Words>
  <Characters>6526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Sørensen</dc:creator>
  <cp:keywords/>
  <dc:description/>
  <cp:lastModifiedBy>Liana Brili</cp:lastModifiedBy>
  <cp:revision>7</cp:revision>
  <cp:lastPrinted>2021-06-23T14:05:00Z</cp:lastPrinted>
  <dcterms:created xsi:type="dcterms:W3CDTF">2021-08-11T06:31:00Z</dcterms:created>
  <dcterms:modified xsi:type="dcterms:W3CDTF">2021-08-19T09:13:00Z</dcterms:modified>
</cp:coreProperties>
</file>