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8F20" w14:textId="77777777" w:rsidR="00F15D67" w:rsidRPr="006F10D4" w:rsidRDefault="00F15D67" w:rsidP="00F1590B">
      <w:pPr>
        <w:jc w:val="center"/>
        <w:rPr>
          <w:rFonts w:cstheme="minorHAnsi"/>
          <w:sz w:val="24"/>
          <w:szCs w:val="24"/>
        </w:rPr>
      </w:pPr>
      <w:r w:rsidRPr="006F10D4">
        <w:rPr>
          <w:rFonts w:cstheme="minorHAnsi"/>
          <w:sz w:val="24"/>
        </w:rPr>
        <w:t>Despacho que altera o despacho relativo à higiene dos géneros alimentícios</w:t>
      </w:r>
    </w:p>
    <w:p w14:paraId="46616DFB" w14:textId="77777777" w:rsidR="00F15D67" w:rsidRPr="006F10D4" w:rsidRDefault="00F15D67" w:rsidP="00F1590B">
      <w:pPr>
        <w:jc w:val="center"/>
        <w:rPr>
          <w:rFonts w:cstheme="minorHAnsi"/>
          <w:sz w:val="24"/>
          <w:szCs w:val="24"/>
        </w:rPr>
      </w:pPr>
    </w:p>
    <w:p w14:paraId="22C5083B" w14:textId="77777777" w:rsidR="00F1590B" w:rsidRPr="006F10D4" w:rsidRDefault="0015460A" w:rsidP="00F1590B">
      <w:pPr>
        <w:jc w:val="center"/>
        <w:rPr>
          <w:rFonts w:cstheme="minorHAnsi"/>
          <w:b/>
          <w:sz w:val="24"/>
          <w:szCs w:val="24"/>
        </w:rPr>
      </w:pPr>
      <w:r w:rsidRPr="006F10D4">
        <w:rPr>
          <w:rFonts w:cstheme="minorHAnsi"/>
          <w:b/>
          <w:sz w:val="24"/>
        </w:rPr>
        <w:t>Secção 1</w:t>
      </w:r>
    </w:p>
    <w:p w14:paraId="7BD9954C" w14:textId="77777777" w:rsidR="00F15D67" w:rsidRPr="006F10D4" w:rsidRDefault="00F1590B">
      <w:pPr>
        <w:rPr>
          <w:rFonts w:cstheme="minorHAnsi"/>
          <w:sz w:val="24"/>
          <w:szCs w:val="24"/>
        </w:rPr>
      </w:pPr>
      <w:r w:rsidRPr="006F10D4">
        <w:rPr>
          <w:rFonts w:cstheme="minorHAnsi"/>
          <w:sz w:val="24"/>
        </w:rPr>
        <w:t>O Despacho n.º 497, de 23 de março de 2021, relativo à higiene dos géneros alimentícios é alterado do seguinte modo:</w:t>
      </w:r>
    </w:p>
    <w:p w14:paraId="65418AF4" w14:textId="77777777" w:rsidR="00F15D67" w:rsidRPr="006F10D4" w:rsidRDefault="00A50188">
      <w:pPr>
        <w:rPr>
          <w:rFonts w:cstheme="minorHAnsi"/>
          <w:sz w:val="24"/>
          <w:szCs w:val="24"/>
        </w:rPr>
      </w:pPr>
      <w:r w:rsidRPr="006F10D4">
        <w:rPr>
          <w:rFonts w:cstheme="minorHAnsi"/>
          <w:b/>
          <w:sz w:val="24"/>
        </w:rPr>
        <w:t>1</w:t>
      </w:r>
      <w:r w:rsidRPr="006F10D4">
        <w:rPr>
          <w:rFonts w:cstheme="minorHAnsi"/>
          <w:i/>
          <w:sz w:val="24"/>
        </w:rPr>
        <w:t>. Secção 15</w:t>
      </w:r>
      <w:r w:rsidRPr="006F10D4">
        <w:rPr>
          <w:rFonts w:cstheme="minorHAnsi"/>
          <w:sz w:val="24"/>
        </w:rPr>
        <w:t xml:space="preserve"> tem a seguinte redação:</w:t>
      </w:r>
    </w:p>
    <w:p w14:paraId="1E7CA6B5" w14:textId="29BEC0DD" w:rsidR="00315D7E" w:rsidRPr="006F10D4" w:rsidRDefault="002147AD">
      <w:pPr>
        <w:rPr>
          <w:rFonts w:cstheme="minorHAnsi"/>
          <w:sz w:val="24"/>
          <w:szCs w:val="24"/>
        </w:rPr>
      </w:pPr>
      <w:r w:rsidRPr="006F10D4">
        <w:rPr>
          <w:rStyle w:val="paragrafnr"/>
          <w:rFonts w:cstheme="minorHAnsi"/>
          <w:b/>
          <w:color w:val="212529"/>
          <w:sz w:val="24"/>
        </w:rPr>
        <w:t>»</w:t>
      </w:r>
      <w:r w:rsidRPr="006F10D4">
        <w:rPr>
          <w:rFonts w:cstheme="minorHAnsi"/>
          <w:b/>
          <w:sz w:val="24"/>
        </w:rPr>
        <w:t>Secção 15</w:t>
      </w:r>
      <w:r w:rsidRPr="006F10D4">
        <w:rPr>
          <w:rFonts w:cstheme="minorHAnsi"/>
          <w:sz w:val="24"/>
        </w:rPr>
        <w:t xml:space="preserve"> Leite cru colocado no mercado de cada produtor primário deve cumprir os critérios de contagem de células e contagem em placas estabelecidos no Regulamento Higiene para os alimentos de origem animal, tal como estabelecido no anexo III, secção IX, capítulo I, parte III, ponto 3.</w:t>
      </w:r>
    </w:p>
    <w:p w14:paraId="2F142F18" w14:textId="77777777" w:rsidR="00053863" w:rsidRPr="006F10D4" w:rsidRDefault="00331B89" w:rsidP="00337092">
      <w:pPr>
        <w:pStyle w:val="paragraf"/>
        <w:shd w:val="clear" w:color="auto" w:fill="F9F9FB"/>
        <w:spacing w:before="200" w:beforeAutospacing="0" w:after="0" w:afterAutospacing="0"/>
        <w:rPr>
          <w:rFonts w:asciiTheme="minorHAnsi" w:hAnsiTheme="minorHAnsi" w:cstheme="minorHAnsi"/>
          <w:color w:val="212529"/>
        </w:rPr>
      </w:pPr>
      <w:r w:rsidRPr="006F10D4">
        <w:rPr>
          <w:rFonts w:asciiTheme="minorHAnsi" w:hAnsiTheme="minorHAnsi" w:cstheme="minorHAnsi"/>
          <w:i/>
        </w:rPr>
        <w:t>(2)</w:t>
      </w:r>
      <w:r w:rsidRPr="006F10D4">
        <w:rPr>
          <w:rFonts w:asciiTheme="minorHAnsi" w:hAnsiTheme="minorHAnsi" w:cstheme="minorHAnsi"/>
        </w:rPr>
        <w:t xml:space="preserve"> Se o leite cru não preencher os critérios de contagem de células ou contagem em placas referidos na subsecção 1, o produtor primário deve tomar as medidas necessárias para corrigir as deficiências e informar imediatamente o comprador do leite de que o leite não cumpre os critérios de contagem de células ou contagem em placas.</w:t>
      </w:r>
      <w:r w:rsidRPr="006F10D4">
        <w:rPr>
          <w:rFonts w:asciiTheme="minorHAnsi" w:hAnsiTheme="minorHAnsi" w:cstheme="minorHAnsi"/>
          <w:color w:val="212529"/>
        </w:rPr>
        <w:t xml:space="preserve"> Até que o critério ultrapassado seja novamente preenchido, o leite só pode ser utilizado para a produção de queijos com um período mínimo de cura de 60 dias e de produtos lácteos produzidos no âmbito do fabrico desses queijos.</w:t>
      </w:r>
    </w:p>
    <w:p w14:paraId="345F6E2E" w14:textId="77777777" w:rsidR="002A2AC6" w:rsidRPr="006F10D4" w:rsidRDefault="002A2AC6" w:rsidP="00CD091A">
      <w:pPr>
        <w:rPr>
          <w:rFonts w:cstheme="minorHAnsi"/>
          <w:sz w:val="24"/>
          <w:szCs w:val="24"/>
        </w:rPr>
      </w:pPr>
    </w:p>
    <w:p w14:paraId="4C12B8F8" w14:textId="45DA7124" w:rsidR="000F0A3C" w:rsidRPr="006F10D4" w:rsidRDefault="00331B89" w:rsidP="00CD091A">
      <w:pPr>
        <w:rPr>
          <w:rFonts w:cstheme="minorHAnsi"/>
          <w:sz w:val="24"/>
          <w:szCs w:val="24"/>
        </w:rPr>
      </w:pPr>
      <w:r w:rsidRPr="006F10D4">
        <w:rPr>
          <w:rFonts w:cstheme="minorHAnsi"/>
          <w:i/>
          <w:sz w:val="24"/>
        </w:rPr>
        <w:t>(3).</w:t>
      </w:r>
      <w:r w:rsidRPr="006F10D4">
        <w:rPr>
          <w:rFonts w:cstheme="minorHAnsi"/>
          <w:sz w:val="24"/>
        </w:rPr>
        <w:t xml:space="preserve"> Se o leite cru não cumprir os critérios relativos à contagem de células ou ao teor bacteriológico especificados no n.º 1 num prazo de 3 meses após a primeira instância de não cumprimento, o produtor primário deve suspender a colocação no mercado de leite cru da exploração. A colocação no mercado só pode ser retomada se o leite satisfizer os critérios referidos na subsecção 1. Os resultados de amostras representativas colhidas com a frequência habitualmente utilizada antes da superação do critério devem estar disponíveis que demonstrem que o leite cumpre os critérios. O produtor primário deve informar a Administração Veterinária e Alimentar Dinamarquesa se a comercialização de leite cru é interrompida e se a comercialização de leite cru é retomada sob supervisão reforçada, ver secção 16.</w:t>
      </w:r>
      <w:r w:rsidRPr="006F10D4">
        <w:rPr>
          <w:rFonts w:cstheme="minorHAnsi"/>
          <w:color w:val="212529"/>
        </w:rPr>
        <w:t>»</w:t>
      </w:r>
    </w:p>
    <w:p w14:paraId="054EEF45" w14:textId="77777777" w:rsidR="002A2AC6" w:rsidRPr="006F10D4" w:rsidRDefault="002A2AC6" w:rsidP="00CD091A">
      <w:pPr>
        <w:rPr>
          <w:rFonts w:cstheme="minorHAnsi"/>
          <w:b/>
          <w:sz w:val="24"/>
          <w:szCs w:val="24"/>
        </w:rPr>
      </w:pPr>
    </w:p>
    <w:p w14:paraId="403DD021" w14:textId="77777777" w:rsidR="00F1590B" w:rsidRPr="006F10D4" w:rsidRDefault="00A50188" w:rsidP="00CD091A">
      <w:pPr>
        <w:rPr>
          <w:rFonts w:cstheme="minorHAnsi"/>
          <w:sz w:val="24"/>
          <w:szCs w:val="24"/>
        </w:rPr>
      </w:pPr>
      <w:r w:rsidRPr="006F10D4">
        <w:rPr>
          <w:rFonts w:cstheme="minorHAnsi"/>
          <w:b/>
          <w:sz w:val="24"/>
        </w:rPr>
        <w:t>2.</w:t>
      </w:r>
      <w:r w:rsidRPr="006F10D4">
        <w:rPr>
          <w:rFonts w:cstheme="minorHAnsi"/>
          <w:sz w:val="24"/>
        </w:rPr>
        <w:t xml:space="preserve"> </w:t>
      </w:r>
      <w:r w:rsidRPr="006F10D4">
        <w:rPr>
          <w:rFonts w:cstheme="minorHAnsi"/>
          <w:i/>
          <w:sz w:val="24"/>
        </w:rPr>
        <w:t xml:space="preserve">Secção 16 </w:t>
      </w:r>
      <w:r w:rsidRPr="006F10D4">
        <w:rPr>
          <w:rFonts w:cstheme="minorHAnsi"/>
          <w:sz w:val="24"/>
        </w:rPr>
        <w:t>deve ter a seguinte redação:</w:t>
      </w:r>
    </w:p>
    <w:p w14:paraId="1E666652" w14:textId="77777777" w:rsidR="00CD091A" w:rsidRPr="006F10D4" w:rsidRDefault="00337092" w:rsidP="00547B2F">
      <w:pPr>
        <w:rPr>
          <w:rFonts w:cstheme="minorHAnsi"/>
          <w:color w:val="212529"/>
          <w:sz w:val="24"/>
          <w:szCs w:val="24"/>
        </w:rPr>
      </w:pPr>
      <w:r w:rsidRPr="006F10D4">
        <w:rPr>
          <w:rStyle w:val="paragrafnr"/>
          <w:rFonts w:cstheme="minorHAnsi"/>
          <w:b/>
          <w:color w:val="212529"/>
          <w:sz w:val="24"/>
        </w:rPr>
        <w:t>Secção 16.</w:t>
      </w:r>
      <w:r w:rsidRPr="006F10D4">
        <w:rPr>
          <w:rFonts w:cstheme="minorHAnsi"/>
          <w:color w:val="212529"/>
          <w:sz w:val="24"/>
        </w:rPr>
        <w:t> Contudo, independentemente do artigo 14.º, n.º 3, o produtor primário pode colocar no mercado leite de vaca cru por um período com uma supervisão mais rigorosa do critério excedido em questão após, pelo menos, uma amostra individual representativa ter demonstrado que a contagem de células do leite a granel não é superior a 400 000 células/ml ou que o teor bacteriológico do leite a granel não é superior a 100 000 ufc/ml. Até que o critério seja novamente ultrapassado, o leite só pode ser utilizado para a produção de queijos com um período mínimo de cura de 60 dias</w:t>
      </w:r>
      <w:r w:rsidRPr="006F10D4">
        <w:rPr>
          <w:rFonts w:cstheme="minorHAnsi"/>
          <w:color w:val="212529"/>
        </w:rPr>
        <w:t xml:space="preserve"> e de produtos lácteos produzidos no âmbito do fabrico desses queijos</w:t>
      </w:r>
      <w:r w:rsidRPr="006F10D4">
        <w:rPr>
          <w:rFonts w:cstheme="minorHAnsi"/>
          <w:color w:val="212529"/>
          <w:sz w:val="24"/>
        </w:rPr>
        <w:t>.</w:t>
      </w:r>
    </w:p>
    <w:p w14:paraId="59701395" w14:textId="77777777" w:rsidR="00AB3DB0" w:rsidRPr="006F10D4" w:rsidRDefault="00B25764" w:rsidP="00337092">
      <w:pPr>
        <w:pStyle w:val="paragraf"/>
        <w:shd w:val="clear" w:color="auto" w:fill="F9F9FB"/>
        <w:spacing w:before="200" w:beforeAutospacing="0" w:after="0" w:afterAutospacing="0"/>
        <w:rPr>
          <w:rFonts w:asciiTheme="minorHAnsi" w:hAnsiTheme="minorHAnsi" w:cstheme="minorHAnsi"/>
          <w:color w:val="212529"/>
        </w:rPr>
      </w:pPr>
      <w:r w:rsidRPr="006F10D4">
        <w:rPr>
          <w:rFonts w:asciiTheme="minorHAnsi" w:hAnsiTheme="minorHAnsi" w:cstheme="minorHAnsi"/>
          <w:i/>
          <w:color w:val="212529"/>
        </w:rPr>
        <w:t>(2).</w:t>
      </w:r>
      <w:r w:rsidRPr="006F10D4">
        <w:rPr>
          <w:rFonts w:asciiTheme="minorHAnsi" w:hAnsiTheme="minorHAnsi" w:cstheme="minorHAnsi"/>
          <w:color w:val="212529"/>
        </w:rPr>
        <w:t xml:space="preserve"> No entanto, se o leite for testado para a contagem de células e a contagem em placas em cada recolha de leite de vaca cru, e se tal for também de rotina antes do início do período de vigilância reforçada, o leite a partir do qual é colhida a amostra representativa individual referida na subsecção 1 pode ser colhido e utilizado para a produção de queijos com um período mínimo de maturação de 60 dias e de produtos lácteos produzidos no fabrico desses queijos.</w:t>
      </w:r>
    </w:p>
    <w:p w14:paraId="3BAC1305" w14:textId="77777777" w:rsidR="00770E03" w:rsidRPr="006F10D4" w:rsidRDefault="00770E03" w:rsidP="00337092">
      <w:pPr>
        <w:pStyle w:val="stk2"/>
        <w:shd w:val="clear" w:color="auto" w:fill="F9F9FB"/>
        <w:spacing w:before="0" w:beforeAutospacing="0" w:after="0" w:afterAutospacing="0"/>
        <w:rPr>
          <w:rStyle w:val="stknr"/>
          <w:rFonts w:asciiTheme="minorHAnsi" w:hAnsiTheme="minorHAnsi" w:cstheme="minorHAnsi"/>
          <w:i/>
          <w:iCs/>
          <w:color w:val="212529"/>
        </w:rPr>
      </w:pPr>
    </w:p>
    <w:p w14:paraId="53628321" w14:textId="77777777" w:rsidR="00CD091A" w:rsidRPr="006F10D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F10D4">
        <w:rPr>
          <w:rStyle w:val="stknr"/>
          <w:rFonts w:asciiTheme="minorHAnsi" w:hAnsiTheme="minorHAnsi" w:cstheme="minorHAnsi"/>
          <w:i/>
          <w:color w:val="212529"/>
        </w:rPr>
        <w:lastRenderedPageBreak/>
        <w:t>(3)</w:t>
      </w:r>
      <w:r w:rsidRPr="006F10D4">
        <w:rPr>
          <w:rFonts w:asciiTheme="minorHAnsi" w:hAnsiTheme="minorHAnsi" w:cstheme="minorHAnsi"/>
          <w:color w:val="212529"/>
        </w:rPr>
        <w:t xml:space="preserve"> No período com uma supervisão mais rigorosa do critério excedido, o produtor primário só pode colocar no mercado leite de vaca cru após todas as amostras individuais habituais colhidas para análise do critério em questão, de acordo com o artigo 17.º, n.º 1, mostrarem que a contagem de células do leite a granel não é superior a 400 000 células/ml ou que o teor bacteriológico do leite a granel não é superior a 100 000 ufc/ml. Se o controlo reforçado revelar que a contagem de células ou a contagem em placas são ultrapassadas, não pode ser colocado no mercado leite cru de vaca proveniente da exploração.</w:t>
      </w:r>
    </w:p>
    <w:p w14:paraId="054D5A70" w14:textId="77777777" w:rsidR="000F0A3C" w:rsidRPr="006F10D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03933F2D" w14:textId="77777777" w:rsidR="00CD091A" w:rsidRPr="006F10D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F10D4">
        <w:rPr>
          <w:rStyle w:val="stknr"/>
          <w:rFonts w:asciiTheme="minorHAnsi" w:hAnsiTheme="minorHAnsi" w:cstheme="minorHAnsi"/>
          <w:i/>
          <w:color w:val="212529"/>
        </w:rPr>
        <w:t>(4)</w:t>
      </w:r>
      <w:r w:rsidRPr="006F10D4">
        <w:rPr>
          <w:rFonts w:asciiTheme="minorHAnsi" w:hAnsiTheme="minorHAnsi" w:cstheme="minorHAnsi"/>
          <w:color w:val="212529"/>
        </w:rPr>
        <w:t xml:space="preserve"> Durante o período com uma supervisão mais rigorosa, os estabelecimentos que recolhem ou transformam o leite de vaca cru devem informar imediatamente a Administração Veterinária e Alimentar dinamarquesa dos resultados de análises que impliquem a interrupção ou a retomada da colocação no mercado.</w:t>
      </w:r>
    </w:p>
    <w:p w14:paraId="42EB5593" w14:textId="77777777" w:rsidR="000F0A3C" w:rsidRPr="006F10D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593EB308" w14:textId="77777777" w:rsidR="00CD091A" w:rsidRPr="006F10D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F10D4">
        <w:rPr>
          <w:rStyle w:val="stknr"/>
          <w:rFonts w:asciiTheme="minorHAnsi" w:hAnsiTheme="minorHAnsi" w:cstheme="minorHAnsi"/>
          <w:i/>
          <w:color w:val="212529"/>
        </w:rPr>
        <w:t>(5)</w:t>
      </w:r>
      <w:r w:rsidRPr="006F10D4">
        <w:rPr>
          <w:rFonts w:asciiTheme="minorHAnsi" w:hAnsiTheme="minorHAnsi" w:cstheme="minorHAnsi"/>
          <w:color w:val="212529"/>
        </w:rPr>
        <w:t xml:space="preserve"> Os produtores primários de efetivos a partir dos quais o leite cru não é recolhido ou transformado por um estabelecimento na Dinamarca que pretenda colocar leite cru no mercado durante um período de vigilância reforçada, tal como referido na subsecção 1, devem assegurar que as amostras individuais referidas nas subsecções 1-2 são colhidas e analisadas. O produtor primário deve assegurar que a Administração Veterinária e Alimentar Dinamarquesa seja imediatamente informada dos resultados analíticos conducentes à interrupção ou ao reatamento da colocação no mercado.</w:t>
      </w:r>
    </w:p>
    <w:p w14:paraId="55671073" w14:textId="77777777" w:rsidR="002A2AC6" w:rsidRPr="006F10D4" w:rsidRDefault="002A2AC6" w:rsidP="00CD091A">
      <w:pPr>
        <w:pStyle w:val="stk2"/>
        <w:shd w:val="clear" w:color="auto" w:fill="F9F9FB"/>
        <w:spacing w:before="0" w:beforeAutospacing="0" w:after="0" w:afterAutospacing="0"/>
        <w:ind w:firstLine="240"/>
        <w:rPr>
          <w:rFonts w:asciiTheme="minorHAnsi" w:hAnsiTheme="minorHAnsi" w:cstheme="minorHAnsi"/>
          <w:color w:val="212529"/>
        </w:rPr>
      </w:pPr>
    </w:p>
    <w:p w14:paraId="6DEEDDBF" w14:textId="77777777" w:rsidR="00CD091A" w:rsidRPr="006F10D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F10D4">
        <w:rPr>
          <w:rStyle w:val="stknr"/>
          <w:rFonts w:asciiTheme="minorHAnsi" w:hAnsiTheme="minorHAnsi" w:cstheme="minorHAnsi"/>
          <w:i/>
          <w:color w:val="212529"/>
        </w:rPr>
        <w:t>(6)</w:t>
      </w:r>
      <w:r w:rsidRPr="006F10D4">
        <w:rPr>
          <w:rFonts w:asciiTheme="minorHAnsi" w:hAnsiTheme="minorHAnsi" w:cstheme="minorHAnsi"/>
          <w:color w:val="212529"/>
        </w:rPr>
        <w:t xml:space="preserve"> O período com supervisão mais rigorosa termina quando o critério ultrapassado para contagem de células ou contagem bacteriana é novamente cumprido (ver secção 15(1)).</w:t>
      </w:r>
    </w:p>
    <w:p w14:paraId="7FBDDDA5" w14:textId="77777777" w:rsidR="000F0A3C" w:rsidRPr="006F10D4" w:rsidRDefault="000F0A3C" w:rsidP="00CD091A">
      <w:pPr>
        <w:pStyle w:val="stk2"/>
        <w:shd w:val="clear" w:color="auto" w:fill="F9F9FB"/>
        <w:spacing w:before="0" w:beforeAutospacing="0" w:after="0" w:afterAutospacing="0"/>
        <w:ind w:firstLine="240"/>
        <w:rPr>
          <w:rFonts w:asciiTheme="minorHAnsi" w:hAnsiTheme="minorHAnsi" w:cstheme="minorHAnsi"/>
          <w:color w:val="212529"/>
        </w:rPr>
      </w:pPr>
    </w:p>
    <w:p w14:paraId="31ED0D7C" w14:textId="68335AE7" w:rsidR="00CD091A" w:rsidRPr="006F10D4" w:rsidRDefault="00CD091A" w:rsidP="00337092">
      <w:pPr>
        <w:pStyle w:val="stk2"/>
        <w:shd w:val="clear" w:color="auto" w:fill="F9F9FB"/>
        <w:spacing w:before="0" w:beforeAutospacing="0" w:after="0" w:afterAutospacing="0"/>
        <w:rPr>
          <w:rFonts w:asciiTheme="minorHAnsi" w:hAnsiTheme="minorHAnsi" w:cstheme="minorHAnsi"/>
          <w:color w:val="212529"/>
        </w:rPr>
      </w:pPr>
      <w:r w:rsidRPr="006F10D4">
        <w:rPr>
          <w:rStyle w:val="stknr"/>
          <w:rFonts w:asciiTheme="minorHAnsi" w:hAnsiTheme="minorHAnsi" w:cstheme="minorHAnsi"/>
          <w:i/>
          <w:color w:val="212529"/>
        </w:rPr>
        <w:t>(7)</w:t>
      </w:r>
      <w:r w:rsidRPr="006F10D4">
        <w:rPr>
          <w:rFonts w:asciiTheme="minorHAnsi" w:hAnsiTheme="minorHAnsi" w:cstheme="minorHAnsi"/>
          <w:color w:val="212529"/>
        </w:rPr>
        <w:t xml:space="preserve"> O período de supervisão reforçada não deve exceder 60 dias. Se os critérios especificados no artigo 15.º, n.º 1, não forem cumpridos no prazo de 60 dias com um controlo mais rigoroso, o produtor primário deve cessar a comercialização de leite cru proveniente da exploração. A colocação no mercado só pode ser retomada se o leite satisfizer novamente os critérios para o leite cru.»</w:t>
      </w:r>
    </w:p>
    <w:p w14:paraId="6E2B2257" w14:textId="77777777" w:rsidR="00F1590B" w:rsidRPr="006F10D4"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07D14AB6" w14:textId="77777777" w:rsidR="000F0A3C" w:rsidRPr="006F10D4" w:rsidRDefault="000F0A3C" w:rsidP="00F1590B">
      <w:pPr>
        <w:pStyle w:val="stk2"/>
        <w:shd w:val="clear" w:color="auto" w:fill="F9F9FB"/>
        <w:spacing w:before="0" w:beforeAutospacing="0" w:after="0" w:afterAutospacing="0"/>
        <w:rPr>
          <w:rFonts w:asciiTheme="minorHAnsi" w:hAnsiTheme="minorHAnsi" w:cstheme="minorHAnsi"/>
          <w:color w:val="212529"/>
        </w:rPr>
      </w:pPr>
    </w:p>
    <w:p w14:paraId="032BD933" w14:textId="77777777" w:rsidR="00F1590B" w:rsidRPr="006F10D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6F10D4">
        <w:rPr>
          <w:rFonts w:asciiTheme="minorHAnsi" w:hAnsiTheme="minorHAnsi" w:cstheme="minorHAnsi"/>
          <w:b/>
          <w:color w:val="212529"/>
        </w:rPr>
        <w:t xml:space="preserve">3. </w:t>
      </w:r>
      <w:r w:rsidRPr="006F10D4">
        <w:rPr>
          <w:rFonts w:asciiTheme="minorHAnsi" w:hAnsiTheme="minorHAnsi" w:cstheme="minorHAnsi"/>
          <w:i/>
          <w:color w:val="212529"/>
        </w:rPr>
        <w:t xml:space="preserve">Secção 17 </w:t>
      </w:r>
      <w:r w:rsidRPr="006F10D4">
        <w:rPr>
          <w:rFonts w:asciiTheme="minorHAnsi" w:hAnsiTheme="minorHAnsi" w:cstheme="minorHAnsi"/>
          <w:color w:val="212529"/>
        </w:rPr>
        <w:t>deve ter a seguinte redação:</w:t>
      </w:r>
    </w:p>
    <w:p w14:paraId="44382C07" w14:textId="77777777" w:rsidR="0085737E" w:rsidRPr="006F10D4" w:rsidRDefault="0085737E" w:rsidP="00F1590B">
      <w:pPr>
        <w:pStyle w:val="stk2"/>
        <w:shd w:val="clear" w:color="auto" w:fill="F9F9FB"/>
        <w:spacing w:before="0" w:beforeAutospacing="0" w:after="0" w:afterAutospacing="0"/>
        <w:rPr>
          <w:rFonts w:asciiTheme="minorHAnsi" w:hAnsiTheme="minorHAnsi" w:cstheme="minorHAnsi"/>
          <w:color w:val="212529"/>
        </w:rPr>
      </w:pPr>
    </w:p>
    <w:p w14:paraId="39FDF2B8" w14:textId="77777777" w:rsidR="0085737E" w:rsidRPr="006F10D4" w:rsidRDefault="00F1590B" w:rsidP="0085737E">
      <w:pPr>
        <w:jc w:val="center"/>
        <w:rPr>
          <w:rFonts w:cstheme="minorHAnsi"/>
        </w:rPr>
      </w:pPr>
      <w:r w:rsidRPr="006F10D4">
        <w:rPr>
          <w:rFonts w:cstheme="minorHAnsi"/>
          <w:color w:val="212529"/>
        </w:rPr>
        <w:t>»</w:t>
      </w:r>
      <w:r w:rsidRPr="006F10D4">
        <w:rPr>
          <w:rFonts w:cstheme="minorHAnsi"/>
        </w:rPr>
        <w:t xml:space="preserve"> </w:t>
      </w:r>
      <w:r w:rsidRPr="006F10D4">
        <w:rPr>
          <w:rFonts w:cstheme="minorHAnsi"/>
          <w:i/>
        </w:rPr>
        <w:t>Controlo dos critérios para o leite de vaca cru durante o período de supervisão reforçada</w:t>
      </w:r>
    </w:p>
    <w:p w14:paraId="5E555615" w14:textId="77777777" w:rsidR="0085737E" w:rsidRPr="006F10D4" w:rsidRDefault="0085737E" w:rsidP="0085737E">
      <w:pPr>
        <w:rPr>
          <w:rFonts w:cstheme="minorHAnsi"/>
        </w:rPr>
      </w:pPr>
      <w:r w:rsidRPr="006F10D4">
        <w:rPr>
          <w:rFonts w:cstheme="minorHAnsi"/>
          <w:b/>
        </w:rPr>
        <w:t>Secção 17</w:t>
      </w:r>
      <w:r w:rsidRPr="006F10D4">
        <w:rPr>
          <w:rFonts w:cstheme="minorHAnsi"/>
        </w:rPr>
        <w:t xml:space="preserve"> Estabelecimentos que recolhem ou processam leite de vaca cru recebido de produtores primários sob controlo reforçado, ver secção 16, devem assegurar que as amostras representativas e ordinárias de leite de vaca cru sejam colhidas pelo menos semanalmente e analisadas com uma frequência normal definida, que, pelo menos, esteja em conformidade com o anexo 2. As amostras devem ser colhidas no momento da recolha numa cisterna ou no momento da entrega a uma empresa do setor alimentar.</w:t>
      </w:r>
    </w:p>
    <w:p w14:paraId="0AD44A49" w14:textId="77777777" w:rsidR="0085737E" w:rsidRPr="006F10D4" w:rsidRDefault="0085737E" w:rsidP="0085737E">
      <w:pPr>
        <w:rPr>
          <w:rFonts w:cstheme="minorHAnsi"/>
        </w:rPr>
      </w:pPr>
      <w:r w:rsidRPr="006F10D4">
        <w:rPr>
          <w:rFonts w:cstheme="minorHAnsi"/>
          <w:i/>
        </w:rPr>
        <w:t>(2)</w:t>
      </w:r>
      <w:r w:rsidRPr="006F10D4">
        <w:rPr>
          <w:rFonts w:cstheme="minorHAnsi"/>
        </w:rPr>
        <w:t xml:space="preserve"> Se a amostra referida na subsecção 1 for colhida e analisada por um estabelecimento localizado na Dinamarca, não é necessário colher mais amostras de leite de vaca cru do mesmo tanque na exploração primária em causa.</w:t>
      </w:r>
    </w:p>
    <w:p w14:paraId="0D328027" w14:textId="77777777" w:rsidR="00F1590B" w:rsidRPr="006F10D4" w:rsidRDefault="0085737E" w:rsidP="0085737E">
      <w:pPr>
        <w:rPr>
          <w:rFonts w:cstheme="minorHAnsi"/>
        </w:rPr>
      </w:pPr>
      <w:r w:rsidRPr="006F10D4">
        <w:rPr>
          <w:rFonts w:cstheme="minorHAnsi"/>
          <w:i/>
        </w:rPr>
        <w:t>(3)</w:t>
      </w:r>
      <w:r w:rsidRPr="006F10D4">
        <w:rPr>
          <w:rFonts w:cstheme="minorHAnsi"/>
        </w:rPr>
        <w:t xml:space="preserve"> O estabelecimento deve disponibilizar todos os resultados das análises à Administração Veterinária e Alimentar Dinamarquesa.</w:t>
      </w:r>
    </w:p>
    <w:p w14:paraId="656B2365" w14:textId="77777777" w:rsidR="00A50188" w:rsidRPr="006F10D4"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5A39C19E" w14:textId="77777777" w:rsidR="00A50188" w:rsidRPr="006F10D4" w:rsidRDefault="00A50188" w:rsidP="006F10D4">
      <w:pPr>
        <w:pStyle w:val="stk2"/>
        <w:pageBreakBefore/>
        <w:shd w:val="clear" w:color="auto" w:fill="F9F9FB"/>
        <w:spacing w:before="0" w:beforeAutospacing="0" w:after="0" w:afterAutospacing="0"/>
        <w:rPr>
          <w:rFonts w:asciiTheme="minorHAnsi" w:hAnsiTheme="minorHAnsi" w:cstheme="minorHAnsi"/>
          <w:color w:val="212529"/>
        </w:rPr>
      </w:pPr>
      <w:r w:rsidRPr="006F10D4">
        <w:rPr>
          <w:rFonts w:asciiTheme="minorHAnsi" w:hAnsiTheme="minorHAnsi" w:cstheme="minorHAnsi"/>
          <w:b/>
          <w:color w:val="212529"/>
        </w:rPr>
        <w:lastRenderedPageBreak/>
        <w:t xml:space="preserve">4. </w:t>
      </w:r>
      <w:r w:rsidRPr="006F10D4">
        <w:rPr>
          <w:rFonts w:asciiTheme="minorHAnsi" w:hAnsiTheme="minorHAnsi" w:cstheme="minorHAnsi"/>
          <w:i/>
          <w:color w:val="212529"/>
        </w:rPr>
        <w:t xml:space="preserve">Secção 38(4) </w:t>
      </w:r>
      <w:r w:rsidRPr="006F10D4">
        <w:rPr>
          <w:rFonts w:asciiTheme="minorHAnsi" w:hAnsiTheme="minorHAnsi" w:cstheme="minorHAnsi"/>
          <w:color w:val="212529"/>
        </w:rPr>
        <w:t>tem a seguinte redação:</w:t>
      </w:r>
    </w:p>
    <w:p w14:paraId="74C5A1C3" w14:textId="77777777" w:rsidR="0085737E" w:rsidRPr="006F10D4" w:rsidRDefault="0085737E" w:rsidP="00F1590B">
      <w:pPr>
        <w:pStyle w:val="stk2"/>
        <w:shd w:val="clear" w:color="auto" w:fill="F9F9FB"/>
        <w:spacing w:before="0" w:beforeAutospacing="0" w:after="0" w:afterAutospacing="0"/>
        <w:rPr>
          <w:rFonts w:asciiTheme="minorHAnsi" w:hAnsiTheme="minorHAnsi" w:cstheme="minorHAnsi"/>
          <w:i/>
          <w:color w:val="212529"/>
        </w:rPr>
      </w:pPr>
    </w:p>
    <w:p w14:paraId="5CDBAE19" w14:textId="77777777" w:rsidR="00A50188" w:rsidRPr="006F10D4" w:rsidRDefault="00337092" w:rsidP="00A50188">
      <w:pPr>
        <w:spacing w:after="0" w:line="240" w:lineRule="auto"/>
        <w:rPr>
          <w:rFonts w:cstheme="minorHAnsi"/>
          <w:sz w:val="24"/>
          <w:szCs w:val="24"/>
        </w:rPr>
      </w:pPr>
      <w:r w:rsidRPr="006F10D4">
        <w:rPr>
          <w:rFonts w:cstheme="minorHAnsi"/>
          <w:i/>
          <w:sz w:val="24"/>
        </w:rPr>
        <w:t>"(4)</w:t>
      </w:r>
      <w:r w:rsidRPr="006F10D4">
        <w:rPr>
          <w:rFonts w:cstheme="minorHAnsi"/>
          <w:sz w:val="24"/>
        </w:rPr>
        <w:t xml:space="preserve"> Animais de trabalho especialmente treinados para executar uma ou mais tarefas úteis, como controle de pragas ou exame organolético de alimentos, podem ter acesso às empresas do setor alimentar quando isso for feito no contexto do trabalho de um ator profissional. Cabe ao operador da empresa do setor alimentar assegurar que esse acesso não dê origem a contaminação dos géneros alimentícios.»</w:t>
      </w:r>
    </w:p>
    <w:p w14:paraId="50C77B65" w14:textId="77777777" w:rsidR="008A2A56" w:rsidRPr="006F10D4" w:rsidRDefault="008A2A56" w:rsidP="00A50188">
      <w:pPr>
        <w:spacing w:after="0" w:line="240" w:lineRule="auto"/>
        <w:rPr>
          <w:rFonts w:cstheme="minorHAnsi"/>
          <w:sz w:val="24"/>
          <w:szCs w:val="24"/>
        </w:rPr>
      </w:pPr>
    </w:p>
    <w:p w14:paraId="0FD5B01B" w14:textId="77777777" w:rsidR="00A50188" w:rsidRPr="006F10D4" w:rsidRDefault="00A50188" w:rsidP="00F1590B">
      <w:pPr>
        <w:pStyle w:val="stk2"/>
        <w:shd w:val="clear" w:color="auto" w:fill="F9F9FB"/>
        <w:spacing w:before="0" w:beforeAutospacing="0" w:after="0" w:afterAutospacing="0"/>
        <w:rPr>
          <w:rFonts w:asciiTheme="minorHAnsi" w:hAnsiTheme="minorHAnsi" w:cstheme="minorHAnsi"/>
          <w:color w:val="212529"/>
        </w:rPr>
      </w:pPr>
    </w:p>
    <w:p w14:paraId="13D1AA31" w14:textId="77777777" w:rsidR="00F1590B" w:rsidRPr="006F10D4" w:rsidRDefault="00F1590B" w:rsidP="00F1590B">
      <w:pPr>
        <w:pStyle w:val="stk2"/>
        <w:shd w:val="clear" w:color="auto" w:fill="F9F9FB"/>
        <w:spacing w:before="0" w:beforeAutospacing="0" w:after="0" w:afterAutospacing="0"/>
        <w:rPr>
          <w:rFonts w:asciiTheme="minorHAnsi" w:hAnsiTheme="minorHAnsi" w:cstheme="minorHAnsi"/>
          <w:color w:val="212529"/>
        </w:rPr>
      </w:pPr>
    </w:p>
    <w:p w14:paraId="6D7ADDFC" w14:textId="77777777" w:rsidR="004D3390" w:rsidRPr="006F10D4" w:rsidRDefault="00A50188" w:rsidP="00F1590B">
      <w:pPr>
        <w:pStyle w:val="stk2"/>
        <w:shd w:val="clear" w:color="auto" w:fill="F9F9FB"/>
        <w:spacing w:before="0" w:beforeAutospacing="0" w:after="0" w:afterAutospacing="0"/>
        <w:rPr>
          <w:rFonts w:asciiTheme="minorHAnsi" w:hAnsiTheme="minorHAnsi" w:cstheme="minorHAnsi"/>
          <w:color w:val="212529"/>
        </w:rPr>
      </w:pPr>
      <w:r w:rsidRPr="006F10D4">
        <w:rPr>
          <w:rFonts w:asciiTheme="minorHAnsi" w:hAnsiTheme="minorHAnsi" w:cstheme="minorHAnsi"/>
          <w:b/>
          <w:color w:val="212529"/>
        </w:rPr>
        <w:t xml:space="preserve">5. </w:t>
      </w:r>
      <w:r w:rsidRPr="006F10D4">
        <w:rPr>
          <w:rFonts w:asciiTheme="minorHAnsi" w:hAnsiTheme="minorHAnsi" w:cstheme="minorHAnsi"/>
          <w:i/>
          <w:color w:val="212529"/>
        </w:rPr>
        <w:t>Anexo 2</w:t>
      </w:r>
      <w:r w:rsidRPr="006F10D4">
        <w:rPr>
          <w:rFonts w:asciiTheme="minorHAnsi" w:hAnsiTheme="minorHAnsi" w:cstheme="minorHAnsi"/>
          <w:color w:val="212529"/>
        </w:rPr>
        <w:t xml:space="preserve"> tem a seguinte redação: </w:t>
      </w:r>
    </w:p>
    <w:p w14:paraId="1DA2F1A1" w14:textId="77777777" w:rsidR="00D81FFD" w:rsidRPr="006F10D4" w:rsidRDefault="00D81FFD" w:rsidP="00CD091A">
      <w:pPr>
        <w:rPr>
          <w:rFonts w:eastAsia="Times New Roman" w:cstheme="minorHAnsi"/>
          <w:color w:val="212529"/>
          <w:sz w:val="24"/>
          <w:szCs w:val="24"/>
          <w:lang w:eastAsia="da-DK"/>
        </w:rPr>
      </w:pPr>
    </w:p>
    <w:p w14:paraId="0F1C6251" w14:textId="77777777" w:rsidR="00D81FFD" w:rsidRPr="006F10D4" w:rsidRDefault="00F1590B" w:rsidP="00D81FFD">
      <w:pPr>
        <w:jc w:val="right"/>
        <w:rPr>
          <w:rFonts w:cstheme="minorHAnsi"/>
          <w:b/>
          <w:sz w:val="24"/>
          <w:szCs w:val="24"/>
        </w:rPr>
      </w:pPr>
      <w:r w:rsidRPr="006F10D4">
        <w:rPr>
          <w:rFonts w:cstheme="minorHAnsi"/>
          <w:b/>
          <w:sz w:val="24"/>
        </w:rPr>
        <w:t>Anexo 2</w:t>
      </w:r>
    </w:p>
    <w:p w14:paraId="4EF47313" w14:textId="77777777" w:rsidR="00D81FFD" w:rsidRPr="006F10D4" w:rsidRDefault="00D81FFD" w:rsidP="00D81FFD">
      <w:pPr>
        <w:rPr>
          <w:rFonts w:cstheme="minorHAnsi"/>
          <w:sz w:val="24"/>
          <w:szCs w:val="24"/>
        </w:rPr>
      </w:pPr>
    </w:p>
    <w:p w14:paraId="12EF7BD8" w14:textId="77777777" w:rsidR="00D81FFD" w:rsidRPr="006F10D4" w:rsidRDefault="00D81FFD" w:rsidP="00D81FFD">
      <w:pPr>
        <w:rPr>
          <w:rFonts w:cstheme="minorHAnsi"/>
          <w:sz w:val="24"/>
          <w:szCs w:val="24"/>
        </w:rPr>
      </w:pPr>
      <w:r w:rsidRPr="006F10D4">
        <w:rPr>
          <w:rFonts w:cstheme="minorHAnsi"/>
          <w:sz w:val="24"/>
        </w:rPr>
        <w:t>Controlo dos critérios aplicáveis ao leite de vaca cru durante o período de supervisão reforçada (ver secção 16)</w:t>
      </w:r>
    </w:p>
    <w:p w14:paraId="086EBC14" w14:textId="77777777" w:rsidR="00D81FFD" w:rsidRPr="006F10D4" w:rsidRDefault="00D81FFD" w:rsidP="00D81FFD">
      <w:pPr>
        <w:rPr>
          <w:rFonts w:cstheme="minorHAnsi"/>
          <w:sz w:val="24"/>
          <w:szCs w:val="24"/>
        </w:rPr>
      </w:pPr>
      <w:r w:rsidRPr="006F10D4">
        <w:rPr>
          <w:rFonts w:cstheme="minorHAnsi"/>
          <w:sz w:val="24"/>
        </w:rPr>
        <w:t>As amostras devem ser submetidas, pelo menos, aos seguintes exames:</w:t>
      </w:r>
    </w:p>
    <w:tbl>
      <w:tblPr>
        <w:tblStyle w:val="TableGrid"/>
        <w:tblW w:w="0" w:type="auto"/>
        <w:tblLook w:val="04A0" w:firstRow="1" w:lastRow="0" w:firstColumn="1" w:lastColumn="0" w:noHBand="0" w:noVBand="1"/>
      </w:tblPr>
      <w:tblGrid>
        <w:gridCol w:w="2407"/>
        <w:gridCol w:w="2407"/>
        <w:gridCol w:w="2407"/>
        <w:gridCol w:w="2407"/>
      </w:tblGrid>
      <w:tr w:rsidR="00D81FFD" w:rsidRPr="006F10D4" w14:paraId="361B5020" w14:textId="77777777" w:rsidTr="00D81FFD">
        <w:tc>
          <w:tcPr>
            <w:tcW w:w="2407" w:type="dxa"/>
          </w:tcPr>
          <w:p w14:paraId="1B31FDFF" w14:textId="77777777" w:rsidR="00D81FFD" w:rsidRPr="006F10D4" w:rsidRDefault="00D81FFD" w:rsidP="00D81FFD">
            <w:pPr>
              <w:rPr>
                <w:rFonts w:cstheme="minorHAnsi"/>
                <w:sz w:val="24"/>
                <w:szCs w:val="24"/>
              </w:rPr>
            </w:pPr>
          </w:p>
        </w:tc>
        <w:tc>
          <w:tcPr>
            <w:tcW w:w="2407" w:type="dxa"/>
          </w:tcPr>
          <w:p w14:paraId="67E9D1FD" w14:textId="77777777" w:rsidR="00D81FFD" w:rsidRPr="006F10D4" w:rsidRDefault="00D81FFD" w:rsidP="00D81FFD">
            <w:pPr>
              <w:rPr>
                <w:rFonts w:cstheme="minorHAnsi"/>
                <w:b/>
                <w:sz w:val="24"/>
                <w:szCs w:val="24"/>
              </w:rPr>
            </w:pPr>
            <w:r w:rsidRPr="006F10D4">
              <w:rPr>
                <w:rFonts w:cstheme="minorHAnsi"/>
                <w:b/>
                <w:sz w:val="24"/>
              </w:rPr>
              <w:t>Determinação da contagem em placas a 30 °C</w:t>
            </w:r>
          </w:p>
        </w:tc>
        <w:tc>
          <w:tcPr>
            <w:tcW w:w="2407" w:type="dxa"/>
          </w:tcPr>
          <w:p w14:paraId="1029B326" w14:textId="77777777" w:rsidR="00D81FFD" w:rsidRPr="006F10D4" w:rsidRDefault="00D81FFD" w:rsidP="00D81FFD">
            <w:pPr>
              <w:rPr>
                <w:rFonts w:cstheme="minorHAnsi"/>
                <w:b/>
                <w:sz w:val="24"/>
                <w:szCs w:val="24"/>
              </w:rPr>
            </w:pPr>
            <w:r w:rsidRPr="006F10D4">
              <w:rPr>
                <w:rFonts w:cstheme="minorHAnsi"/>
                <w:b/>
                <w:sz w:val="24"/>
              </w:rPr>
              <w:t>Determinação da contagem de células</w:t>
            </w:r>
          </w:p>
        </w:tc>
        <w:tc>
          <w:tcPr>
            <w:tcW w:w="2407" w:type="dxa"/>
          </w:tcPr>
          <w:p w14:paraId="2ACA8349" w14:textId="77777777" w:rsidR="00D81FFD" w:rsidRPr="006F10D4" w:rsidRDefault="00D81FFD" w:rsidP="00D81FFD">
            <w:pPr>
              <w:rPr>
                <w:rFonts w:cstheme="minorHAnsi"/>
                <w:b/>
                <w:sz w:val="24"/>
                <w:szCs w:val="24"/>
              </w:rPr>
            </w:pPr>
            <w:r w:rsidRPr="006F10D4">
              <w:rPr>
                <w:rFonts w:cstheme="minorHAnsi"/>
                <w:b/>
                <w:sz w:val="24"/>
              </w:rPr>
              <w:t>Determinação do teor de resíduos de antibióticos</w:t>
            </w:r>
          </w:p>
        </w:tc>
      </w:tr>
      <w:tr w:rsidR="00D81FFD" w:rsidRPr="006F10D4" w14:paraId="0CDC8AB3" w14:textId="77777777" w:rsidTr="00D81FFD">
        <w:tc>
          <w:tcPr>
            <w:tcW w:w="2407" w:type="dxa"/>
          </w:tcPr>
          <w:p w14:paraId="50DDB5D7" w14:textId="77777777" w:rsidR="00D81FFD" w:rsidRPr="006F10D4" w:rsidRDefault="00D81FFD" w:rsidP="00D81FFD">
            <w:pPr>
              <w:rPr>
                <w:rFonts w:cstheme="minorHAnsi"/>
                <w:b/>
                <w:sz w:val="24"/>
                <w:szCs w:val="24"/>
              </w:rPr>
            </w:pPr>
            <w:r w:rsidRPr="006F10D4">
              <w:rPr>
                <w:rFonts w:cstheme="minorHAnsi"/>
                <w:b/>
                <w:sz w:val="24"/>
              </w:rPr>
              <w:t>Frequência sob supervisão mais rigorosa</w:t>
            </w:r>
          </w:p>
        </w:tc>
        <w:tc>
          <w:tcPr>
            <w:tcW w:w="2407" w:type="dxa"/>
          </w:tcPr>
          <w:p w14:paraId="6495C741" w14:textId="77777777" w:rsidR="00D81FFD" w:rsidRPr="006F10D4" w:rsidRDefault="00D81FFD" w:rsidP="00D81FFD">
            <w:pPr>
              <w:rPr>
                <w:rFonts w:cstheme="minorHAnsi"/>
                <w:sz w:val="24"/>
                <w:szCs w:val="24"/>
              </w:rPr>
            </w:pPr>
            <w:r w:rsidRPr="006F10D4">
              <w:rPr>
                <w:rFonts w:cstheme="minorHAnsi"/>
                <w:sz w:val="24"/>
              </w:rPr>
              <w:t>1 vez para cada semana</w:t>
            </w:r>
          </w:p>
        </w:tc>
        <w:tc>
          <w:tcPr>
            <w:tcW w:w="2407" w:type="dxa"/>
          </w:tcPr>
          <w:p w14:paraId="6109F3C2" w14:textId="77777777" w:rsidR="00D81FFD" w:rsidRPr="006F10D4" w:rsidRDefault="00D81FFD" w:rsidP="00D81FFD">
            <w:pPr>
              <w:rPr>
                <w:rFonts w:cstheme="minorHAnsi"/>
                <w:sz w:val="24"/>
                <w:szCs w:val="24"/>
              </w:rPr>
            </w:pPr>
            <w:r w:rsidRPr="006F10D4">
              <w:rPr>
                <w:rFonts w:cstheme="minorHAnsi"/>
                <w:sz w:val="24"/>
              </w:rPr>
              <w:t>1 vez para cada semana</w:t>
            </w:r>
          </w:p>
        </w:tc>
        <w:tc>
          <w:tcPr>
            <w:tcW w:w="2407" w:type="dxa"/>
          </w:tcPr>
          <w:p w14:paraId="55D94FF0" w14:textId="77777777" w:rsidR="00D81FFD" w:rsidRPr="006F10D4" w:rsidRDefault="00D81FFD" w:rsidP="00D81FFD">
            <w:pPr>
              <w:rPr>
                <w:rFonts w:cstheme="minorHAnsi"/>
                <w:sz w:val="24"/>
                <w:szCs w:val="24"/>
              </w:rPr>
            </w:pPr>
            <w:r w:rsidRPr="006F10D4">
              <w:rPr>
                <w:rFonts w:cstheme="minorHAnsi"/>
                <w:sz w:val="24"/>
              </w:rPr>
              <w:t>1 vez para cada quatro semanas</w:t>
            </w:r>
          </w:p>
        </w:tc>
      </w:tr>
    </w:tbl>
    <w:p w14:paraId="03C1A6B5" w14:textId="77777777" w:rsidR="00D81FFD" w:rsidRPr="006F10D4" w:rsidRDefault="00D81FFD" w:rsidP="00D81FFD">
      <w:pPr>
        <w:rPr>
          <w:rFonts w:cstheme="minorHAnsi"/>
          <w:sz w:val="24"/>
          <w:szCs w:val="24"/>
        </w:rPr>
      </w:pPr>
    </w:p>
    <w:p w14:paraId="372531A4" w14:textId="14E74DFD" w:rsidR="00D81FFD" w:rsidRPr="006F10D4" w:rsidRDefault="00F80EAE" w:rsidP="00F80EAE">
      <w:pPr>
        <w:rPr>
          <w:rFonts w:cstheme="minorHAnsi"/>
          <w:sz w:val="24"/>
          <w:szCs w:val="24"/>
        </w:rPr>
      </w:pPr>
      <w:r w:rsidRPr="006F10D4">
        <w:rPr>
          <w:rFonts w:cstheme="minorHAnsi"/>
          <w:sz w:val="24"/>
        </w:rPr>
        <w:t>Em caso de deteção de resíduos de antibióticos superiores ao limite de resíduos máximo para a substância em questão, a análise deve ser repetida em cada uma das 4 semanas posteriores.</w:t>
      </w:r>
    </w:p>
    <w:p w14:paraId="28EE29C9" w14:textId="77777777" w:rsidR="000F0A3C" w:rsidRPr="006F10D4" w:rsidRDefault="000F0A3C" w:rsidP="00F80EAE">
      <w:pPr>
        <w:rPr>
          <w:rFonts w:cstheme="minorHAnsi"/>
          <w:sz w:val="24"/>
          <w:szCs w:val="24"/>
        </w:rPr>
      </w:pPr>
    </w:p>
    <w:p w14:paraId="53C5C941" w14:textId="77777777" w:rsidR="000F0A3C" w:rsidRPr="006F10D4" w:rsidRDefault="000F0A3C" w:rsidP="00F80EAE">
      <w:pPr>
        <w:rPr>
          <w:rFonts w:cstheme="minorHAnsi"/>
          <w:sz w:val="24"/>
          <w:szCs w:val="24"/>
        </w:rPr>
      </w:pPr>
    </w:p>
    <w:p w14:paraId="65C69628" w14:textId="77777777" w:rsidR="000F0A3C" w:rsidRPr="006F10D4" w:rsidRDefault="000F0A3C" w:rsidP="000F0A3C">
      <w:pPr>
        <w:jc w:val="center"/>
        <w:rPr>
          <w:rFonts w:cstheme="minorHAnsi"/>
          <w:b/>
          <w:sz w:val="24"/>
          <w:szCs w:val="24"/>
        </w:rPr>
      </w:pPr>
      <w:r w:rsidRPr="006F10D4">
        <w:rPr>
          <w:rFonts w:cstheme="minorHAnsi"/>
          <w:b/>
          <w:sz w:val="24"/>
        </w:rPr>
        <w:t>Artigo 2.º.</w:t>
      </w:r>
    </w:p>
    <w:p w14:paraId="0E7B6AAE" w14:textId="77777777" w:rsidR="0015460A" w:rsidRPr="006F10D4" w:rsidRDefault="0015460A" w:rsidP="000F0A3C">
      <w:pPr>
        <w:rPr>
          <w:rFonts w:cstheme="minorHAnsi"/>
          <w:sz w:val="24"/>
          <w:szCs w:val="24"/>
        </w:rPr>
      </w:pPr>
      <w:r w:rsidRPr="006F10D4">
        <w:rPr>
          <w:rFonts w:cstheme="minorHAnsi"/>
          <w:i/>
          <w:sz w:val="24"/>
        </w:rPr>
        <w:t xml:space="preserve">(1) </w:t>
      </w:r>
      <w:r w:rsidRPr="006F10D4">
        <w:rPr>
          <w:rFonts w:cstheme="minorHAnsi"/>
          <w:sz w:val="24"/>
        </w:rPr>
        <w:t xml:space="preserve">Esta ordem entra em vigor em 1 de janeiro de 2022. </w:t>
      </w:r>
    </w:p>
    <w:p w14:paraId="2FB84923" w14:textId="77777777" w:rsidR="000F0A3C" w:rsidRPr="006F10D4" w:rsidRDefault="0015460A" w:rsidP="000F0A3C">
      <w:pPr>
        <w:rPr>
          <w:rFonts w:cstheme="minorHAnsi"/>
          <w:sz w:val="24"/>
          <w:szCs w:val="24"/>
        </w:rPr>
      </w:pPr>
      <w:r w:rsidRPr="006F10D4">
        <w:rPr>
          <w:rFonts w:cstheme="minorHAnsi"/>
          <w:i/>
          <w:sz w:val="24"/>
        </w:rPr>
        <w:t xml:space="preserve">(2) </w:t>
      </w:r>
      <w:r w:rsidRPr="006F10D4">
        <w:rPr>
          <w:rFonts w:cstheme="minorHAnsi"/>
          <w:sz w:val="24"/>
        </w:rPr>
        <w:t>É revogado o despacho n.º 497, de 23 de março de 2021, relativo à higiene dos géneros alimentícios.</w:t>
      </w:r>
    </w:p>
    <w:sectPr w:rsidR="000F0A3C" w:rsidRPr="006F10D4" w:rsidSect="00D81FF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F7F4" w14:textId="77777777" w:rsidR="001047F8" w:rsidRDefault="001047F8" w:rsidP="00A50188">
      <w:pPr>
        <w:spacing w:after="0" w:line="240" w:lineRule="auto"/>
      </w:pPr>
      <w:r>
        <w:separator/>
      </w:r>
    </w:p>
  </w:endnote>
  <w:endnote w:type="continuationSeparator" w:id="0">
    <w:p w14:paraId="1F890DAA" w14:textId="77777777" w:rsidR="001047F8" w:rsidRDefault="001047F8" w:rsidP="00A5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730C" w14:textId="77777777" w:rsidR="001047F8" w:rsidRDefault="001047F8" w:rsidP="00A50188">
      <w:pPr>
        <w:spacing w:after="0" w:line="240" w:lineRule="auto"/>
      </w:pPr>
      <w:r>
        <w:separator/>
      </w:r>
    </w:p>
  </w:footnote>
  <w:footnote w:type="continuationSeparator" w:id="0">
    <w:p w14:paraId="649C3683" w14:textId="77777777" w:rsidR="001047F8" w:rsidRDefault="001047F8" w:rsidP="00A50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B89"/>
    <w:rsid w:val="00043C9D"/>
    <w:rsid w:val="00053863"/>
    <w:rsid w:val="00060FC9"/>
    <w:rsid w:val="000F0A3C"/>
    <w:rsid w:val="001047F8"/>
    <w:rsid w:val="0015460A"/>
    <w:rsid w:val="001D7D66"/>
    <w:rsid w:val="001E4D7D"/>
    <w:rsid w:val="002147AD"/>
    <w:rsid w:val="002A2AC6"/>
    <w:rsid w:val="002E7540"/>
    <w:rsid w:val="003101AF"/>
    <w:rsid w:val="00315D7E"/>
    <w:rsid w:val="0031683F"/>
    <w:rsid w:val="00331B89"/>
    <w:rsid w:val="00337092"/>
    <w:rsid w:val="00340D26"/>
    <w:rsid w:val="00345694"/>
    <w:rsid w:val="00370DEF"/>
    <w:rsid w:val="003A0A26"/>
    <w:rsid w:val="003A7D73"/>
    <w:rsid w:val="00401EFA"/>
    <w:rsid w:val="004D3390"/>
    <w:rsid w:val="00536C63"/>
    <w:rsid w:val="00547B2F"/>
    <w:rsid w:val="0059020A"/>
    <w:rsid w:val="00606DB6"/>
    <w:rsid w:val="006E1949"/>
    <w:rsid w:val="006F10D4"/>
    <w:rsid w:val="00745CF7"/>
    <w:rsid w:val="007471C9"/>
    <w:rsid w:val="00770E03"/>
    <w:rsid w:val="007C370C"/>
    <w:rsid w:val="007F718C"/>
    <w:rsid w:val="0085737E"/>
    <w:rsid w:val="008A2A56"/>
    <w:rsid w:val="008B2F9D"/>
    <w:rsid w:val="00941AEB"/>
    <w:rsid w:val="009D7E07"/>
    <w:rsid w:val="009E01F3"/>
    <w:rsid w:val="009E59CB"/>
    <w:rsid w:val="00A05302"/>
    <w:rsid w:val="00A274CC"/>
    <w:rsid w:val="00A50188"/>
    <w:rsid w:val="00A81BB2"/>
    <w:rsid w:val="00AB3DB0"/>
    <w:rsid w:val="00AC66E3"/>
    <w:rsid w:val="00AD6948"/>
    <w:rsid w:val="00AD70F9"/>
    <w:rsid w:val="00B25764"/>
    <w:rsid w:val="00B30803"/>
    <w:rsid w:val="00B829C9"/>
    <w:rsid w:val="00BE4F33"/>
    <w:rsid w:val="00C630C9"/>
    <w:rsid w:val="00C71862"/>
    <w:rsid w:val="00C84738"/>
    <w:rsid w:val="00CC7E48"/>
    <w:rsid w:val="00CD091A"/>
    <w:rsid w:val="00D138BD"/>
    <w:rsid w:val="00D16219"/>
    <w:rsid w:val="00D81FFD"/>
    <w:rsid w:val="00DA3397"/>
    <w:rsid w:val="00E0416A"/>
    <w:rsid w:val="00E80038"/>
    <w:rsid w:val="00E9538F"/>
    <w:rsid w:val="00EF0C4F"/>
    <w:rsid w:val="00F1590B"/>
    <w:rsid w:val="00F15D67"/>
    <w:rsid w:val="00F5325A"/>
    <w:rsid w:val="00F80E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DD0C"/>
  <w15:chartTrackingRefBased/>
  <w15:docId w15:val="{DD8C494C-9BBB-4BAB-92FF-3A523981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91A"/>
    <w:rPr>
      <w:rFonts w:ascii="Segoe UI" w:hAnsi="Segoe UI" w:cs="Segoe UI"/>
      <w:sz w:val="18"/>
      <w:szCs w:val="18"/>
    </w:rPr>
  </w:style>
  <w:style w:type="paragraph" w:customStyle="1" w:styleId="paragrafgruppeoverskrift">
    <w:name w:val="paragrafgruppeoverskrift"/>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DefaultParagraphFont"/>
    <w:rsid w:val="00CD091A"/>
  </w:style>
  <w:style w:type="paragraph" w:customStyle="1" w:styleId="paragraf">
    <w:name w:val="paragraf"/>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DefaultParagraphFont"/>
    <w:rsid w:val="00CD091A"/>
  </w:style>
  <w:style w:type="paragraph" w:customStyle="1" w:styleId="stk2">
    <w:name w:val="stk2"/>
    <w:basedOn w:val="Normal"/>
    <w:rsid w:val="00CD091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DefaultParagraphFont"/>
    <w:rsid w:val="00CD091A"/>
  </w:style>
  <w:style w:type="character" w:styleId="CommentReference">
    <w:name w:val="annotation reference"/>
    <w:basedOn w:val="DefaultParagraphFont"/>
    <w:uiPriority w:val="99"/>
    <w:semiHidden/>
    <w:unhideWhenUsed/>
    <w:rsid w:val="00B25764"/>
    <w:rPr>
      <w:sz w:val="16"/>
      <w:szCs w:val="16"/>
    </w:rPr>
  </w:style>
  <w:style w:type="paragraph" w:styleId="CommentText">
    <w:name w:val="annotation text"/>
    <w:basedOn w:val="Normal"/>
    <w:link w:val="CommentTextChar"/>
    <w:uiPriority w:val="99"/>
    <w:semiHidden/>
    <w:unhideWhenUsed/>
    <w:rsid w:val="00B25764"/>
    <w:pPr>
      <w:spacing w:line="240" w:lineRule="auto"/>
    </w:pPr>
    <w:rPr>
      <w:sz w:val="20"/>
      <w:szCs w:val="20"/>
    </w:rPr>
  </w:style>
  <w:style w:type="character" w:customStyle="1" w:styleId="CommentTextChar">
    <w:name w:val="Comment Text Char"/>
    <w:basedOn w:val="DefaultParagraphFont"/>
    <w:link w:val="CommentText"/>
    <w:uiPriority w:val="99"/>
    <w:semiHidden/>
    <w:rsid w:val="00B25764"/>
    <w:rPr>
      <w:sz w:val="20"/>
      <w:szCs w:val="20"/>
    </w:rPr>
  </w:style>
  <w:style w:type="paragraph" w:styleId="CommentSubject">
    <w:name w:val="annotation subject"/>
    <w:basedOn w:val="CommentText"/>
    <w:next w:val="CommentText"/>
    <w:link w:val="CommentSubjectChar"/>
    <w:uiPriority w:val="99"/>
    <w:semiHidden/>
    <w:unhideWhenUsed/>
    <w:rsid w:val="00B25764"/>
    <w:rPr>
      <w:b/>
      <w:bCs/>
    </w:rPr>
  </w:style>
  <w:style w:type="character" w:customStyle="1" w:styleId="CommentSubjectChar">
    <w:name w:val="Comment Subject Char"/>
    <w:basedOn w:val="CommentTextChar"/>
    <w:link w:val="CommentSubject"/>
    <w:uiPriority w:val="99"/>
    <w:semiHidden/>
    <w:rsid w:val="00B25764"/>
    <w:rPr>
      <w:b/>
      <w:bCs/>
      <w:sz w:val="20"/>
      <w:szCs w:val="20"/>
    </w:rPr>
  </w:style>
  <w:style w:type="paragraph" w:styleId="Revision">
    <w:name w:val="Revision"/>
    <w:hidden/>
    <w:uiPriority w:val="99"/>
    <w:semiHidden/>
    <w:rsid w:val="002E7540"/>
    <w:pPr>
      <w:spacing w:after="0" w:line="240" w:lineRule="auto"/>
    </w:pPr>
  </w:style>
  <w:style w:type="table" w:styleId="TableGrid">
    <w:name w:val="Table Grid"/>
    <w:basedOn w:val="TableNormal"/>
    <w:uiPriority w:val="39"/>
    <w:rsid w:val="00D8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1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0188"/>
  </w:style>
  <w:style w:type="paragraph" w:styleId="Footer">
    <w:name w:val="footer"/>
    <w:basedOn w:val="Normal"/>
    <w:link w:val="FooterChar"/>
    <w:uiPriority w:val="99"/>
    <w:unhideWhenUsed/>
    <w:rsid w:val="00A501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17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1098</Words>
  <Characters>6260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Sørensen</dc:creator>
  <cp:keywords/>
  <dc:description/>
  <cp:lastModifiedBy>Liana Brili</cp:lastModifiedBy>
  <cp:revision>7</cp:revision>
  <cp:lastPrinted>2021-06-23T14:05:00Z</cp:lastPrinted>
  <dcterms:created xsi:type="dcterms:W3CDTF">2021-08-11T06:31:00Z</dcterms:created>
  <dcterms:modified xsi:type="dcterms:W3CDTF">2021-08-19T09:24:00Z</dcterms:modified>
</cp:coreProperties>
</file>