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652" w:rsidRPr="00B00403" w:rsidRDefault="00CC1652" w:rsidP="00CC1652">
      <w:pPr>
        <w:pStyle w:val="PlainText"/>
        <w:rPr>
          <w:rFonts w:ascii="Courier New" w:hAnsi="Courier New" w:cs="Courier New"/>
          <w:sz w:val="20"/>
          <w:szCs w:val="20"/>
        </w:rPr>
      </w:pPr>
      <w:bookmarkStart w:id="0" w:name="_GoBack"/>
      <w:bookmarkEnd w:id="0"/>
      <w:r>
        <w:rPr>
          <w:rFonts w:ascii="Courier New" w:hAnsi="Courier New"/>
          <w:sz w:val="20"/>
        </w:rPr>
        <w:t>1. ------IND- 2018 0179 S-- CS- ------ 20181122 --- --- FINAL</w:t>
      </w:r>
    </w:p>
    <w:p w:rsidR="008D301E" w:rsidRPr="00053DD8" w:rsidRDefault="008D301E" w:rsidP="008D301E">
      <w:pPr>
        <w:pStyle w:val="BodyText"/>
        <w:rPr>
          <w:rFonts w:ascii="Times New Roman" w:hAnsi="Times New Roman" w:cs="Times New Roman"/>
          <w:b/>
          <w:w w:val="100"/>
          <w:sz w:val="26"/>
          <w:szCs w:val="26"/>
        </w:rPr>
      </w:pPr>
      <w:r>
        <w:rPr>
          <w:rFonts w:ascii="Times New Roman" w:hAnsi="Times New Roman"/>
          <w:b/>
          <w:sz w:val="26"/>
        </w:rPr>
        <w:t>LIFS 2018:5</w:t>
      </w:r>
    </w:p>
    <w:p w:rsidR="008D301E" w:rsidRPr="00053DD8" w:rsidRDefault="008D301E" w:rsidP="008D301E">
      <w:pPr>
        <w:pStyle w:val="BodyText"/>
        <w:spacing w:after="240"/>
        <w:rPr>
          <w:rFonts w:ascii="Times New Roman" w:hAnsi="Times New Roman" w:cs="Times New Roman"/>
          <w:w w:val="100"/>
          <w:sz w:val="16"/>
          <w:szCs w:val="19"/>
        </w:rPr>
      </w:pPr>
      <w:r>
        <w:rPr>
          <w:rFonts w:ascii="Times New Roman" w:hAnsi="Times New Roman"/>
          <w:sz w:val="16"/>
        </w:rPr>
        <w:t>Zveřejněno</w:t>
      </w:r>
      <w:r>
        <w:rPr>
          <w:rFonts w:ascii="Times New Roman" w:hAnsi="Times New Roman"/>
          <w:sz w:val="16"/>
          <w:szCs w:val="19"/>
        </w:rPr>
        <w:br/>
        <w:t>dne 8. srpna 2018</w:t>
      </w:r>
    </w:p>
    <w:p w:rsidR="00E26F6C" w:rsidRPr="00E04140" w:rsidRDefault="00E26F6C" w:rsidP="008D301E">
      <w:pPr>
        <w:pStyle w:val="Rubrik1"/>
        <w:keepNext/>
        <w:keepLines/>
        <w:widowControl/>
        <w:ind w:right="0"/>
        <w:rPr>
          <w:rFonts w:ascii="Times New Roman" w:hAnsi="Times New Roman" w:cs="Times New Roman"/>
          <w:w w:val="100"/>
          <w:sz w:val="26"/>
          <w:szCs w:val="26"/>
        </w:rPr>
      </w:pPr>
      <w:r>
        <w:rPr>
          <w:rFonts w:ascii="Times New Roman" w:hAnsi="Times New Roman"/>
          <w:sz w:val="26"/>
        </w:rPr>
        <w:t>Předpisy a obecná doporučení Švédského úřadu pro hazardní hry pro komerční hazardní hry a sázky on-line;</w:t>
      </w:r>
    </w:p>
    <w:p w:rsidR="00E26F6C" w:rsidRPr="00E04140" w:rsidRDefault="00E26F6C" w:rsidP="008D301E">
      <w:pPr>
        <w:pStyle w:val="Brdtextblank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sz w:val="19"/>
        </w:rPr>
        <w:t>přijato dne 25. července 2018.</w:t>
      </w:r>
    </w:p>
    <w:p w:rsidR="00E26F6C" w:rsidRPr="00E04140" w:rsidRDefault="00E26F6C" w:rsidP="008D301E">
      <w:pPr>
        <w:pStyle w:val="Brdtextblank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sz w:val="19"/>
        </w:rPr>
        <w:t>Na základě kapitoly 16, § 3, § 5, § 8 bod 4 a § 10 bod 1vyhlášky o hazardních hrách (2018:1475) Švédský úřad pro hazardní hry tímto stanoví</w:t>
      </w:r>
      <w:r>
        <w:rPr>
          <w:rFonts w:ascii="Times New Roman" w:hAnsi="Times New Roman"/>
          <w:w w:val="100"/>
          <w:sz w:val="19"/>
          <w:vertAlign w:val="superscript"/>
        </w:rPr>
        <w:footnoteReference w:id="1"/>
      </w:r>
      <w:r>
        <w:rPr>
          <w:rFonts w:ascii="Times New Roman" w:hAnsi="Times New Roman"/>
          <w:sz w:val="19"/>
        </w:rPr>
        <w:t xml:space="preserve"> a schvaluje níže uvedená obecná doporučení.</w:t>
      </w:r>
    </w:p>
    <w:p w:rsidR="00E26F6C" w:rsidRPr="00E04140" w:rsidRDefault="00E26F6C" w:rsidP="008D301E">
      <w:pPr>
        <w:pStyle w:val="Rubrik2"/>
        <w:keepLines/>
        <w:rPr>
          <w:rFonts w:ascii="Times New Roman" w:hAnsi="Times New Roman" w:cs="Times New Roman"/>
          <w:w w:val="100"/>
          <w:sz w:val="21"/>
          <w:szCs w:val="21"/>
        </w:rPr>
      </w:pPr>
      <w:r>
        <w:rPr>
          <w:rFonts w:ascii="Times New Roman" w:hAnsi="Times New Roman"/>
          <w:sz w:val="21"/>
        </w:rPr>
        <w:t>Působnost</w:t>
      </w:r>
    </w:p>
    <w:p w:rsidR="00E26F6C" w:rsidRPr="00E04140" w:rsidRDefault="00E26F6C" w:rsidP="008D301E">
      <w:pPr>
        <w:pStyle w:val="Brdtexthalv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b/>
          <w:sz w:val="19"/>
        </w:rPr>
        <w:t>§ 1</w:t>
      </w:r>
      <w:r>
        <w:rPr>
          <w:rFonts w:ascii="Times New Roman" w:hAnsi="Times New Roman"/>
          <w:sz w:val="19"/>
        </w:rPr>
        <w:t xml:space="preserve"> Tyto předpisy a tato obecná doporučení platí pro osoby disponující licencí pro poskytování hazardních her podle kapitol 7 8 zákona o hazardních hrách (2018: 1138). </w:t>
      </w:r>
    </w:p>
    <w:p w:rsidR="00E26F6C" w:rsidRPr="00E04140" w:rsidRDefault="00E26F6C" w:rsidP="008D301E">
      <w:pPr>
        <w:pStyle w:val="Rubrik2"/>
        <w:keepLines/>
        <w:rPr>
          <w:rFonts w:ascii="Times New Roman" w:hAnsi="Times New Roman" w:cs="Times New Roman"/>
          <w:w w:val="100"/>
          <w:sz w:val="21"/>
          <w:szCs w:val="21"/>
        </w:rPr>
      </w:pPr>
      <w:r>
        <w:rPr>
          <w:rFonts w:ascii="Times New Roman" w:hAnsi="Times New Roman"/>
          <w:sz w:val="21"/>
        </w:rPr>
        <w:t>Termíny použité v těchto nařízeních</w:t>
      </w:r>
    </w:p>
    <w:p w:rsidR="00E26F6C" w:rsidRPr="00E04140" w:rsidRDefault="00E26F6C" w:rsidP="008D301E">
      <w:pPr>
        <w:pStyle w:val="Brdtexthalv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b/>
          <w:sz w:val="19"/>
        </w:rPr>
        <w:t>§ 2 </w:t>
      </w:r>
      <w:r>
        <w:rPr>
          <w:rFonts w:ascii="Times New Roman" w:hAnsi="Times New Roman"/>
          <w:sz w:val="19"/>
        </w:rPr>
        <w:t>Pokud není stanoveno jinak, mají termíny a názvy použité v těchto předpisech stejný význam jako v zákonu o hazardních hrách (2018:1138) a ve vyhlášce o hazardních hrách (2018:1475).</w:t>
      </w:r>
    </w:p>
    <w:p w:rsidR="00E26F6C" w:rsidRPr="00E04140" w:rsidRDefault="00E26F6C" w:rsidP="008D301E">
      <w:pPr>
        <w:pStyle w:val="Rubrik2"/>
        <w:keepLines/>
        <w:rPr>
          <w:rFonts w:ascii="Times New Roman" w:hAnsi="Times New Roman" w:cs="Times New Roman"/>
          <w:w w:val="100"/>
          <w:sz w:val="21"/>
          <w:szCs w:val="21"/>
        </w:rPr>
      </w:pPr>
      <w:r>
        <w:rPr>
          <w:rFonts w:ascii="Times New Roman" w:hAnsi="Times New Roman"/>
          <w:sz w:val="21"/>
        </w:rPr>
        <w:t>Hry hrané v kasinech</w:t>
      </w:r>
    </w:p>
    <w:p w:rsidR="00E26F6C" w:rsidRPr="00E04140" w:rsidRDefault="00E26F6C" w:rsidP="008D301E">
      <w:pPr>
        <w:pStyle w:val="Brdtexthalv"/>
        <w:keepNext/>
        <w:keepLines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b/>
          <w:sz w:val="19"/>
        </w:rPr>
        <w:t>§ 3</w:t>
      </w:r>
      <w:r>
        <w:rPr>
          <w:rFonts w:ascii="Times New Roman" w:hAnsi="Times New Roman"/>
          <w:sz w:val="19"/>
        </w:rPr>
        <w:t> Na základě kapitoly 7 § 1 zákona o hazardních hrách (2018:1138) mohou získat licenci tyto kasinové hry</w:t>
      </w:r>
    </w:p>
    <w:p w:rsidR="00E26F6C" w:rsidRPr="008D301E" w:rsidRDefault="00E26F6C" w:rsidP="0098460E">
      <w:pPr>
        <w:pStyle w:val="brdtextfyrkant"/>
        <w:numPr>
          <w:ilvl w:val="0"/>
          <w:numId w:val="1"/>
        </w:numPr>
        <w:tabs>
          <w:tab w:val="clear" w:pos="3060"/>
          <w:tab w:val="left" w:pos="426"/>
        </w:tabs>
        <w:ind w:left="0" w:firstLine="142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sz w:val="19"/>
        </w:rPr>
        <w:t xml:space="preserve">ruleta, </w:t>
      </w:r>
    </w:p>
    <w:p w:rsidR="00E26F6C" w:rsidRPr="008D301E" w:rsidRDefault="00E26F6C" w:rsidP="0098460E">
      <w:pPr>
        <w:pStyle w:val="brdtextfyrkant"/>
        <w:numPr>
          <w:ilvl w:val="0"/>
          <w:numId w:val="1"/>
        </w:numPr>
        <w:tabs>
          <w:tab w:val="clear" w:pos="3060"/>
          <w:tab w:val="left" w:pos="426"/>
        </w:tabs>
        <w:ind w:left="0" w:firstLine="142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sz w:val="19"/>
        </w:rPr>
        <w:t xml:space="preserve">baccarat, </w:t>
      </w:r>
    </w:p>
    <w:p w:rsidR="00E26F6C" w:rsidRPr="008D301E" w:rsidRDefault="00E26F6C" w:rsidP="0098460E">
      <w:pPr>
        <w:pStyle w:val="brdtextfyrkant"/>
        <w:numPr>
          <w:ilvl w:val="0"/>
          <w:numId w:val="1"/>
        </w:numPr>
        <w:tabs>
          <w:tab w:val="clear" w:pos="3060"/>
          <w:tab w:val="left" w:pos="426"/>
        </w:tabs>
        <w:ind w:left="0" w:firstLine="142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sz w:val="19"/>
        </w:rPr>
        <w:t xml:space="preserve">punto banco, </w:t>
      </w:r>
    </w:p>
    <w:p w:rsidR="00E26F6C" w:rsidRPr="008D301E" w:rsidRDefault="00E26F6C" w:rsidP="0098460E">
      <w:pPr>
        <w:pStyle w:val="brdtextfyrkant"/>
        <w:numPr>
          <w:ilvl w:val="0"/>
          <w:numId w:val="1"/>
        </w:numPr>
        <w:tabs>
          <w:tab w:val="clear" w:pos="3060"/>
          <w:tab w:val="left" w:pos="426"/>
        </w:tabs>
        <w:ind w:left="0" w:firstLine="142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sz w:val="19"/>
        </w:rPr>
        <w:t xml:space="preserve">blackjack, </w:t>
      </w:r>
    </w:p>
    <w:p w:rsidR="00E26F6C" w:rsidRPr="00E04140" w:rsidRDefault="00E26F6C" w:rsidP="0098460E">
      <w:pPr>
        <w:pStyle w:val="brdtextfyrkant"/>
        <w:numPr>
          <w:ilvl w:val="0"/>
          <w:numId w:val="1"/>
        </w:numPr>
        <w:tabs>
          <w:tab w:val="clear" w:pos="3060"/>
          <w:tab w:val="left" w:pos="426"/>
        </w:tabs>
        <w:ind w:left="0" w:firstLine="142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sz w:val="19"/>
        </w:rPr>
        <w:t>poker a</w:t>
      </w:r>
    </w:p>
    <w:p w:rsidR="00E26F6C" w:rsidRPr="00E04140" w:rsidRDefault="00E26F6C" w:rsidP="0098460E">
      <w:pPr>
        <w:pStyle w:val="brdtextfyrkant"/>
        <w:numPr>
          <w:ilvl w:val="0"/>
          <w:numId w:val="1"/>
        </w:numPr>
        <w:tabs>
          <w:tab w:val="clear" w:pos="3060"/>
          <w:tab w:val="left" w:pos="426"/>
        </w:tabs>
        <w:ind w:left="0" w:firstLine="142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sz w:val="19"/>
        </w:rPr>
        <w:t>hry v kostky.</w:t>
      </w:r>
    </w:p>
    <w:p w:rsidR="00E26F6C" w:rsidRPr="00E04140" w:rsidRDefault="00E26F6C" w:rsidP="008D301E">
      <w:pPr>
        <w:pStyle w:val="Rubrik2"/>
        <w:keepLines/>
        <w:rPr>
          <w:rFonts w:ascii="Times New Roman" w:hAnsi="Times New Roman" w:cs="Times New Roman"/>
          <w:w w:val="100"/>
          <w:sz w:val="21"/>
          <w:szCs w:val="21"/>
        </w:rPr>
      </w:pPr>
      <w:r>
        <w:rPr>
          <w:rFonts w:ascii="Times New Roman" w:hAnsi="Times New Roman"/>
          <w:sz w:val="21"/>
        </w:rPr>
        <w:t>Hráčské účty</w:t>
      </w:r>
    </w:p>
    <w:p w:rsidR="00E26F6C" w:rsidRPr="00E04140" w:rsidRDefault="00E26F6C" w:rsidP="008D301E">
      <w:pPr>
        <w:pStyle w:val="Brdtexthalv"/>
        <w:keepNext/>
        <w:keepLines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b/>
          <w:sz w:val="19"/>
        </w:rPr>
        <w:t>§ 4 </w:t>
      </w:r>
      <w:r>
        <w:rPr>
          <w:rFonts w:ascii="Times New Roman" w:hAnsi="Times New Roman"/>
          <w:sz w:val="19"/>
        </w:rPr>
        <w:t>Hráč může mít pouze jeden hráčský účet.</w:t>
      </w:r>
    </w:p>
    <w:p w:rsidR="00E26F6C" w:rsidRPr="00E04140" w:rsidRDefault="00E26F6C" w:rsidP="008D301E">
      <w:pPr>
        <w:pStyle w:val="brdtextfyrkant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sz w:val="19"/>
        </w:rPr>
        <w:t>První odstavec se neuplatňuje, pokud držitel licence poskytuje hazardní hry na různých URL. V těchto případech hráč může mít více než jeden hráčský účet u jednoho držitele licence za předpokladu, že držitel licence</w:t>
      </w:r>
    </w:p>
    <w:p w:rsidR="00E26F6C" w:rsidRPr="00E04140" w:rsidRDefault="00E26F6C" w:rsidP="008D301E">
      <w:pPr>
        <w:pStyle w:val="brdtextfyrkant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sz w:val="19"/>
        </w:rPr>
        <w:t>1. může určit a vymezit hráčské účty jednotlivého hráče,</w:t>
      </w:r>
    </w:p>
    <w:p w:rsidR="00E26F6C" w:rsidRPr="00E04140" w:rsidRDefault="00E26F6C" w:rsidP="008D301E">
      <w:pPr>
        <w:pStyle w:val="brdtextfyrkant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sz w:val="19"/>
        </w:rPr>
        <w:lastRenderedPageBreak/>
        <w:t>2. zajišťuje, že hráč je vyloučen ze všech hazardních her držitele licence v případě, že se hráč rozhodl pro sebevyloučení podle kapitoly 14, § 11 zákona o hazardních hrách (2018:1138), pokud si hráč aktivně nezvolil, aby toto sebevyloučení platilo pouze pro jednu nebo více konkrétních hazardních her, a</w:t>
      </w:r>
    </w:p>
    <w:p w:rsidR="00E26F6C" w:rsidRPr="00E04140" w:rsidRDefault="00E26F6C" w:rsidP="008D301E">
      <w:pPr>
        <w:pStyle w:val="brdtextfyrkant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sz w:val="19"/>
        </w:rPr>
        <w:t xml:space="preserve">3. Může pozorovat chování hráčů hazardních her a transakce na veškerých hráčských účtech jednotlivého hráče. </w:t>
      </w:r>
    </w:p>
    <w:p w:rsidR="00E26F6C" w:rsidRPr="00E04140" w:rsidRDefault="00E26F6C" w:rsidP="008D301E">
      <w:pPr>
        <w:pStyle w:val="Rubrik2"/>
        <w:keepLines/>
        <w:rPr>
          <w:rFonts w:ascii="Times New Roman" w:hAnsi="Times New Roman" w:cs="Times New Roman"/>
          <w:w w:val="100"/>
          <w:sz w:val="21"/>
          <w:szCs w:val="21"/>
        </w:rPr>
      </w:pPr>
      <w:r>
        <w:rPr>
          <w:rFonts w:ascii="Times New Roman" w:hAnsi="Times New Roman"/>
          <w:sz w:val="21"/>
        </w:rPr>
        <w:t>Dočasné hráčské účty</w:t>
      </w:r>
    </w:p>
    <w:p w:rsidR="00E26F6C" w:rsidRPr="00E04140" w:rsidRDefault="00E26F6C" w:rsidP="008D301E">
      <w:pPr>
        <w:pStyle w:val="Brdtexthalv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b/>
          <w:sz w:val="19"/>
        </w:rPr>
        <w:t>§ 5 </w:t>
      </w:r>
      <w:r>
        <w:rPr>
          <w:rFonts w:ascii="Times New Roman" w:hAnsi="Times New Roman"/>
          <w:sz w:val="19"/>
        </w:rPr>
        <w:t xml:space="preserve">Hráč nesmí vložit do hry více než 1/4 výše cenového základu na dočasném hráčském účtu. </w:t>
      </w:r>
    </w:p>
    <w:p w:rsidR="00E26F6C" w:rsidRPr="00E04140" w:rsidRDefault="00E26F6C" w:rsidP="008D301E">
      <w:pPr>
        <w:pStyle w:val="Brdtextblank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b/>
          <w:sz w:val="19"/>
        </w:rPr>
        <w:t>§ 6 </w:t>
      </w:r>
      <w:r>
        <w:rPr>
          <w:rFonts w:ascii="Times New Roman" w:hAnsi="Times New Roman"/>
          <w:sz w:val="19"/>
        </w:rPr>
        <w:t>Hráč, který má dočasný hráčský účet, musí být ve lhůtě 15 dnů od registrace pobídnut, aby předložil dokumenty potvrzující informace poskytnuté při registraci.</w:t>
      </w:r>
    </w:p>
    <w:p w:rsidR="00E26F6C" w:rsidRPr="00E04140" w:rsidRDefault="00E26F6C" w:rsidP="008D301E">
      <w:pPr>
        <w:pStyle w:val="brdtextfyrkant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sz w:val="19"/>
        </w:rPr>
        <w:t>Dočasný hráčský účet může být pro hraní hazardních her používán nanejvýš po dobu 30 dnů.</w:t>
      </w:r>
    </w:p>
    <w:p w:rsidR="00E26F6C" w:rsidRPr="00E04140" w:rsidRDefault="00E26F6C" w:rsidP="008D301E">
      <w:pPr>
        <w:pStyle w:val="Rubrik2"/>
        <w:keepLines/>
        <w:rPr>
          <w:rFonts w:ascii="Times New Roman" w:hAnsi="Times New Roman" w:cs="Times New Roman"/>
          <w:w w:val="100"/>
          <w:sz w:val="21"/>
          <w:szCs w:val="21"/>
        </w:rPr>
      </w:pPr>
      <w:r>
        <w:rPr>
          <w:rFonts w:ascii="Times New Roman" w:hAnsi="Times New Roman"/>
          <w:sz w:val="21"/>
        </w:rPr>
        <w:t>Informace pro hráče</w:t>
      </w:r>
    </w:p>
    <w:p w:rsidR="00E26F6C" w:rsidRPr="00E04140" w:rsidRDefault="00E26F6C" w:rsidP="008D301E">
      <w:pPr>
        <w:pStyle w:val="Brdtexthalv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b/>
          <w:sz w:val="19"/>
        </w:rPr>
        <w:t>§ 7 </w:t>
      </w:r>
      <w:r>
        <w:rPr>
          <w:rFonts w:ascii="Times New Roman" w:hAnsi="Times New Roman"/>
          <w:sz w:val="19"/>
        </w:rPr>
        <w:t>Mimo to, co je uvedeno v kapitole 14, § 4, zákona o hazardních hrách (2018:1138), musí být hráčům neustále bezprostředně k dispozici následující informace na místech, kde držitel licence nabízí hazardní hry</w:t>
      </w:r>
    </w:p>
    <w:p w:rsidR="00E26F6C" w:rsidRPr="00E04140" w:rsidRDefault="00E26F6C" w:rsidP="008D301E">
      <w:pPr>
        <w:pStyle w:val="brdtextfyrkant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sz w:val="19"/>
        </w:rPr>
        <w:t>1. jméno, identifikační číslo organizace, telefonní číslo a e-mailová adresa držitele licence,</w:t>
      </w:r>
    </w:p>
    <w:p w:rsidR="00E26F6C" w:rsidRPr="00E04140" w:rsidRDefault="00E26F6C" w:rsidP="008D301E">
      <w:pPr>
        <w:pStyle w:val="brdtextfyrkant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sz w:val="19"/>
        </w:rPr>
        <w:t>2. doba, na kterou se vztahuje licence,</w:t>
      </w:r>
    </w:p>
    <w:p w:rsidR="00E26F6C" w:rsidRPr="00E04140" w:rsidRDefault="00E26F6C" w:rsidP="008D301E">
      <w:pPr>
        <w:pStyle w:val="brdtextfyrkant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sz w:val="19"/>
        </w:rPr>
        <w:t xml:space="preserve">3. případná rizika související s hraním her o peníze, </w:t>
      </w:r>
    </w:p>
    <w:p w:rsidR="00E26F6C" w:rsidRPr="00E04140" w:rsidRDefault="00E26F6C" w:rsidP="008D301E">
      <w:pPr>
        <w:pStyle w:val="brdtextfyrkant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sz w:val="19"/>
        </w:rPr>
        <w:t xml:space="preserve">4. kontaktní údaje pro linku důvěry pro problémové hráčství, která je nezávislá na herním průmyslu a může nabízet pomoc na základě podmínek platných ve Švédsku, </w:t>
      </w:r>
    </w:p>
    <w:p w:rsidR="00E26F6C" w:rsidRPr="00E04140" w:rsidRDefault="00E26F6C" w:rsidP="008D301E">
      <w:pPr>
        <w:pStyle w:val="brdtextfyrkant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sz w:val="19"/>
        </w:rPr>
        <w:t>5. skutečnost, že Švédský úřad pro hazardní hry je příslušným orgánem vydávajícím licence a provádějícím dohled,</w:t>
      </w:r>
    </w:p>
    <w:p w:rsidR="00E26F6C" w:rsidRPr="00E04140" w:rsidRDefault="00E26F6C" w:rsidP="008D301E">
      <w:pPr>
        <w:pStyle w:val="brdtextfyrkant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sz w:val="19"/>
        </w:rPr>
        <w:t>6. vklad nebo ekvivalent v případě dané hazardní hry, a</w:t>
      </w:r>
    </w:p>
    <w:p w:rsidR="00E26F6C" w:rsidRPr="00E04140" w:rsidRDefault="00E26F6C" w:rsidP="008D301E">
      <w:pPr>
        <w:pStyle w:val="brdtextfyrkant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sz w:val="19"/>
        </w:rPr>
        <w:t>7. veškeré další náklady na účast v dané hazardní hře.</w:t>
      </w:r>
    </w:p>
    <w:p w:rsidR="00E26F6C" w:rsidRPr="00E04140" w:rsidRDefault="00E26F6C" w:rsidP="008D301E">
      <w:pPr>
        <w:pStyle w:val="Rubrik4"/>
        <w:keepLines/>
        <w:widowControl/>
        <w:ind w:left="1120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sz w:val="19"/>
        </w:rPr>
        <w:t>Obecná doporučení:</w:t>
      </w:r>
    </w:p>
    <w:p w:rsidR="00E26F6C" w:rsidRPr="00E04140" w:rsidRDefault="00E26F6C" w:rsidP="008D301E">
      <w:pPr>
        <w:pStyle w:val="Brdtexthalv"/>
        <w:ind w:left="1120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sz w:val="19"/>
        </w:rPr>
        <w:t xml:space="preserve">Nezávislou linkou důvěrou může být například Stödlinjen. </w:t>
      </w:r>
    </w:p>
    <w:p w:rsidR="00E26F6C" w:rsidRPr="00E04140" w:rsidRDefault="00E26F6C" w:rsidP="008D301E">
      <w:pPr>
        <w:pStyle w:val="Brdtextblank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b/>
          <w:sz w:val="19"/>
        </w:rPr>
        <w:t>§ 8</w:t>
      </w:r>
      <w:r>
        <w:rPr>
          <w:rFonts w:ascii="Times New Roman" w:hAnsi="Times New Roman"/>
          <w:sz w:val="19"/>
        </w:rPr>
        <w:t> Informace uvedené v § 7, bodech 1 a 4, musí být jasně uvedeny na domovské stránce držitele licence společně s logem Švédského úřadu pro hazardní hry a odkazem na internetovou stránku úřadu a odkazem na podmínky použití.</w:t>
      </w:r>
    </w:p>
    <w:p w:rsidR="00E26F6C" w:rsidRPr="00E04140" w:rsidRDefault="00E26F6C" w:rsidP="008D301E">
      <w:pPr>
        <w:pStyle w:val="Brdtextblank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b/>
          <w:sz w:val="19"/>
        </w:rPr>
        <w:t>§ 9</w:t>
      </w:r>
      <w:r>
        <w:rPr>
          <w:rFonts w:ascii="Times New Roman" w:hAnsi="Times New Roman"/>
          <w:sz w:val="19"/>
        </w:rPr>
        <w:t xml:space="preserve"> Pokud se změní stávající podmínky využívání, a daná změna není změnou nevýznamnou, musí být hráči o změnách informováni ještě před tím, než tyto změny nabudou účinnosti. </w:t>
      </w:r>
    </w:p>
    <w:p w:rsidR="00E26F6C" w:rsidRPr="00E04140" w:rsidRDefault="00E26F6C" w:rsidP="008D301E">
      <w:pPr>
        <w:pStyle w:val="Rubrik4"/>
        <w:keepLines/>
        <w:widowControl/>
        <w:ind w:left="1120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sz w:val="19"/>
        </w:rPr>
        <w:lastRenderedPageBreak/>
        <w:t xml:space="preserve">Obecná doporučení: </w:t>
      </w:r>
    </w:p>
    <w:p w:rsidR="00E26F6C" w:rsidRPr="00E04140" w:rsidRDefault="00E26F6C" w:rsidP="008D301E">
      <w:pPr>
        <w:pStyle w:val="Brdtexthalv"/>
        <w:ind w:left="1120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sz w:val="19"/>
        </w:rPr>
        <w:t>Za nevýznamnou změnu lze považovat například opravu pravopisných chyb.</w:t>
      </w:r>
    </w:p>
    <w:p w:rsidR="00E26F6C" w:rsidRPr="00E04140" w:rsidRDefault="00E26F6C" w:rsidP="008D301E">
      <w:pPr>
        <w:pStyle w:val="brdtextfyrkant"/>
        <w:ind w:left="1120" w:firstLine="200"/>
        <w:rPr>
          <w:rFonts w:ascii="Times New Roman" w:hAnsi="Times New Roman" w:cs="Times New Roman"/>
          <w:b/>
          <w:bCs/>
          <w:w w:val="100"/>
          <w:sz w:val="19"/>
          <w:szCs w:val="19"/>
        </w:rPr>
      </w:pPr>
      <w:r>
        <w:rPr>
          <w:rFonts w:ascii="Times New Roman" w:hAnsi="Times New Roman"/>
          <w:sz w:val="19"/>
        </w:rPr>
        <w:t>Informace pro hráče o změnách podmínek využívání mohou být podány například formou písemného oznámení o změně nebo sdělením o nových podmínkách využívání, které hráč odsouhlasí při přihlašování.</w:t>
      </w:r>
    </w:p>
    <w:p w:rsidR="00E26F6C" w:rsidRPr="00E04140" w:rsidRDefault="00E26F6C" w:rsidP="008D301E">
      <w:pPr>
        <w:pStyle w:val="Rubrik2"/>
        <w:keepLines/>
        <w:rPr>
          <w:rFonts w:ascii="Times New Roman" w:hAnsi="Times New Roman" w:cs="Times New Roman"/>
          <w:w w:val="100"/>
          <w:sz w:val="21"/>
          <w:szCs w:val="21"/>
        </w:rPr>
      </w:pPr>
      <w:r>
        <w:rPr>
          <w:rFonts w:ascii="Times New Roman" w:hAnsi="Times New Roman"/>
          <w:sz w:val="21"/>
        </w:rPr>
        <w:t>Informace vztahující se na poker</w:t>
      </w:r>
    </w:p>
    <w:p w:rsidR="00E26F6C" w:rsidRPr="00E04140" w:rsidRDefault="00E26F6C" w:rsidP="008D301E">
      <w:pPr>
        <w:pStyle w:val="Brdtexthalv"/>
        <w:keepNext/>
        <w:keepLines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b/>
          <w:sz w:val="19"/>
        </w:rPr>
        <w:t>§ 10</w:t>
      </w:r>
      <w:r>
        <w:rPr>
          <w:rFonts w:ascii="Times New Roman" w:hAnsi="Times New Roman"/>
          <w:sz w:val="19"/>
        </w:rPr>
        <w:tab/>
        <w:t xml:space="preserve">Probíhající pokerová hra musí být viditelná pro všechny přihlášené hráče. </w:t>
      </w:r>
    </w:p>
    <w:p w:rsidR="00E26F6C" w:rsidRPr="00E04140" w:rsidRDefault="00E26F6C" w:rsidP="008D301E">
      <w:pPr>
        <w:pStyle w:val="brdtextfyrkant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sz w:val="19"/>
        </w:rPr>
        <w:t>První odstavec však neuplatňuje na pokerové hry, které vyžadují zvláštní registraci. V těchto případech je mohou sledovat pouze hráči, kteří se pro tyto hry konkrétně registrovali.</w:t>
      </w:r>
    </w:p>
    <w:p w:rsidR="00E26F6C" w:rsidRPr="00E04140" w:rsidRDefault="00E26F6C" w:rsidP="008D301E">
      <w:pPr>
        <w:pStyle w:val="Brdtextblank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b/>
          <w:sz w:val="19"/>
        </w:rPr>
        <w:t>§ 11 </w:t>
      </w:r>
      <w:r>
        <w:rPr>
          <w:rFonts w:ascii="Times New Roman" w:hAnsi="Times New Roman"/>
          <w:sz w:val="19"/>
        </w:rPr>
        <w:t xml:space="preserve">Držitelé licence musí v souladu s kapitolou 14 § 13 zákona o hazardních hrách (2018:1138) disponovat personálem alespoň po takovou dobu, během níž mají hráči možnost se pokerové hry účastnit. </w:t>
      </w:r>
    </w:p>
    <w:p w:rsidR="00E26F6C" w:rsidRPr="00E04140" w:rsidRDefault="00E26F6C" w:rsidP="008D301E">
      <w:pPr>
        <w:pStyle w:val="Rubrik2"/>
        <w:keepLines/>
        <w:rPr>
          <w:rFonts w:ascii="Times New Roman" w:hAnsi="Times New Roman" w:cs="Times New Roman"/>
          <w:w w:val="100"/>
          <w:sz w:val="21"/>
          <w:szCs w:val="21"/>
        </w:rPr>
      </w:pPr>
      <w:r>
        <w:rPr>
          <w:rFonts w:ascii="Times New Roman" w:hAnsi="Times New Roman"/>
          <w:sz w:val="21"/>
        </w:rPr>
        <w:t>Informace pro zprostředkovatele hazardních her</w:t>
      </w:r>
    </w:p>
    <w:p w:rsidR="00E26F6C" w:rsidRPr="00E04140" w:rsidRDefault="00E26F6C" w:rsidP="008D301E">
      <w:pPr>
        <w:pStyle w:val="Brdtexthalv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b/>
          <w:sz w:val="19"/>
        </w:rPr>
        <w:t>§ 12 </w:t>
      </w:r>
      <w:r>
        <w:rPr>
          <w:rFonts w:ascii="Times New Roman" w:hAnsi="Times New Roman"/>
          <w:sz w:val="19"/>
        </w:rPr>
        <w:t>Zprostředkovatelé hazardních her musí být obeznámeni s příslušnými částmi zákona o hazardních hrách (2018:1138), vyhlášky o hazardních hrách (2018:1475), předpisy, všeobecnými doporučeními a podmínkami, které platí pro držitele licencí. Rovněž musí být obeznámeni s vnitřními postupy a pokyny držitele licence, které se týkají provozovny zprostředkovatele hazardních her.</w:t>
      </w:r>
    </w:p>
    <w:p w:rsidR="00E26F6C" w:rsidRPr="00E04140" w:rsidRDefault="00E26F6C" w:rsidP="008D301E">
      <w:pPr>
        <w:pStyle w:val="Rubrik4"/>
        <w:keepLines/>
        <w:widowControl/>
        <w:ind w:left="1120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sz w:val="19"/>
        </w:rPr>
        <w:t xml:space="preserve">Obecná doporučení: </w:t>
      </w:r>
    </w:p>
    <w:p w:rsidR="00E26F6C" w:rsidRPr="00E04140" w:rsidRDefault="00E26F6C" w:rsidP="008D301E">
      <w:pPr>
        <w:pStyle w:val="Brdtexthalv"/>
        <w:ind w:left="1120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sz w:val="19"/>
        </w:rPr>
        <w:t>Příslušné části zákona o hazardních hrách, vyhlášky a předpisů mohou obsahovat například to, že hraní může být povoleno pouze osobám starším než 18 let, že je zakázáno poskytovat úvěr na hazardní hry, a místa, na kterých mohou hráči získat informace a pomoc týkající se vlastního otestování, sebevyloučení a jiných záležitostí souvisejících s hazardem.</w:t>
      </w:r>
    </w:p>
    <w:p w:rsidR="00E26F6C" w:rsidRPr="00E04140" w:rsidRDefault="00E26F6C" w:rsidP="0098460E">
      <w:pPr>
        <w:pStyle w:val="Brdtextlinje"/>
        <w:numPr>
          <w:ilvl w:val="0"/>
          <w:numId w:val="3"/>
        </w:numPr>
        <w:tabs>
          <w:tab w:val="left" w:pos="426"/>
        </w:tabs>
        <w:ind w:left="0" w:firstLine="180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sz w:val="19"/>
        </w:rPr>
        <w:t>Tyto předpisy vstupují v platnost dne 1. ledna 2019.</w:t>
      </w:r>
    </w:p>
    <w:p w:rsidR="00E26F6C" w:rsidRPr="00E04140" w:rsidRDefault="00E26F6C" w:rsidP="0098460E">
      <w:pPr>
        <w:pStyle w:val="brdtextfyrkant"/>
        <w:numPr>
          <w:ilvl w:val="0"/>
          <w:numId w:val="3"/>
        </w:numPr>
        <w:tabs>
          <w:tab w:val="left" w:pos="426"/>
        </w:tabs>
        <w:ind w:left="0" w:firstLine="180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sz w:val="19"/>
        </w:rPr>
        <w:t>Tyto předpisy platí pro žádosti o povolení, které budou podány k Švédskému úřadu pro hazardní hry po 1. srpnu 2018 a které se týkají období po 1. lednu 2019.</w:t>
      </w:r>
    </w:p>
    <w:p w:rsidR="00E26F6C" w:rsidRPr="00E04140" w:rsidRDefault="00E26F6C" w:rsidP="008D301E">
      <w:pPr>
        <w:pStyle w:val="Brdtextblank"/>
        <w:rPr>
          <w:rFonts w:ascii="Times New Roman" w:hAnsi="Times New Roman" w:cs="Times New Roman"/>
          <w:w w:val="100"/>
          <w:sz w:val="19"/>
          <w:szCs w:val="19"/>
        </w:rPr>
      </w:pPr>
    </w:p>
    <w:p w:rsidR="00E26F6C" w:rsidRPr="00E04140" w:rsidRDefault="00E26F6C" w:rsidP="008D301E">
      <w:pPr>
        <w:pStyle w:val="Brdtextblank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sz w:val="19"/>
        </w:rPr>
        <w:t>Jménem Švédského úřadu pro hazardní hry</w:t>
      </w:r>
    </w:p>
    <w:p w:rsidR="00E26F6C" w:rsidRPr="00E04140" w:rsidRDefault="00E26F6C" w:rsidP="008D301E">
      <w:pPr>
        <w:pStyle w:val="Brdtextblank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sz w:val="19"/>
        </w:rPr>
        <w:t>CAMILLA ROSENBERG</w:t>
      </w:r>
    </w:p>
    <w:p w:rsidR="00E26F6C" w:rsidRDefault="00E26F6C" w:rsidP="008D301E">
      <w:pPr>
        <w:pStyle w:val="BodyText"/>
        <w:jc w:val="center"/>
        <w:rPr>
          <w:rFonts w:ascii="Times New Roman" w:hAnsi="Times New Roman" w:cs="Times New Roman"/>
          <w:w w:val="100"/>
          <w:sz w:val="19"/>
          <w:szCs w:val="19"/>
        </w:rPr>
      </w:pPr>
      <w:r>
        <w:rPr>
          <w:rFonts w:ascii="Times New Roman" w:hAnsi="Times New Roman"/>
          <w:sz w:val="19"/>
        </w:rPr>
        <w:t>Johan Röhr</w:t>
      </w:r>
    </w:p>
    <w:sectPr w:rsidR="00E26F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9354" w:h="13720"/>
      <w:pgMar w:top="680" w:right="2306" w:bottom="1302" w:left="1154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1820" w:rsidRDefault="00BE1820">
      <w:pPr>
        <w:spacing w:after="0" w:line="240" w:lineRule="auto"/>
      </w:pPr>
      <w:r>
        <w:separator/>
      </w:r>
    </w:p>
  </w:endnote>
  <w:endnote w:type="continuationSeparator" w:id="0">
    <w:p w:rsidR="00BE1820" w:rsidRDefault="00BE1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6F6C" w:rsidRPr="00053DD8" w:rsidRDefault="00E26F6C">
    <w:pPr>
      <w:pStyle w:val="Footer"/>
      <w:tabs>
        <w:tab w:val="center" w:pos="12800"/>
        <w:tab w:val="right" w:pos="25600"/>
      </w:tabs>
      <w:jc w:val="left"/>
      <w:rPr>
        <w:rStyle w:val="Pagina"/>
        <w:rFonts w:ascii="Times New Roman" w:hAnsi="Times New Roman" w:cs="Times New Roman"/>
        <w:w w:val="100"/>
      </w:rPr>
    </w:pPr>
    <w:r w:rsidRPr="00053DD8">
      <w:rPr>
        <w:rStyle w:val="Pagina"/>
        <w:rFonts w:ascii="Times New Roman" w:hAnsi="Times New Roman" w:cs="Times New Roman"/>
      </w:rPr>
      <w:fldChar w:fldCharType="begin"/>
    </w:r>
    <w:r w:rsidRPr="00053DD8">
      <w:rPr>
        <w:rStyle w:val="Pagina"/>
        <w:rFonts w:ascii="Times New Roman" w:hAnsi="Times New Roman" w:cs="Times New Roman"/>
      </w:rPr>
      <w:instrText xml:space="preserve"> PAGE </w:instrText>
    </w:r>
    <w:r w:rsidRPr="00053DD8">
      <w:rPr>
        <w:rStyle w:val="Pagina"/>
        <w:rFonts w:ascii="Times New Roman" w:hAnsi="Times New Roman" w:cs="Times New Roman"/>
      </w:rPr>
      <w:fldChar w:fldCharType="separate"/>
    </w:r>
    <w:r w:rsidR="00AD3860">
      <w:rPr>
        <w:rStyle w:val="Pagina"/>
        <w:rFonts w:ascii="Times New Roman" w:hAnsi="Times New Roman" w:cs="Times New Roman"/>
        <w:noProof/>
      </w:rPr>
      <w:t>2</w:t>
    </w:r>
    <w:r w:rsidRPr="00053DD8">
      <w:rPr>
        <w:rStyle w:val="Pagina"/>
        <w:rFonts w:ascii="Times New Roman" w:hAnsi="Times New Roman" w:cs="Times New Roman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6F6C" w:rsidRPr="00053DD8" w:rsidRDefault="00E26F6C">
    <w:pPr>
      <w:pStyle w:val="Footer"/>
      <w:tabs>
        <w:tab w:val="center" w:pos="12800"/>
        <w:tab w:val="right" w:pos="25600"/>
      </w:tabs>
      <w:rPr>
        <w:rStyle w:val="Pagina"/>
        <w:rFonts w:ascii="Times New Roman" w:hAnsi="Times New Roman" w:cs="Times New Roman"/>
        <w:w w:val="100"/>
      </w:rPr>
    </w:pPr>
    <w:r w:rsidRPr="00053DD8">
      <w:rPr>
        <w:rStyle w:val="Pagina"/>
        <w:rFonts w:ascii="Times New Roman" w:hAnsi="Times New Roman" w:cs="Times New Roman"/>
      </w:rPr>
      <w:fldChar w:fldCharType="begin"/>
    </w:r>
    <w:r w:rsidRPr="00053DD8">
      <w:rPr>
        <w:rStyle w:val="Pagina"/>
        <w:rFonts w:ascii="Times New Roman" w:hAnsi="Times New Roman" w:cs="Times New Roman"/>
      </w:rPr>
      <w:instrText xml:space="preserve"> PAGE </w:instrText>
    </w:r>
    <w:r w:rsidRPr="00053DD8">
      <w:rPr>
        <w:rStyle w:val="Pagina"/>
        <w:rFonts w:ascii="Times New Roman" w:hAnsi="Times New Roman" w:cs="Times New Roman"/>
      </w:rPr>
      <w:fldChar w:fldCharType="separate"/>
    </w:r>
    <w:r w:rsidR="00AD3860">
      <w:rPr>
        <w:rStyle w:val="Pagina"/>
        <w:rFonts w:ascii="Times New Roman" w:hAnsi="Times New Roman" w:cs="Times New Roman"/>
        <w:noProof/>
      </w:rPr>
      <w:t>3</w:t>
    </w:r>
    <w:r w:rsidRPr="00053DD8">
      <w:rPr>
        <w:rStyle w:val="Pagina"/>
        <w:rFonts w:ascii="Times New Roman" w:hAnsi="Times New Roman" w:cs="Times New Roman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6F6C" w:rsidRPr="00053DD8" w:rsidRDefault="00E26F6C">
    <w:pPr>
      <w:pStyle w:val="Footer"/>
      <w:rPr>
        <w:rStyle w:val="Pagina"/>
        <w:rFonts w:ascii="Times New Roman" w:hAnsi="Times New Roman" w:cs="Times New Roman"/>
        <w:w w:val="100"/>
      </w:rPr>
    </w:pPr>
    <w:r w:rsidRPr="00053DD8">
      <w:rPr>
        <w:rStyle w:val="Pagina"/>
        <w:rFonts w:ascii="Times New Roman" w:hAnsi="Times New Roman" w:cs="Times New Roman"/>
      </w:rPr>
      <w:fldChar w:fldCharType="begin"/>
    </w:r>
    <w:r w:rsidRPr="00053DD8">
      <w:rPr>
        <w:rStyle w:val="Pagina"/>
        <w:rFonts w:ascii="Times New Roman" w:hAnsi="Times New Roman" w:cs="Times New Roman"/>
      </w:rPr>
      <w:instrText xml:space="preserve"> PAGE </w:instrText>
    </w:r>
    <w:r w:rsidRPr="00053DD8">
      <w:rPr>
        <w:rStyle w:val="Pagina"/>
        <w:rFonts w:ascii="Times New Roman" w:hAnsi="Times New Roman" w:cs="Times New Roman"/>
      </w:rPr>
      <w:fldChar w:fldCharType="separate"/>
    </w:r>
    <w:r w:rsidR="00AD3860">
      <w:rPr>
        <w:rStyle w:val="Pagina"/>
        <w:rFonts w:ascii="Times New Roman" w:hAnsi="Times New Roman" w:cs="Times New Roman"/>
        <w:noProof/>
      </w:rPr>
      <w:t>1</w:t>
    </w:r>
    <w:r w:rsidRPr="00053DD8">
      <w:rPr>
        <w:rStyle w:val="Pagina"/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1820" w:rsidRDefault="00BE1820">
      <w:pPr>
        <w:spacing w:after="0" w:line="240" w:lineRule="auto"/>
      </w:pPr>
      <w:r>
        <w:separator/>
      </w:r>
    </w:p>
  </w:footnote>
  <w:footnote w:type="continuationSeparator" w:id="0">
    <w:p w:rsidR="00BE1820" w:rsidRDefault="00BE1820">
      <w:pPr>
        <w:spacing w:after="0" w:line="240" w:lineRule="auto"/>
      </w:pPr>
      <w:r>
        <w:continuationSeparator/>
      </w:r>
    </w:p>
  </w:footnote>
  <w:footnote w:id="1">
    <w:p w:rsidR="00E26F6C" w:rsidRPr="008D301E" w:rsidRDefault="00E26F6C">
      <w:pPr>
        <w:pStyle w:val="Fotnot"/>
        <w:rPr>
          <w:rFonts w:ascii="Times New Roman" w:hAnsi="Times New Roman" w:cs="Times New Roman"/>
          <w:w w:val="100"/>
          <w:sz w:val="17"/>
          <w:szCs w:val="17"/>
        </w:rPr>
      </w:pPr>
      <w:r>
        <w:rPr>
          <w:rFonts w:ascii="Times New Roman" w:hAnsi="Times New Roman"/>
          <w:vertAlign w:val="superscript"/>
        </w:rPr>
        <w:footnoteRef/>
      </w:r>
      <w:r>
        <w:t> Viz směrnice Evropského parlamentu a Rady (EU) 2015/1535 ze dne 9. září 2015 o postupu při poskytování informací v oblasti technických předpisů a předpisů pro služby informační společnosti.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6F6C" w:rsidRPr="00053DD8" w:rsidRDefault="00E26F6C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1"/>
        <w:szCs w:val="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6F6C" w:rsidRPr="00053DD8" w:rsidRDefault="00E26F6C" w:rsidP="00053DD8">
    <w:pPr>
      <w:pStyle w:val="Header"/>
      <w:tabs>
        <w:tab w:val="clear" w:pos="2680"/>
        <w:tab w:val="clear" w:pos="4860"/>
        <w:tab w:val="center" w:pos="3840"/>
        <w:tab w:val="right" w:pos="7680"/>
        <w:tab w:val="center" w:pos="14920"/>
        <w:tab w:val="right" w:pos="29840"/>
      </w:tabs>
      <w:suppressAutoHyphens/>
      <w:jc w:val="right"/>
      <w:rPr>
        <w:rFonts w:ascii="Times New Roman" w:hAnsi="Times New Roman" w:cs="Times New Roman"/>
        <w:w w:val="100"/>
        <w:sz w:val="21"/>
        <w:szCs w:val="21"/>
      </w:rPr>
    </w:pPr>
    <w:r>
      <w:rPr>
        <w:rFonts w:ascii="Times New Roman" w:hAnsi="Times New Roman"/>
        <w:sz w:val="21"/>
      </w:rPr>
      <w:t>LIFS 2018:5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6F6C" w:rsidRPr="00053DD8" w:rsidRDefault="00E26F6C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66649F"/>
    <w:multiLevelType w:val="hybridMultilevel"/>
    <w:tmpl w:val="E0E679E8"/>
    <w:lvl w:ilvl="0" w:tplc="19A2DA46">
      <w:start w:val="1"/>
      <w:numFmt w:val="decimal"/>
      <w:lvlText w:val="%1."/>
      <w:lvlJc w:val="left"/>
      <w:pPr>
        <w:ind w:left="90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6934A2F"/>
    <w:multiLevelType w:val="hybridMultilevel"/>
    <w:tmpl w:val="AEF8F8E4"/>
    <w:lvl w:ilvl="0" w:tplc="B67ADE9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78536144"/>
    <w:multiLevelType w:val="hybridMultilevel"/>
    <w:tmpl w:val="5B30D3E0"/>
    <w:lvl w:ilvl="0" w:tplc="19A2DA46">
      <w:start w:val="1"/>
      <w:numFmt w:val="decimal"/>
      <w:lvlText w:val="%1."/>
      <w:lvlJc w:val="left"/>
      <w:pPr>
        <w:ind w:left="90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425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140"/>
    <w:rsid w:val="00053DD8"/>
    <w:rsid w:val="000960E2"/>
    <w:rsid w:val="002D5004"/>
    <w:rsid w:val="006E526C"/>
    <w:rsid w:val="0072448A"/>
    <w:rsid w:val="008D301E"/>
    <w:rsid w:val="0098460E"/>
    <w:rsid w:val="00A54B11"/>
    <w:rsid w:val="00AD3860"/>
    <w:rsid w:val="00BE1820"/>
    <w:rsid w:val="00CC1652"/>
    <w:rsid w:val="00E04140"/>
    <w:rsid w:val="00E26F6C"/>
    <w:rsid w:val="00FD0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9"/>
    <o:shapelayout v:ext="edit">
      <o:idmap v:ext="edit" data="1"/>
    </o:shapelayout>
  </w:shapeDefaults>
  <w:decimalSymbol w:val=","/>
  <w:listSeparator w:val=";"/>
  <w14:defaultImageDpi w14:val="0"/>
  <w15:docId w15:val="{3A890AE6-AC3F-4335-B892-22D21E436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cs-CZ" w:eastAsia="en-GB" w:bidi="en-GB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tgivare">
    <w:name w:val="Utgivare"/>
    <w:pPr>
      <w:widowControl w:val="0"/>
      <w:tabs>
        <w:tab w:val="left" w:pos="100"/>
      </w:tabs>
      <w:autoSpaceDE w:val="0"/>
      <w:autoSpaceDN w:val="0"/>
      <w:adjustRightInd w:val="0"/>
      <w:spacing w:before="180" w:line="160" w:lineRule="atLeast"/>
      <w:jc w:val="both"/>
    </w:pPr>
    <w:rPr>
      <w:rFonts w:ascii="Times" w:hAnsi="Times" w:cs="Times"/>
      <w:color w:val="000000"/>
      <w:w w:val="0"/>
      <w:sz w:val="16"/>
      <w:szCs w:val="16"/>
    </w:rPr>
  </w:style>
  <w:style w:type="paragraph" w:customStyle="1" w:styleId="Fristende7cic">
    <w:name w:val="Fristående 7 cic"/>
    <w:uiPriority w:val="99"/>
    <w:pPr>
      <w:tabs>
        <w:tab w:val="left" w:pos="1980"/>
      </w:tabs>
      <w:autoSpaceDE w:val="0"/>
      <w:autoSpaceDN w:val="0"/>
      <w:adjustRightInd w:val="0"/>
      <w:spacing w:before="100" w:line="220" w:lineRule="atLeast"/>
      <w:ind w:left="1980" w:hanging="1980"/>
      <w:jc w:val="both"/>
    </w:pPr>
    <w:rPr>
      <w:rFonts w:ascii="Times" w:hAnsi="Times" w:cs="Times"/>
      <w:color w:val="000000"/>
      <w:w w:val="0"/>
      <w:sz w:val="18"/>
      <w:szCs w:val="18"/>
    </w:rPr>
  </w:style>
  <w:style w:type="paragraph" w:customStyle="1" w:styleId="Brdtextnytt">
    <w:name w:val="Brödtext nytt"/>
    <w:uiPriority w:val="99"/>
    <w:pPr>
      <w:tabs>
        <w:tab w:val="left" w:pos="3060"/>
      </w:tabs>
      <w:autoSpaceDE w:val="0"/>
      <w:autoSpaceDN w:val="0"/>
      <w:adjustRightInd w:val="0"/>
      <w:spacing w:line="220" w:lineRule="atLeast"/>
      <w:ind w:firstLine="180"/>
      <w:jc w:val="both"/>
    </w:pPr>
    <w:rPr>
      <w:rFonts w:ascii="Times" w:hAnsi="Times" w:cs="Times"/>
      <w:color w:val="000000"/>
      <w:w w:val="0"/>
      <w:sz w:val="18"/>
      <w:szCs w:val="18"/>
    </w:rPr>
  </w:style>
  <w:style w:type="paragraph" w:styleId="BodyText">
    <w:name w:val="Body Text"/>
    <w:basedOn w:val="Normal"/>
    <w:link w:val="BodyTextChar"/>
    <w:uiPriority w:val="99"/>
    <w:pPr>
      <w:tabs>
        <w:tab w:val="left" w:pos="2940"/>
      </w:tabs>
      <w:autoSpaceDE w:val="0"/>
      <w:autoSpaceDN w:val="0"/>
      <w:adjustRightInd w:val="0"/>
      <w:spacing w:after="0" w:line="220" w:lineRule="atLeast"/>
      <w:jc w:val="both"/>
    </w:pPr>
    <w:rPr>
      <w:rFonts w:ascii="Times" w:hAnsi="Times" w:cs="Times"/>
      <w:color w:val="000000"/>
      <w:w w:val="0"/>
      <w:sz w:val="18"/>
      <w:szCs w:val="18"/>
    </w:rPr>
  </w:style>
  <w:style w:type="character" w:customStyle="1" w:styleId="BodyTextChar">
    <w:name w:val="Body Text Char"/>
    <w:link w:val="BodyText"/>
    <w:uiPriority w:val="99"/>
    <w:semiHidden/>
  </w:style>
  <w:style w:type="paragraph" w:customStyle="1" w:styleId="Brdtextblank">
    <w:name w:val="Brödtext blank"/>
    <w:uiPriority w:val="99"/>
    <w:pPr>
      <w:tabs>
        <w:tab w:val="left" w:pos="3060"/>
      </w:tabs>
      <w:autoSpaceDE w:val="0"/>
      <w:autoSpaceDN w:val="0"/>
      <w:adjustRightInd w:val="0"/>
      <w:spacing w:before="220" w:line="220" w:lineRule="atLeast"/>
      <w:jc w:val="both"/>
    </w:pPr>
    <w:rPr>
      <w:rFonts w:ascii="Times" w:hAnsi="Times" w:cs="Times"/>
      <w:color w:val="000000"/>
      <w:w w:val="0"/>
      <w:sz w:val="18"/>
      <w:szCs w:val="18"/>
    </w:rPr>
  </w:style>
  <w:style w:type="paragraph" w:customStyle="1" w:styleId="Brdtexthalv">
    <w:name w:val="Brödtext halv"/>
    <w:uiPriority w:val="99"/>
    <w:pPr>
      <w:autoSpaceDE w:val="0"/>
      <w:autoSpaceDN w:val="0"/>
      <w:adjustRightInd w:val="0"/>
      <w:spacing w:before="100" w:line="220" w:lineRule="atLeast"/>
      <w:jc w:val="both"/>
    </w:pPr>
    <w:rPr>
      <w:rFonts w:ascii="Times" w:hAnsi="Times" w:cs="Times"/>
      <w:color w:val="000000"/>
      <w:w w:val="0"/>
      <w:sz w:val="18"/>
      <w:szCs w:val="18"/>
    </w:rPr>
  </w:style>
  <w:style w:type="paragraph" w:customStyle="1" w:styleId="Brdtextlinje">
    <w:name w:val="Brödtext linje"/>
    <w:uiPriority w:val="99"/>
    <w:pPr>
      <w:pBdr>
        <w:top w:val="single" w:sz="8" w:space="0" w:color="auto"/>
      </w:pBdr>
      <w:autoSpaceDE w:val="0"/>
      <w:autoSpaceDN w:val="0"/>
      <w:adjustRightInd w:val="0"/>
      <w:spacing w:line="220" w:lineRule="atLeast"/>
      <w:ind w:firstLine="180"/>
      <w:jc w:val="both"/>
    </w:pPr>
    <w:rPr>
      <w:rFonts w:ascii="Times" w:hAnsi="Times" w:cs="Times"/>
      <w:color w:val="000000"/>
      <w:w w:val="0"/>
      <w:sz w:val="18"/>
      <w:szCs w:val="18"/>
    </w:rPr>
  </w:style>
  <w:style w:type="paragraph" w:customStyle="1" w:styleId="Fotnot">
    <w:name w:val="Fotnot"/>
    <w:uiPriority w:val="99"/>
    <w:pPr>
      <w:widowControl w:val="0"/>
      <w:tabs>
        <w:tab w:val="left" w:pos="100"/>
      </w:tabs>
      <w:autoSpaceDE w:val="0"/>
      <w:autoSpaceDN w:val="0"/>
      <w:adjustRightInd w:val="0"/>
      <w:spacing w:line="160" w:lineRule="atLeast"/>
      <w:jc w:val="both"/>
    </w:pPr>
    <w:rPr>
      <w:rFonts w:ascii="Times" w:hAnsi="Times" w:cs="Times"/>
      <w:color w:val="000000"/>
      <w:w w:val="0"/>
      <w:sz w:val="16"/>
      <w:szCs w:val="16"/>
    </w:rPr>
  </w:style>
  <w:style w:type="paragraph" w:styleId="Footer">
    <w:name w:val="footer"/>
    <w:basedOn w:val="Normal"/>
    <w:link w:val="FooterChar"/>
    <w:uiPriority w:val="99"/>
    <w:pPr>
      <w:widowControl w:val="0"/>
      <w:tabs>
        <w:tab w:val="center" w:pos="3840"/>
        <w:tab w:val="right" w:pos="7680"/>
      </w:tabs>
      <w:autoSpaceDE w:val="0"/>
      <w:autoSpaceDN w:val="0"/>
      <w:adjustRightInd w:val="0"/>
      <w:spacing w:after="0" w:line="220" w:lineRule="atLeast"/>
      <w:jc w:val="right"/>
    </w:pPr>
    <w:rPr>
      <w:rFonts w:ascii="Times" w:hAnsi="Times" w:cs="Times"/>
      <w:color w:val="000000"/>
      <w:w w:val="0"/>
      <w:sz w:val="18"/>
      <w:szCs w:val="18"/>
    </w:rPr>
  </w:style>
  <w:style w:type="character" w:customStyle="1" w:styleId="FooterChar">
    <w:name w:val="Footer Char"/>
    <w:link w:val="Footer"/>
    <w:uiPriority w:val="99"/>
    <w:semiHidden/>
  </w:style>
  <w:style w:type="paragraph" w:styleId="Header">
    <w:name w:val="header"/>
    <w:aliases w:val="extra"/>
    <w:basedOn w:val="Normal"/>
    <w:link w:val="HeaderChar"/>
    <w:uiPriority w:val="99"/>
    <w:pPr>
      <w:widowControl w:val="0"/>
      <w:tabs>
        <w:tab w:val="left" w:pos="2680"/>
        <w:tab w:val="left" w:pos="4860"/>
      </w:tabs>
      <w:autoSpaceDE w:val="0"/>
      <w:autoSpaceDN w:val="0"/>
      <w:adjustRightInd w:val="0"/>
      <w:spacing w:after="0" w:line="240" w:lineRule="atLeast"/>
      <w:jc w:val="both"/>
    </w:pPr>
    <w:rPr>
      <w:rFonts w:ascii="Times" w:hAnsi="Times" w:cs="Times"/>
      <w:b/>
      <w:bCs/>
      <w:color w:val="000000"/>
      <w:w w:val="0"/>
      <w:sz w:val="20"/>
      <w:szCs w:val="20"/>
    </w:rPr>
  </w:style>
  <w:style w:type="character" w:customStyle="1" w:styleId="HeaderChar">
    <w:name w:val="Header Char"/>
    <w:aliases w:val="extra Char"/>
    <w:link w:val="Header"/>
    <w:uiPriority w:val="99"/>
    <w:semiHidden/>
  </w:style>
  <w:style w:type="paragraph" w:customStyle="1" w:styleId="Rubrik1">
    <w:name w:val="Rubrik1"/>
    <w:uiPriority w:val="99"/>
    <w:pPr>
      <w:widowControl w:val="0"/>
      <w:suppressAutoHyphens/>
      <w:autoSpaceDE w:val="0"/>
      <w:autoSpaceDN w:val="0"/>
      <w:adjustRightInd w:val="0"/>
      <w:spacing w:line="240" w:lineRule="atLeast"/>
      <w:ind w:right="240"/>
    </w:pPr>
    <w:rPr>
      <w:rFonts w:ascii="Times" w:hAnsi="Times" w:cs="Times"/>
      <w:b/>
      <w:bCs/>
      <w:color w:val="000000"/>
      <w:w w:val="0"/>
      <w:sz w:val="24"/>
      <w:szCs w:val="24"/>
    </w:rPr>
  </w:style>
  <w:style w:type="paragraph" w:customStyle="1" w:styleId="Rubrik2engelsk">
    <w:name w:val="Rubrik2 engelsk"/>
    <w:uiPriority w:val="99"/>
    <w:pPr>
      <w:keepNext/>
      <w:widowControl w:val="0"/>
      <w:autoSpaceDE w:val="0"/>
      <w:autoSpaceDN w:val="0"/>
      <w:adjustRightInd w:val="0"/>
      <w:spacing w:before="320" w:line="200" w:lineRule="atLeast"/>
      <w:jc w:val="both"/>
    </w:pPr>
    <w:rPr>
      <w:rFonts w:ascii="Times" w:hAnsi="Times" w:cs="Times"/>
      <w:b/>
      <w:bCs/>
      <w:color w:val="000000"/>
      <w:w w:val="0"/>
    </w:rPr>
  </w:style>
  <w:style w:type="paragraph" w:customStyle="1" w:styleId="Rubrik3">
    <w:name w:val="Rubrik3"/>
    <w:uiPriority w:val="99"/>
    <w:pPr>
      <w:keepNext/>
      <w:widowControl w:val="0"/>
      <w:suppressAutoHyphens/>
      <w:autoSpaceDE w:val="0"/>
      <w:autoSpaceDN w:val="0"/>
      <w:adjustRightInd w:val="0"/>
      <w:spacing w:before="360" w:line="220" w:lineRule="atLeast"/>
    </w:pPr>
    <w:rPr>
      <w:rFonts w:ascii="Times" w:hAnsi="Times" w:cs="Times"/>
      <w:b/>
      <w:bCs/>
      <w:color w:val="000000"/>
      <w:w w:val="0"/>
      <w:sz w:val="18"/>
      <w:szCs w:val="18"/>
    </w:rPr>
  </w:style>
  <w:style w:type="paragraph" w:customStyle="1" w:styleId="Rubrik30">
    <w:name w:val="Rubrik30"/>
    <w:uiPriority w:val="99"/>
    <w:pPr>
      <w:keepNext/>
      <w:widowControl w:val="0"/>
      <w:suppressAutoHyphens/>
      <w:autoSpaceDE w:val="0"/>
      <w:autoSpaceDN w:val="0"/>
      <w:adjustRightInd w:val="0"/>
      <w:spacing w:before="100" w:line="220" w:lineRule="atLeast"/>
    </w:pPr>
    <w:rPr>
      <w:rFonts w:ascii="Times" w:hAnsi="Times" w:cs="Times"/>
      <w:b/>
      <w:bCs/>
      <w:color w:val="000000"/>
      <w:w w:val="0"/>
      <w:sz w:val="18"/>
      <w:szCs w:val="18"/>
    </w:rPr>
  </w:style>
  <w:style w:type="paragraph" w:customStyle="1" w:styleId="Kantrubrik">
    <w:name w:val="Kantrubrik"/>
    <w:uiPriority w:val="99"/>
    <w:pPr>
      <w:widowControl w:val="0"/>
      <w:suppressAutoHyphens/>
      <w:autoSpaceDE w:val="0"/>
      <w:autoSpaceDN w:val="0"/>
      <w:adjustRightInd w:val="0"/>
      <w:spacing w:line="280" w:lineRule="atLeast"/>
    </w:pPr>
    <w:rPr>
      <w:rFonts w:ascii="Times" w:hAnsi="Times" w:cs="Times"/>
      <w:b/>
      <w:bCs/>
      <w:color w:val="000000"/>
      <w:w w:val="0"/>
      <w:sz w:val="22"/>
      <w:szCs w:val="22"/>
    </w:rPr>
  </w:style>
  <w:style w:type="paragraph" w:customStyle="1" w:styleId="Rubrik4">
    <w:name w:val="Rubrik4"/>
    <w:uiPriority w:val="99"/>
    <w:pPr>
      <w:keepNext/>
      <w:widowControl w:val="0"/>
      <w:suppressAutoHyphens/>
      <w:autoSpaceDE w:val="0"/>
      <w:autoSpaceDN w:val="0"/>
      <w:adjustRightInd w:val="0"/>
      <w:spacing w:before="360" w:line="220" w:lineRule="atLeast"/>
    </w:pPr>
    <w:rPr>
      <w:rFonts w:ascii="Times" w:hAnsi="Times" w:cs="Times"/>
      <w:i/>
      <w:iCs/>
      <w:color w:val="000000"/>
      <w:w w:val="0"/>
      <w:sz w:val="18"/>
      <w:szCs w:val="18"/>
    </w:rPr>
  </w:style>
  <w:style w:type="paragraph" w:customStyle="1" w:styleId="Rubrik40">
    <w:name w:val="Rubrik40"/>
    <w:uiPriority w:val="99"/>
    <w:pPr>
      <w:keepNext/>
      <w:widowControl w:val="0"/>
      <w:suppressAutoHyphens/>
      <w:autoSpaceDE w:val="0"/>
      <w:autoSpaceDN w:val="0"/>
      <w:adjustRightInd w:val="0"/>
      <w:spacing w:before="100" w:line="220" w:lineRule="atLeast"/>
    </w:pPr>
    <w:rPr>
      <w:rFonts w:ascii="Times" w:hAnsi="Times" w:cs="Times"/>
      <w:i/>
      <w:iCs/>
      <w:color w:val="000000"/>
      <w:w w:val="0"/>
      <w:sz w:val="18"/>
      <w:szCs w:val="18"/>
    </w:rPr>
  </w:style>
  <w:style w:type="paragraph" w:customStyle="1" w:styleId="Rubrik400utanluftver">
    <w:name w:val="Rubrik400 utan luft över"/>
    <w:uiPriority w:val="99"/>
    <w:pPr>
      <w:keepNext/>
      <w:widowControl w:val="0"/>
      <w:suppressAutoHyphens/>
      <w:autoSpaceDE w:val="0"/>
      <w:autoSpaceDN w:val="0"/>
      <w:adjustRightInd w:val="0"/>
      <w:spacing w:line="220" w:lineRule="atLeast"/>
    </w:pPr>
    <w:rPr>
      <w:rFonts w:ascii="Times" w:hAnsi="Times" w:cs="Times"/>
      <w:i/>
      <w:iCs/>
      <w:color w:val="000000"/>
      <w:w w:val="0"/>
      <w:sz w:val="18"/>
      <w:szCs w:val="18"/>
    </w:rPr>
  </w:style>
  <w:style w:type="paragraph" w:customStyle="1" w:styleId="Rubrik5">
    <w:name w:val="Rubrik5"/>
    <w:uiPriority w:val="99"/>
    <w:pPr>
      <w:keepNext/>
      <w:widowControl w:val="0"/>
      <w:suppressAutoHyphens/>
      <w:autoSpaceDE w:val="0"/>
      <w:autoSpaceDN w:val="0"/>
      <w:adjustRightInd w:val="0"/>
      <w:spacing w:before="360" w:line="220" w:lineRule="atLeast"/>
    </w:pPr>
    <w:rPr>
      <w:rFonts w:ascii="Times" w:hAnsi="Times" w:cs="Times"/>
      <w:color w:val="000000"/>
      <w:w w:val="0"/>
      <w:sz w:val="18"/>
      <w:szCs w:val="18"/>
    </w:rPr>
  </w:style>
  <w:style w:type="paragraph" w:customStyle="1" w:styleId="Rubrik50">
    <w:name w:val="Rubrik50"/>
    <w:uiPriority w:val="99"/>
    <w:pPr>
      <w:keepNext/>
      <w:widowControl w:val="0"/>
      <w:suppressAutoHyphens/>
      <w:autoSpaceDE w:val="0"/>
      <w:autoSpaceDN w:val="0"/>
      <w:adjustRightInd w:val="0"/>
      <w:spacing w:before="100" w:line="220" w:lineRule="atLeast"/>
    </w:pPr>
    <w:rPr>
      <w:rFonts w:ascii="Times" w:hAnsi="Times" w:cs="Times"/>
      <w:color w:val="000000"/>
      <w:w w:val="0"/>
      <w:sz w:val="18"/>
      <w:szCs w:val="18"/>
    </w:rPr>
  </w:style>
  <w:style w:type="paragraph" w:customStyle="1" w:styleId="Strecklinjeunder">
    <w:name w:val="Strecklinje under"/>
    <w:uiPriority w:val="99"/>
    <w:pPr>
      <w:pBdr>
        <w:bottom w:val="single" w:sz="8" w:space="0" w:color="auto"/>
      </w:pBdr>
      <w:tabs>
        <w:tab w:val="left" w:pos="3060"/>
      </w:tabs>
      <w:autoSpaceDE w:val="0"/>
      <w:autoSpaceDN w:val="0"/>
      <w:adjustRightInd w:val="0"/>
      <w:spacing w:line="220" w:lineRule="atLeast"/>
      <w:jc w:val="both"/>
    </w:pPr>
    <w:rPr>
      <w:rFonts w:ascii="Times" w:hAnsi="Times" w:cs="Times"/>
      <w:color w:val="000000"/>
      <w:w w:val="0"/>
      <w:sz w:val="18"/>
      <w:szCs w:val="18"/>
    </w:rPr>
  </w:style>
  <w:style w:type="paragraph" w:customStyle="1" w:styleId="Strecklinjever">
    <w:name w:val="Strecklinje över"/>
    <w:uiPriority w:val="99"/>
    <w:pPr>
      <w:pBdr>
        <w:top w:val="single" w:sz="8" w:space="0" w:color="auto"/>
      </w:pBdr>
      <w:tabs>
        <w:tab w:val="left" w:pos="2560"/>
        <w:tab w:val="left" w:pos="4600"/>
      </w:tabs>
      <w:autoSpaceDE w:val="0"/>
      <w:autoSpaceDN w:val="0"/>
      <w:adjustRightInd w:val="0"/>
      <w:spacing w:line="220" w:lineRule="atLeast"/>
      <w:jc w:val="both"/>
    </w:pPr>
    <w:rPr>
      <w:rFonts w:ascii="Times" w:hAnsi="Times" w:cs="Times"/>
      <w:color w:val="000000"/>
      <w:w w:val="0"/>
      <w:sz w:val="18"/>
      <w:szCs w:val="18"/>
    </w:rPr>
  </w:style>
  <w:style w:type="paragraph" w:customStyle="1" w:styleId="Tabellfotnot">
    <w:name w:val="Tabellfotnot"/>
    <w:uiPriority w:val="99"/>
    <w:pPr>
      <w:widowControl w:val="0"/>
      <w:tabs>
        <w:tab w:val="left" w:pos="560"/>
      </w:tabs>
      <w:autoSpaceDE w:val="0"/>
      <w:autoSpaceDN w:val="0"/>
      <w:adjustRightInd w:val="0"/>
      <w:spacing w:line="160" w:lineRule="atLeast"/>
      <w:jc w:val="both"/>
    </w:pPr>
    <w:rPr>
      <w:rFonts w:ascii="Times" w:hAnsi="Times" w:cs="Times"/>
      <w:color w:val="000000"/>
      <w:w w:val="0"/>
      <w:sz w:val="16"/>
      <w:szCs w:val="16"/>
    </w:rPr>
  </w:style>
  <w:style w:type="paragraph" w:customStyle="1" w:styleId="Tabelltext">
    <w:name w:val="Tabelltext"/>
    <w:uiPriority w:val="99"/>
    <w:pPr>
      <w:widowControl w:val="0"/>
      <w:autoSpaceDE w:val="0"/>
      <w:autoSpaceDN w:val="0"/>
      <w:adjustRightInd w:val="0"/>
      <w:spacing w:line="160" w:lineRule="atLeast"/>
      <w:jc w:val="both"/>
    </w:pPr>
    <w:rPr>
      <w:rFonts w:ascii="Times" w:hAnsi="Times" w:cs="Times"/>
      <w:color w:val="000000"/>
      <w:w w:val="0"/>
      <w:sz w:val="16"/>
      <w:szCs w:val="16"/>
    </w:rPr>
  </w:style>
  <w:style w:type="paragraph" w:customStyle="1" w:styleId="Tabelltitel">
    <w:name w:val="Tabelltitel"/>
    <w:uiPriority w:val="99"/>
    <w:pPr>
      <w:keepNext/>
      <w:pageBreakBefore/>
      <w:widowControl w:val="0"/>
      <w:suppressAutoHyphens/>
      <w:autoSpaceDE w:val="0"/>
      <w:autoSpaceDN w:val="0"/>
      <w:adjustRightInd w:val="0"/>
      <w:spacing w:before="180" w:line="180" w:lineRule="atLeast"/>
    </w:pPr>
    <w:rPr>
      <w:rFonts w:ascii="Times" w:hAnsi="Times" w:cs="Times"/>
      <w:b/>
      <w:bCs/>
      <w:color w:val="000000"/>
      <w:w w:val="0"/>
      <w:sz w:val="18"/>
      <w:szCs w:val="18"/>
    </w:rPr>
  </w:style>
  <w:style w:type="paragraph" w:customStyle="1" w:styleId="Text">
    <w:name w:val="Text"/>
    <w:uiPriority w:val="99"/>
    <w:pPr>
      <w:widowControl w:val="0"/>
      <w:tabs>
        <w:tab w:val="left" w:pos="760"/>
      </w:tabs>
      <w:autoSpaceDE w:val="0"/>
      <w:autoSpaceDN w:val="0"/>
      <w:adjustRightInd w:val="0"/>
      <w:spacing w:before="120" w:line="180" w:lineRule="atLeast"/>
      <w:jc w:val="both"/>
    </w:pPr>
    <w:rPr>
      <w:rFonts w:ascii="Times" w:hAnsi="Times" w:cs="Times"/>
      <w:color w:val="000000"/>
      <w:w w:val="0"/>
      <w:sz w:val="14"/>
      <w:szCs w:val="14"/>
    </w:rPr>
  </w:style>
  <w:style w:type="paragraph" w:customStyle="1" w:styleId="brdtextfyrkant">
    <w:name w:val="brödtext fyrkant"/>
    <w:uiPriority w:val="99"/>
    <w:pPr>
      <w:tabs>
        <w:tab w:val="left" w:pos="3060"/>
      </w:tabs>
      <w:autoSpaceDE w:val="0"/>
      <w:autoSpaceDN w:val="0"/>
      <w:adjustRightInd w:val="0"/>
      <w:spacing w:line="220" w:lineRule="atLeast"/>
      <w:ind w:firstLine="180"/>
      <w:jc w:val="both"/>
    </w:pPr>
    <w:rPr>
      <w:rFonts w:ascii="Times" w:hAnsi="Times" w:cs="Times"/>
      <w:color w:val="000000"/>
      <w:w w:val="0"/>
      <w:sz w:val="18"/>
      <w:szCs w:val="18"/>
    </w:rPr>
  </w:style>
  <w:style w:type="paragraph" w:customStyle="1" w:styleId="upprkninga-z">
    <w:name w:val="uppräkning a-z"/>
    <w:uiPriority w:val="99"/>
    <w:pPr>
      <w:tabs>
        <w:tab w:val="left" w:pos="280"/>
      </w:tabs>
      <w:autoSpaceDE w:val="0"/>
      <w:autoSpaceDN w:val="0"/>
      <w:adjustRightInd w:val="0"/>
      <w:spacing w:line="220" w:lineRule="atLeast"/>
      <w:ind w:left="280" w:hanging="280"/>
      <w:jc w:val="both"/>
    </w:pPr>
    <w:rPr>
      <w:rFonts w:ascii="Times" w:hAnsi="Times" w:cs="Times"/>
      <w:color w:val="000000"/>
      <w:w w:val="0"/>
      <w:sz w:val="18"/>
      <w:szCs w:val="18"/>
    </w:rPr>
  </w:style>
  <w:style w:type="paragraph" w:customStyle="1" w:styleId="upprkninga-zstart">
    <w:name w:val="uppräkning a-z start"/>
    <w:uiPriority w:val="99"/>
    <w:pPr>
      <w:tabs>
        <w:tab w:val="left" w:pos="280"/>
      </w:tabs>
      <w:autoSpaceDE w:val="0"/>
      <w:autoSpaceDN w:val="0"/>
      <w:adjustRightInd w:val="0"/>
      <w:spacing w:before="100" w:line="220" w:lineRule="atLeast"/>
      <w:ind w:left="280" w:hanging="280"/>
      <w:jc w:val="both"/>
    </w:pPr>
    <w:rPr>
      <w:rFonts w:ascii="Times" w:hAnsi="Times" w:cs="Times"/>
      <w:color w:val="000000"/>
      <w:w w:val="0"/>
      <w:sz w:val="18"/>
      <w:szCs w:val="18"/>
    </w:rPr>
  </w:style>
  <w:style w:type="paragraph" w:customStyle="1" w:styleId="upprkningstreck">
    <w:name w:val="uppräkning streck"/>
    <w:uiPriority w:val="99"/>
    <w:pPr>
      <w:tabs>
        <w:tab w:val="left" w:pos="560"/>
      </w:tabs>
      <w:autoSpaceDE w:val="0"/>
      <w:autoSpaceDN w:val="0"/>
      <w:adjustRightInd w:val="0"/>
      <w:spacing w:line="220" w:lineRule="atLeast"/>
      <w:ind w:left="560" w:hanging="280"/>
      <w:jc w:val="both"/>
    </w:pPr>
    <w:rPr>
      <w:rFonts w:ascii="Times" w:hAnsi="Times" w:cs="Times"/>
      <w:color w:val="000000"/>
      <w:w w:val="0"/>
      <w:sz w:val="18"/>
      <w:szCs w:val="18"/>
    </w:rPr>
  </w:style>
  <w:style w:type="paragraph" w:customStyle="1" w:styleId="Rubrik2">
    <w:name w:val="Rubrik2"/>
    <w:uiPriority w:val="99"/>
    <w:pPr>
      <w:keepNext/>
      <w:suppressAutoHyphens/>
      <w:autoSpaceDE w:val="0"/>
      <w:autoSpaceDN w:val="0"/>
      <w:adjustRightInd w:val="0"/>
      <w:spacing w:before="360" w:line="220" w:lineRule="atLeast"/>
    </w:pPr>
    <w:rPr>
      <w:rFonts w:ascii="Times" w:hAnsi="Times" w:cs="Times"/>
      <w:b/>
      <w:bCs/>
      <w:color w:val="000000"/>
      <w:w w:val="0"/>
    </w:rPr>
  </w:style>
  <w:style w:type="character" w:customStyle="1" w:styleId="Bilaga">
    <w:name w:val="Bilaga"/>
    <w:uiPriority w:val="99"/>
    <w:rPr>
      <w:sz w:val="14"/>
      <w:szCs w:val="14"/>
    </w:rPr>
  </w:style>
  <w:style w:type="character" w:customStyle="1" w:styleId="Kursiv">
    <w:name w:val="Kursiv"/>
    <w:uiPriority w:val="99"/>
    <w:rPr>
      <w:rFonts w:ascii="Times" w:hAnsi="Times" w:cs="Times"/>
      <w:i/>
      <w:iCs/>
      <w:color w:val="000000"/>
      <w:u w:val="none"/>
      <w:vertAlign w:val="baseline"/>
    </w:rPr>
  </w:style>
  <w:style w:type="character" w:customStyle="1" w:styleId="Arkisar">
    <w:name w:val="Arkisar"/>
    <w:uiPriority w:val="99"/>
    <w:rPr>
      <w:sz w:val="14"/>
      <w:szCs w:val="14"/>
    </w:rPr>
  </w:style>
  <w:style w:type="character" w:customStyle="1" w:styleId="UnderISSN-nummer">
    <w:name w:val="Under ISSN-nummer"/>
    <w:uiPriority w:val="99"/>
    <w:rPr>
      <w:rFonts w:ascii="Times" w:hAnsi="Times" w:cs="Times"/>
      <w:color w:val="000000"/>
      <w:spacing w:val="0"/>
      <w:sz w:val="15"/>
      <w:szCs w:val="15"/>
      <w:u w:val="none"/>
      <w:vertAlign w:val="baseline"/>
    </w:rPr>
  </w:style>
  <w:style w:type="character" w:customStyle="1" w:styleId="Svfrfattnhalvfet">
    <w:name w:val="Sv.författn. halvfet"/>
    <w:uiPriority w:val="99"/>
    <w:rPr>
      <w:rFonts w:ascii="Times" w:hAnsi="Times" w:cs="Times"/>
      <w:b/>
      <w:bCs/>
      <w:color w:val="000000"/>
      <w:spacing w:val="0"/>
      <w:sz w:val="36"/>
      <w:szCs w:val="36"/>
      <w:u w:val="none"/>
      <w:vertAlign w:val="baseline"/>
    </w:rPr>
  </w:style>
  <w:style w:type="character" w:customStyle="1" w:styleId="Tryckort">
    <w:name w:val="Tryckort"/>
    <w:uiPriority w:val="99"/>
    <w:rPr>
      <w:rFonts w:ascii="Times" w:hAnsi="Times" w:cs="Times"/>
      <w:color w:val="000000"/>
      <w:spacing w:val="0"/>
      <w:sz w:val="11"/>
      <w:szCs w:val="11"/>
      <w:u w:val="none"/>
      <w:vertAlign w:val="baseline"/>
    </w:rPr>
  </w:style>
  <w:style w:type="character" w:styleId="Emphasis">
    <w:name w:val="Emphasis"/>
    <w:uiPriority w:val="99"/>
    <w:qFormat/>
    <w:rPr>
      <w:i/>
      <w:iCs/>
    </w:rPr>
  </w:style>
  <w:style w:type="character" w:customStyle="1" w:styleId="Ekvationsvariabler">
    <w:name w:val="Ekvationsvariabler"/>
    <w:uiPriority w:val="99"/>
    <w:rPr>
      <w:i/>
      <w:iCs/>
    </w:rPr>
  </w:style>
  <w:style w:type="character" w:customStyle="1" w:styleId="Halvfet">
    <w:name w:val="Halvfet"/>
    <w:uiPriority w:val="99"/>
    <w:rPr>
      <w:rFonts w:ascii="Times" w:hAnsi="Times" w:cs="Times"/>
      <w:b/>
      <w:bCs/>
      <w:color w:val="000000"/>
      <w:u w:val="none"/>
      <w:vertAlign w:val="baseline"/>
    </w:rPr>
  </w:style>
  <w:style w:type="character" w:customStyle="1" w:styleId="Pagina">
    <w:name w:val="Pagina"/>
    <w:uiPriority w:val="99"/>
    <w:rPr>
      <w:rFonts w:ascii="Times" w:hAnsi="Times" w:cs="Times"/>
      <w:color w:val="000000"/>
      <w:spacing w:val="0"/>
      <w:sz w:val="19"/>
      <w:szCs w:val="19"/>
      <w:u w:val="none"/>
      <w:vertAlign w:val="baseline"/>
    </w:rPr>
  </w:style>
  <w:style w:type="character" w:customStyle="1" w:styleId="Utkom">
    <w:name w:val="Utkom"/>
    <w:uiPriority w:val="99"/>
    <w:rPr>
      <w:rFonts w:ascii="Times" w:hAnsi="Times" w:cs="Times"/>
      <w:color w:val="000000"/>
      <w:spacing w:val="0"/>
      <w:sz w:val="17"/>
      <w:szCs w:val="17"/>
      <w:u w:val="none"/>
      <w:vertAlign w:val="baseline"/>
    </w:rPr>
  </w:style>
  <w:style w:type="paragraph" w:styleId="PlainText">
    <w:name w:val="Plain Text"/>
    <w:basedOn w:val="Normal"/>
    <w:link w:val="PlainTextChar"/>
    <w:uiPriority w:val="99"/>
    <w:unhideWhenUsed/>
    <w:rsid w:val="00CC165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C1652"/>
    <w:rPr>
      <w:rFonts w:ascii="Consolas" w:hAnsi="Consolas"/>
      <w:sz w:val="21"/>
      <w:szCs w:val="21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95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816</Words>
  <Characters>4453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rkuser1</dc:creator>
  <cp:keywords/>
  <dc:description/>
  <cp:lastModifiedBy>DESCULTU, Andreea</cp:lastModifiedBy>
  <cp:revision>4</cp:revision>
  <dcterms:created xsi:type="dcterms:W3CDTF">2018-11-09T14:25:00Z</dcterms:created>
  <dcterms:modified xsi:type="dcterms:W3CDTF">2018-11-22T11:43:00Z</dcterms:modified>
</cp:coreProperties>
</file>