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57" w:rsidRPr="00814C17" w:rsidRDefault="00FA7FAA" w:rsidP="00E17C57">
      <w:pPr>
        <w:spacing w:after="120"/>
        <w:jc w:val="center"/>
        <w:rPr>
          <w:rFonts w:ascii="Courier New" w:hAnsi="Courier New"/>
        </w:rPr>
      </w:pPr>
      <w:r>
        <w:rPr>
          <w:rFonts w:ascii="Courier New" w:hAnsi="Courier New"/>
        </w:rPr>
        <w:t>1</w:t>
      </w:r>
      <w:bookmarkStart w:id="0" w:name="_GoBack"/>
      <w:bookmarkEnd w:id="0"/>
      <w:r w:rsidR="00E17C57">
        <w:rPr>
          <w:rFonts w:ascii="Courier New" w:hAnsi="Courier New"/>
        </w:rPr>
        <w:t>. ------IND- 2019 0331 NL- PL- ------ 20190722 --- --- PROJET</w:t>
      </w:r>
    </w:p>
    <w:p w:rsidR="00E27C82" w:rsidRDefault="00E27C82" w:rsidP="00E17C57"/>
    <w:p w:rsidR="00E27C82" w:rsidRPr="00E27C82" w:rsidRDefault="00E27C82" w:rsidP="00E17C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E7D62" w:rsidTr="00E17C57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7E7D62" w:rsidRDefault="007E7D62" w:rsidP="003D0C77">
            <w:pPr>
              <w:ind w:left="567"/>
            </w:pPr>
            <w:r>
              <w:br w:type="page"/>
            </w:r>
            <w:r>
              <w:rPr>
                <w:rFonts w:ascii="Verdana" w:hAnsi="Verdana"/>
                <w:sz w:val="18"/>
              </w:rPr>
              <w:t>Decyzja z dnia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</w:rPr>
              <w:t xml:space="preserve">zmieniająca decyzję do ustawy o towarach w sprawie preparatów ziołowych i decyzję do ustawy o towarach w sprawie kar administracyjnych w związku ze stosowaniem określonych szkodliwych preparatów ziołowych lub określonych szkodliwych substancji w takich preparatach oraz wprowadzająca pewne zmiany techniczne </w:t>
            </w:r>
          </w:p>
        </w:tc>
      </w:tr>
      <w:tr w:rsidR="00732703" w:rsidTr="00E17C57">
        <w:trPr>
          <w:cantSplit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732703" w:rsidRDefault="00732703" w:rsidP="00E17C57"/>
        </w:tc>
      </w:tr>
    </w:tbl>
    <w:p w:rsidR="007E7D62" w:rsidRDefault="007E7D62" w:rsidP="00E17C57">
      <w:pPr>
        <w:ind w:left="567"/>
      </w:pPr>
    </w:p>
    <w:p w:rsidR="007E7D62" w:rsidRDefault="007E7D62" w:rsidP="00E17C57">
      <w:pPr>
        <w:ind w:left="567"/>
      </w:pPr>
    </w:p>
    <w:p w:rsidR="007E7D62" w:rsidRDefault="007E7D62" w:rsidP="00E17C57">
      <w:pPr>
        <w:ind w:left="567"/>
      </w:pPr>
    </w:p>
    <w:p w:rsidR="007E7D62" w:rsidRDefault="007E7D62" w:rsidP="00E17C57">
      <w:pPr>
        <w:ind w:left="567"/>
      </w:pPr>
    </w:p>
    <w:p w:rsidR="007E7D62" w:rsidRDefault="007E7D62" w:rsidP="00E17C57">
      <w:pPr>
        <w:ind w:left="567"/>
      </w:pPr>
    </w:p>
    <w:p w:rsidR="007E7D62" w:rsidRDefault="007E7D62" w:rsidP="00E17C57">
      <w:pPr>
        <w:pStyle w:val="Ondertekening"/>
        <w:spacing w:before="0"/>
        <w:ind w:left="567"/>
      </w:pPr>
    </w:p>
    <w:p w:rsidR="007E7D62" w:rsidRPr="008E734A" w:rsidRDefault="007E7D62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Na wniosek Ministra Zdrowia z dnia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8"/>
        </w:rPr>
        <w:t>2019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8"/>
        </w:rPr>
        <w:t>-VGP,</w:t>
      </w:r>
    </w:p>
    <w:p w:rsidR="007E7D62" w:rsidRPr="008E734A" w:rsidRDefault="007E7D62" w:rsidP="00E17C57">
      <w:pPr>
        <w:ind w:left="2268"/>
        <w:rPr>
          <w:rFonts w:ascii="Verdana" w:hAnsi="Verdana"/>
          <w:sz w:val="18"/>
          <w:szCs w:val="18"/>
        </w:rPr>
      </w:pPr>
    </w:p>
    <w:p w:rsidR="007E7D62" w:rsidRPr="008E734A" w:rsidRDefault="007E7D62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uwzględniając art. 4 ust. 1, art. 8 ust. 1 lit. c) i art. 14 ustawy o towarach,</w:t>
      </w:r>
    </w:p>
    <w:p w:rsidR="007E7D62" w:rsidRPr="008E734A" w:rsidRDefault="007E7D62" w:rsidP="00E17C57">
      <w:pPr>
        <w:ind w:left="2268"/>
        <w:rPr>
          <w:rFonts w:ascii="Verdana" w:hAnsi="Verdana"/>
          <w:sz w:val="18"/>
          <w:szCs w:val="18"/>
        </w:rPr>
      </w:pPr>
    </w:p>
    <w:p w:rsidR="007E7D62" w:rsidRPr="008E734A" w:rsidRDefault="007E7D62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po wysłuchaniu opinii wydziału doradczego Rady Stanu (opinia z dnia</w:t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8"/>
        </w:rPr>
        <w:t xml:space="preserve">nr </w:t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8"/>
        </w:rPr>
        <w:t>),</w:t>
      </w:r>
    </w:p>
    <w:p w:rsidR="007E7D62" w:rsidRPr="008F0589" w:rsidRDefault="007E7D62" w:rsidP="00E17C57">
      <w:pPr>
        <w:ind w:left="2268"/>
        <w:rPr>
          <w:rFonts w:ascii="Verdana" w:hAnsi="Verdana"/>
          <w:sz w:val="18"/>
          <w:szCs w:val="18"/>
        </w:rPr>
      </w:pPr>
    </w:p>
    <w:p w:rsidR="007E7D62" w:rsidRPr="008F0589" w:rsidRDefault="007E7D62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uwzględniając raport Ministra Zdrowia z dnia</w:t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8"/>
        </w:rPr>
        <w:t>2019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8"/>
        </w:rPr>
        <w:t>-VGP,</w:t>
      </w:r>
    </w:p>
    <w:p w:rsidR="007E7D62" w:rsidRPr="008F0589" w:rsidRDefault="007E7D62" w:rsidP="00E17C57">
      <w:pPr>
        <w:ind w:left="2268"/>
        <w:rPr>
          <w:rFonts w:ascii="Verdana" w:hAnsi="Verdana"/>
          <w:sz w:val="18"/>
          <w:szCs w:val="18"/>
        </w:rPr>
      </w:pPr>
    </w:p>
    <w:p w:rsidR="007E7D62" w:rsidRPr="008F0589" w:rsidRDefault="007E7D62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zatwierdzamy i ogłaszamy, co następuje: </w:t>
      </w:r>
    </w:p>
    <w:p w:rsidR="007E7D62" w:rsidRPr="008F0589" w:rsidRDefault="007E7D62" w:rsidP="00E17C57">
      <w:pPr>
        <w:ind w:left="2268"/>
        <w:rPr>
          <w:rFonts w:ascii="Verdana" w:hAnsi="Verdana"/>
          <w:sz w:val="18"/>
          <w:szCs w:val="18"/>
        </w:rPr>
      </w:pPr>
    </w:p>
    <w:p w:rsidR="007E7D62" w:rsidRPr="008F0589" w:rsidRDefault="007E7D62" w:rsidP="00E17C57">
      <w:pPr>
        <w:ind w:left="2268"/>
        <w:rPr>
          <w:rFonts w:ascii="Verdana" w:hAnsi="Verdana"/>
          <w:sz w:val="18"/>
          <w:szCs w:val="18"/>
        </w:rPr>
      </w:pPr>
    </w:p>
    <w:p w:rsidR="007E7D62" w:rsidRPr="008F0589" w:rsidRDefault="007E7D62" w:rsidP="00E17C57">
      <w:pPr>
        <w:keepNext/>
        <w:keepLines/>
        <w:ind w:left="226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>Artykuł I</w:t>
      </w:r>
    </w:p>
    <w:p w:rsidR="007E7D62" w:rsidRPr="008F0589" w:rsidRDefault="007E7D62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</w:p>
    <w:p w:rsidR="007E7D62" w:rsidRDefault="007E7D62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Do decyzji do ustawy o towarach w sprawie preparatów ziołowych wprowadza się następujące zmiany:</w:t>
      </w:r>
    </w:p>
    <w:p w:rsidR="00060A6E" w:rsidRDefault="00060A6E" w:rsidP="00E17C57">
      <w:pPr>
        <w:ind w:left="2268"/>
        <w:rPr>
          <w:rFonts w:ascii="Verdana" w:hAnsi="Verdana"/>
          <w:sz w:val="18"/>
          <w:szCs w:val="18"/>
        </w:rPr>
      </w:pPr>
    </w:p>
    <w:p w:rsidR="00060A6E" w:rsidRDefault="00060A6E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lastRenderedPageBreak/>
        <w:t>A</w:t>
      </w:r>
    </w:p>
    <w:p w:rsidR="00093369" w:rsidRDefault="00093369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</w:p>
    <w:p w:rsidR="000C18E4" w:rsidRDefault="00732703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W art. 4 wprowadza się następujące zmiany:</w:t>
      </w:r>
    </w:p>
    <w:p w:rsidR="00443563" w:rsidRPr="00443563" w:rsidRDefault="00443563" w:rsidP="00E17C57">
      <w:pPr>
        <w:pStyle w:val="ListParagraph"/>
        <w:keepNext/>
        <w:keepLines/>
        <w:numPr>
          <w:ilvl w:val="0"/>
          <w:numId w:val="2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Ust. 1 otrzymuje brzmienie:</w:t>
      </w:r>
    </w:p>
    <w:p w:rsidR="000C18E4" w:rsidRPr="00443563" w:rsidRDefault="0043098B" w:rsidP="00E17C57">
      <w:pPr>
        <w:pStyle w:val="ListParagraph"/>
        <w:numPr>
          <w:ilvl w:val="0"/>
          <w:numId w:val="3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Ilość toksycznych alkaloidów pirolizydynowych w preparatach ziołowych wynosi odpowiednio nie więcej niż 1 µg na kg lub na litr.</w:t>
      </w:r>
    </w:p>
    <w:p w:rsidR="000C18E4" w:rsidRPr="0043098B" w:rsidRDefault="0043098B" w:rsidP="00E17C57">
      <w:pPr>
        <w:keepNext/>
        <w:keepLines/>
        <w:tabs>
          <w:tab w:val="left" w:pos="2835"/>
        </w:tabs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2.</w:t>
      </w:r>
      <w:r>
        <w:tab/>
      </w:r>
      <w:r>
        <w:rPr>
          <w:rFonts w:ascii="Verdana" w:hAnsi="Verdana"/>
          <w:sz w:val="18"/>
        </w:rPr>
        <w:t xml:space="preserve">Ust. 2 otrzymuje brzmienie: </w:t>
      </w:r>
    </w:p>
    <w:p w:rsidR="00732703" w:rsidRPr="000C18E4" w:rsidRDefault="000C18E4" w:rsidP="00E17C57">
      <w:pPr>
        <w:keepNext/>
        <w:keepLines/>
        <w:ind w:left="2780" w:firstLine="5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2.</w:t>
      </w:r>
      <w:r>
        <w:tab/>
      </w:r>
      <w:r>
        <w:rPr>
          <w:rFonts w:ascii="Verdana" w:hAnsi="Verdana"/>
          <w:sz w:val="18"/>
        </w:rPr>
        <w:t>Preparaty ziołowe nie zawierają:</w:t>
      </w:r>
    </w:p>
    <w:p w:rsidR="00060A6E" w:rsidRPr="005016F0" w:rsidRDefault="00BF3143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akonityny lub jej pochodnych;</w:t>
      </w:r>
    </w:p>
    <w:p w:rsidR="005016F0" w:rsidRDefault="00BF3143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kwasów arystolocholowych lub ich pochodnych;</w:t>
      </w:r>
    </w:p>
    <w:p w:rsidR="005016F0" w:rsidRDefault="00BF3143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atropiny lub jej pochodnych;</w:t>
      </w:r>
    </w:p>
    <w:p w:rsidR="005016F0" w:rsidRDefault="005016F0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kolchicyny lub jej pochodnych;</w:t>
      </w:r>
    </w:p>
    <w:p w:rsidR="005016F0" w:rsidRDefault="005016F0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hioscyjaminy lub jej pochodnych;</w:t>
      </w:r>
    </w:p>
    <w:p w:rsidR="005016F0" w:rsidRDefault="00BF3143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m- oraz o-synefryny lub jej pochodnych;</w:t>
      </w:r>
    </w:p>
    <w:p w:rsidR="00BF3143" w:rsidRPr="005016F0" w:rsidRDefault="00BF3143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oleju z Artemisia absinthium (piołunu), bez uszczerbku dla przepisów zawartych w art. 6 ust. 2 i załączniku III część B rozporządzenia (WE) 1334/2008 w sprawie dopuszczalnej obecności tujonu w niektórych złożonych środkach spożywczych;</w:t>
      </w:r>
    </w:p>
    <w:p w:rsidR="005016F0" w:rsidRPr="00BF3143" w:rsidRDefault="005016F0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pilokarpiny lub jej pochodnych;</w:t>
      </w:r>
    </w:p>
    <w:p w:rsidR="005016F0" w:rsidRDefault="005016F0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skopolaminy lub jej pochodnych;</w:t>
      </w:r>
    </w:p>
    <w:p w:rsidR="005016F0" w:rsidRDefault="005016F0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strychniny lub jej pochodnych; oraz</w:t>
      </w:r>
    </w:p>
    <w:p w:rsidR="00BF3143" w:rsidRDefault="00BF3143" w:rsidP="00E17C57">
      <w:pPr>
        <w:pStyle w:val="ListParagraph"/>
        <w:numPr>
          <w:ilvl w:val="1"/>
          <w:numId w:val="2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alkaloidów johimbiny lub ich pochodnych.</w:t>
      </w:r>
    </w:p>
    <w:p w:rsidR="000E0515" w:rsidRPr="0043098B" w:rsidRDefault="0043098B" w:rsidP="00E17C57">
      <w:pPr>
        <w:ind w:left="2835" w:hanging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3.</w:t>
      </w:r>
      <w:r>
        <w:tab/>
      </w:r>
      <w:r>
        <w:rPr>
          <w:rFonts w:ascii="Verdana" w:hAnsi="Verdana"/>
          <w:sz w:val="18"/>
        </w:rPr>
        <w:t xml:space="preserve">W ust. 3 wyrażenie „rośliny, o których mowa w części II załącznika” zastępuje się wyrażeniem „rośliny i grzyby, o których mowa w załączniku”. </w:t>
      </w:r>
    </w:p>
    <w:p w:rsidR="0043098B" w:rsidRDefault="00E17C57" w:rsidP="00E17C57">
      <w:pPr>
        <w:keepNext/>
        <w:keepLines/>
        <w:ind w:left="2836" w:hanging="5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4.</w:t>
      </w:r>
      <w:r>
        <w:tab/>
      </w:r>
      <w:r>
        <w:rPr>
          <w:rFonts w:ascii="Verdana" w:hAnsi="Verdana"/>
          <w:sz w:val="18"/>
        </w:rPr>
        <w:t>Dodaje się trzy nowe ustępy w brzmieniu:</w:t>
      </w:r>
    </w:p>
    <w:p w:rsidR="0043098B" w:rsidRDefault="0043098B" w:rsidP="00E17C57">
      <w:pPr>
        <w:ind w:left="3544" w:hanging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4.</w:t>
      </w:r>
      <w:r>
        <w:tab/>
      </w:r>
      <w:r>
        <w:rPr>
          <w:rFonts w:ascii="Verdana" w:hAnsi="Verdana"/>
          <w:sz w:val="18"/>
        </w:rPr>
        <w:t>W zażywanej zgodnie ze sposobem użycia dziennej dawce preparaty ziołowe zawierają nie więcej niż 27 mg p-synefryny.</w:t>
      </w:r>
    </w:p>
    <w:p w:rsidR="0095665C" w:rsidRDefault="0043098B" w:rsidP="00E17C57">
      <w:pPr>
        <w:ind w:left="3544" w:hanging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5.</w:t>
      </w:r>
      <w:r>
        <w:tab/>
      </w:r>
      <w:r>
        <w:rPr>
          <w:rFonts w:ascii="Verdana" w:hAnsi="Verdana"/>
          <w:sz w:val="18"/>
        </w:rPr>
        <w:t>W drodze odstępstwa od przepisów ust. 3 preparaty ziołowe mogą zawierać olej pozyskiwany z nasion Ricinus communis, o ile zalecone stosowanie i dawkowanie, o którym mowa w art. 6 ust. 1, nie prowadzi do spożycia tego oleju w dawce przekraczającej 0,4 g dziennie.</w:t>
      </w:r>
    </w:p>
    <w:p w:rsidR="00AB3B66" w:rsidRDefault="00AB3B66" w:rsidP="00E17C57">
      <w:pPr>
        <w:ind w:left="3544" w:hanging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6.</w:t>
      </w:r>
      <w:r>
        <w:tab/>
      </w:r>
      <w:r>
        <w:rPr>
          <w:rFonts w:ascii="Verdana" w:hAnsi="Verdana"/>
          <w:sz w:val="18"/>
        </w:rPr>
        <w:t xml:space="preserve">Ust. 1 nie ma zastosowania, jeżeli ustanowiono odnośne przepisy w drodze rozporządzenia (WE) 1881/2006. </w:t>
      </w:r>
    </w:p>
    <w:p w:rsidR="00D9610F" w:rsidRDefault="00D9610F" w:rsidP="00E17C57">
      <w:pPr>
        <w:ind w:left="2268"/>
        <w:rPr>
          <w:rFonts w:ascii="Verdana" w:hAnsi="Verdana"/>
          <w:sz w:val="18"/>
          <w:szCs w:val="18"/>
        </w:rPr>
      </w:pPr>
    </w:p>
    <w:p w:rsidR="00AB4972" w:rsidRPr="00AB4972" w:rsidRDefault="00AB4972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B</w:t>
      </w:r>
    </w:p>
    <w:p w:rsidR="00AB4972" w:rsidRDefault="00AB4972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</w:p>
    <w:p w:rsidR="003825F1" w:rsidRDefault="003825F1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Do art. 6 dodaje się ustęp w brzmieniu:</w:t>
      </w:r>
    </w:p>
    <w:p w:rsidR="003825F1" w:rsidRDefault="003825F1" w:rsidP="00E17C57">
      <w:pPr>
        <w:ind w:left="2836" w:hanging="5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3. </w:t>
      </w:r>
      <w:r>
        <w:tab/>
      </w:r>
      <w:r>
        <w:rPr>
          <w:rFonts w:ascii="Verdana" w:hAnsi="Verdana"/>
          <w:sz w:val="18"/>
        </w:rPr>
        <w:t>W drodze rozporządzenia ministerialnego mogą zostać ustanowione dalsze przepisy dotyczące zalecanego stosowania i dawkowania, o którym mowa w ust. 1 i 2.</w:t>
      </w:r>
    </w:p>
    <w:p w:rsidR="003825F1" w:rsidRDefault="003825F1" w:rsidP="00E17C57">
      <w:pPr>
        <w:ind w:left="2268"/>
        <w:rPr>
          <w:rFonts w:ascii="Verdana" w:hAnsi="Verdana"/>
          <w:sz w:val="18"/>
          <w:szCs w:val="18"/>
        </w:rPr>
      </w:pPr>
    </w:p>
    <w:p w:rsidR="003825F1" w:rsidRDefault="003825F1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C</w:t>
      </w:r>
    </w:p>
    <w:p w:rsidR="003825F1" w:rsidRDefault="003825F1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</w:p>
    <w:p w:rsidR="00BB07D4" w:rsidRDefault="00BB07D4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W art. 7 ust. 1 skreśla się wyrażenie „, z zastrzeżeniem, że art. 4 ust. 1 i 3 wchodzi w życie z dniem 1 sierpnia 2001 r. w odniesieniu do preparatów ziołowych niebędących żywnością lub napojem, przeznaczonych wyłącznie do kontaktu z różnymi częściami ciała ludzkiego i niezawierających roślin innych niż te oznaczone cyfrą 1 w ostatniej kolumnie załącznika”.</w:t>
      </w:r>
    </w:p>
    <w:p w:rsidR="00BB07D4" w:rsidRDefault="00BB07D4" w:rsidP="00E17C57">
      <w:pPr>
        <w:ind w:left="2268"/>
        <w:rPr>
          <w:rFonts w:ascii="Verdana" w:hAnsi="Verdana"/>
          <w:sz w:val="18"/>
          <w:szCs w:val="18"/>
        </w:rPr>
      </w:pPr>
    </w:p>
    <w:p w:rsidR="00BB07D4" w:rsidRDefault="00BB07D4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D</w:t>
      </w:r>
    </w:p>
    <w:p w:rsidR="00BB07D4" w:rsidRDefault="00BB07D4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</w:p>
    <w:p w:rsidR="00BB11AA" w:rsidRDefault="00F6533C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W załączniku wprowadza się następujące zmiany:</w:t>
      </w:r>
    </w:p>
    <w:p w:rsidR="00F6533C" w:rsidRDefault="00F6533C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Zdanie „Niniejszy załącznik odnosi się do art. 4.” zastępuje się zdaniem „Niniejszy załącznik odnosi się do art. 4 ust. 3.”. </w:t>
      </w:r>
    </w:p>
    <w:p w:rsidR="00F6533C" w:rsidRDefault="00BB02A9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Skreśla się część I.</w:t>
      </w:r>
    </w:p>
    <w:p w:rsidR="00F6533C" w:rsidRDefault="00BB07D4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Wyrażenie „II. Następujące rośliny i grzyby:” zastępuje się wyrażeniem „Rośliny i grzyby, o których mowa w art. 4 ust. 3, to:”.</w:t>
      </w:r>
    </w:p>
    <w:p w:rsidR="00740EC3" w:rsidRDefault="00740EC3" w:rsidP="00E17C57">
      <w:pPr>
        <w:pStyle w:val="ListParagraph"/>
        <w:keepNext/>
        <w:keepLines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W porządku alfabetycznym dodaje się treść w brzmieniu:</w:t>
      </w:r>
    </w:p>
    <w:p w:rsidR="00183469" w:rsidRPr="00A27E62" w:rsidRDefault="00740EC3" w:rsidP="00E17C57">
      <w:pPr>
        <w:ind w:left="1919"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Aconitum carmichaelii;</w:t>
      </w:r>
    </w:p>
    <w:p w:rsidR="00740EC3" w:rsidRPr="00A27E62" w:rsidRDefault="00740EC3" w:rsidP="00E17C57">
      <w:pPr>
        <w:ind w:left="1919"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Aconitum kusnezoffii;</w:t>
      </w:r>
    </w:p>
    <w:p w:rsidR="00740EC3" w:rsidRPr="00A27E62" w:rsidRDefault="00740EC3" w:rsidP="00E17C57">
      <w:pPr>
        <w:ind w:left="1919"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Pilocarpus jaborandi.</w:t>
      </w:r>
    </w:p>
    <w:p w:rsidR="00183469" w:rsidRPr="00E17C57" w:rsidRDefault="00BB551C" w:rsidP="00147025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„Brassica nigra (gorczyca czarna), z wyjątkiem stosowania w żywności nasion Bryonia alba (przestępu)” otrzymuje brzmienie „Brassica nigra (gorczyca czarna), z wyjątkiem zastosowania w żywności nasion Bryonia alba (przestępu)”.</w:t>
      </w:r>
    </w:p>
    <w:p w:rsidR="00740EC3" w:rsidRDefault="00740EC3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„Citrullus colocynthidis” otrzymuje brzmienie „Citrullus colocynthis”. </w:t>
      </w:r>
    </w:p>
    <w:p w:rsidR="00740EC3" w:rsidRDefault="00740EC3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„Mallotus philipinensis” otrzymuje brzmienie „Mallotus philippensis”. </w:t>
      </w:r>
    </w:p>
    <w:p w:rsidR="00740EC3" w:rsidRDefault="00740EC3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„Mandragora officinalis” otrzymuje brzmienie „Mandragora officinarum”.</w:t>
      </w:r>
    </w:p>
    <w:p w:rsidR="00BB551C" w:rsidRPr="00C5642F" w:rsidRDefault="00740EC3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„Pausinystalia yohimbe lub Coynanthe yohimbe” otrzymuje brzmienie „Pausinystalia johimbe lub Corynanthe johimbe”.</w:t>
      </w:r>
    </w:p>
    <w:p w:rsidR="00740EC3" w:rsidRPr="00C5642F" w:rsidRDefault="00BB551C" w:rsidP="00E17C57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Skreśla się kolumnę drugą z cyframi „1”.</w:t>
      </w:r>
    </w:p>
    <w:p w:rsidR="007E7D62" w:rsidRDefault="007E7D62" w:rsidP="00E17C57">
      <w:pPr>
        <w:ind w:left="2268"/>
        <w:rPr>
          <w:rFonts w:ascii="Verdana" w:hAnsi="Verdana"/>
          <w:sz w:val="18"/>
          <w:szCs w:val="18"/>
        </w:rPr>
      </w:pPr>
    </w:p>
    <w:p w:rsidR="00E17C57" w:rsidRDefault="00E17C57" w:rsidP="00E17C57">
      <w:pPr>
        <w:ind w:left="2268"/>
        <w:rPr>
          <w:rFonts w:ascii="Verdana" w:hAnsi="Verdana"/>
          <w:sz w:val="18"/>
          <w:szCs w:val="18"/>
        </w:rPr>
      </w:pPr>
    </w:p>
    <w:p w:rsidR="00F517C1" w:rsidRPr="00F517C1" w:rsidRDefault="00F517C1" w:rsidP="00E17C57">
      <w:pPr>
        <w:keepNext/>
        <w:keepLines/>
        <w:ind w:left="226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>Artykuł II</w:t>
      </w:r>
    </w:p>
    <w:p w:rsidR="00F517C1" w:rsidRDefault="00F517C1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</w:p>
    <w:p w:rsidR="00F517C1" w:rsidRDefault="008E734A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W rubryce C-22 załącznika do decyzji do ustawy o towarach w sprawie grzywien administracyjnych po sekcji C-22.4 dodaje się sekcję w brzmieniu:</w:t>
      </w:r>
    </w:p>
    <w:tbl>
      <w:tblPr>
        <w:tblStyle w:val="TableGrid"/>
        <w:tblW w:w="0" w:type="auto"/>
        <w:tblInd w:w="2268" w:type="dxa"/>
        <w:tblLook w:val="04A0" w:firstRow="1" w:lastRow="0" w:firstColumn="1" w:lastColumn="0" w:noHBand="0" w:noVBand="1"/>
      </w:tblPr>
      <w:tblGrid>
        <w:gridCol w:w="1083"/>
        <w:gridCol w:w="3657"/>
        <w:gridCol w:w="827"/>
        <w:gridCol w:w="982"/>
        <w:gridCol w:w="402"/>
      </w:tblGrid>
      <w:tr w:rsidR="001960C4" w:rsidTr="00E17C57">
        <w:trPr>
          <w:cantSplit/>
        </w:trPr>
        <w:tc>
          <w:tcPr>
            <w:tcW w:w="1101" w:type="dxa"/>
          </w:tcPr>
          <w:p w:rsidR="001960C4" w:rsidRDefault="001960C4" w:rsidP="00E17C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C-22.4.1</w:t>
            </w:r>
          </w:p>
        </w:tc>
        <w:tc>
          <w:tcPr>
            <w:tcW w:w="3827" w:type="dxa"/>
          </w:tcPr>
          <w:p w:rsidR="001960C4" w:rsidRDefault="001960C4" w:rsidP="00E17C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artykuł 2 w związku z art. 4 ust. 4</w:t>
            </w:r>
          </w:p>
        </w:tc>
        <w:tc>
          <w:tcPr>
            <w:tcW w:w="842" w:type="dxa"/>
          </w:tcPr>
          <w:p w:rsidR="001960C4" w:rsidRDefault="001960C4" w:rsidP="00E17C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525 EUR</w:t>
            </w:r>
          </w:p>
        </w:tc>
        <w:tc>
          <w:tcPr>
            <w:tcW w:w="1001" w:type="dxa"/>
          </w:tcPr>
          <w:p w:rsidR="001960C4" w:rsidRDefault="001960C4" w:rsidP="00E17C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1050 EUR</w:t>
            </w:r>
          </w:p>
        </w:tc>
        <w:tc>
          <w:tcPr>
            <w:tcW w:w="406" w:type="dxa"/>
          </w:tcPr>
          <w:p w:rsidR="001960C4" w:rsidRDefault="001960C4" w:rsidP="00E17C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</w:tbl>
    <w:p w:rsidR="00B67E83" w:rsidRDefault="00B67E83" w:rsidP="00E17C57">
      <w:pPr>
        <w:ind w:left="2268"/>
        <w:rPr>
          <w:rFonts w:ascii="Verdana" w:hAnsi="Verdana"/>
          <w:sz w:val="18"/>
          <w:szCs w:val="18"/>
        </w:rPr>
      </w:pPr>
    </w:p>
    <w:p w:rsidR="001960C4" w:rsidRDefault="001960C4" w:rsidP="00E17C57">
      <w:pPr>
        <w:ind w:left="2268"/>
        <w:rPr>
          <w:rFonts w:ascii="Verdana" w:hAnsi="Verdana"/>
          <w:sz w:val="18"/>
          <w:szCs w:val="18"/>
        </w:rPr>
      </w:pPr>
    </w:p>
    <w:p w:rsidR="00B56093" w:rsidRPr="00B56093" w:rsidRDefault="00F517C1" w:rsidP="00E17C57">
      <w:pPr>
        <w:keepNext/>
        <w:keepLines/>
        <w:ind w:left="226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>Artykuł III</w:t>
      </w:r>
    </w:p>
    <w:p w:rsidR="00B56093" w:rsidRDefault="00B56093" w:rsidP="00E17C57">
      <w:pPr>
        <w:keepNext/>
        <w:keepLines/>
        <w:ind w:left="2268"/>
        <w:rPr>
          <w:rFonts w:ascii="Verdana" w:hAnsi="Verdana"/>
          <w:sz w:val="18"/>
          <w:szCs w:val="18"/>
        </w:rPr>
      </w:pPr>
    </w:p>
    <w:p w:rsidR="00D9610F" w:rsidRDefault="00D9610F" w:rsidP="00E17C57">
      <w:pPr>
        <w:ind w:left="2836" w:hanging="5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Niniejsze rozporządzenie wchodzi w życie z dniem 1 stycznia 2020 r.</w:t>
      </w:r>
    </w:p>
    <w:p w:rsidR="003143CD" w:rsidRPr="008F0589" w:rsidRDefault="003143CD" w:rsidP="00E17C57">
      <w:pPr>
        <w:ind w:left="2268"/>
        <w:rPr>
          <w:rFonts w:ascii="Verdana" w:hAnsi="Verdana"/>
          <w:sz w:val="18"/>
          <w:szCs w:val="18"/>
        </w:rPr>
      </w:pPr>
    </w:p>
    <w:p w:rsidR="003143CD" w:rsidRDefault="007E7D62" w:rsidP="00E17C57">
      <w:pPr>
        <w:ind w:left="2268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</w:rPr>
        <w:t>Zarządzamy, by niniejsza decyzja wraz z notą wyjaśniającą została opublikowana w Dzienniku Urzędowym.</w:t>
      </w:r>
    </w:p>
    <w:p w:rsidR="003143CD" w:rsidRDefault="003143CD" w:rsidP="00E17C57">
      <w:pPr>
        <w:ind w:left="2268"/>
        <w:rPr>
          <w:rFonts w:ascii="Verdana" w:hAnsi="Verdana"/>
          <w:snapToGrid w:val="0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Minister Zdrowia,</w:t>
      </w: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Pr="005B4FAB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B.J. Bruins</w:t>
      </w:r>
    </w:p>
    <w:p w:rsidR="005B43ED" w:rsidRPr="00176336" w:rsidRDefault="007E7D62" w:rsidP="00E17C57">
      <w:pPr>
        <w:keepNext/>
        <w:keepLines/>
        <w:pageBreakBefore/>
        <w:tabs>
          <w:tab w:val="left" w:pos="2268"/>
        </w:tabs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</w:rPr>
        <w:t>Nota wyjaśniająca</w:t>
      </w:r>
    </w:p>
    <w:p w:rsidR="00B24606" w:rsidRPr="00176336" w:rsidRDefault="00B24606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64439B" w:rsidRPr="00F07731" w:rsidRDefault="00F0773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kern w:val="2"/>
          <w:sz w:val="18"/>
        </w:rPr>
        <w:t>1. Informacje ogólne</w:t>
      </w:r>
    </w:p>
    <w:p w:rsidR="00B24606" w:rsidRPr="00176336" w:rsidRDefault="00B24606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B428D8" w:rsidRDefault="00B24606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Decyzja do ustawy o towarach w sprawie produktów ziołowych określa wymagania dotyczące preparatów ziołowych, które są podyktowane względami ochrony zdrowia publicznego. Na podstawie oceny ryzyka roślin decyzję uzupełnia się o zakaz dotyczący niektórych roślin. Ponadto zdecydowano o wprowadzeniu w decyzji zakazu obecności szkodliwych substancji z roślin i grzybów w preparatach ziołowych (art. I część A pkt 2). Pozwoli to zwiększyć egzekwowalność decyzji do ustawy o towarach w sprawie produktów ziołowych. W rezultacie konsumenci będą lepiej chronieni przed produktami, które mogą być szkodliwe dla zdrowia.</w:t>
      </w:r>
    </w:p>
    <w:p w:rsidR="003B5162" w:rsidRDefault="003B5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B5162" w:rsidRPr="003B5162" w:rsidRDefault="003B5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W art. 13d ustawy o towarach ujęto klauzulę o wzajemnym uznawaniu. Zasada wzajemnego uznawania przewiduje, że państwo członkowskie UE nie może zakazać na swoim terytorium sprzedaży towarów, które w innym państwie członkowskim UE zostały wprowadzone do obrotu zgodnie z prawem, uzasadniając to niespełnianiem przez dany towar własnych przepisów krajowych. W przypadku tym sprawą kluczową jest, aby towary z innego państwa członkowskiego UE zapewniały co najmniej równoważny poziom ochrony. Zawarte w decyzji wymagania nie wprowadzają zakazu handlu towarami o porównywalnym poziomie ochrony pochodzącymi z innych państw członkowskich UE, które podlegają zakresowi przedmiotowego dekretu.</w:t>
      </w:r>
    </w:p>
    <w:p w:rsidR="003B5162" w:rsidRPr="003B5162" w:rsidRDefault="003B5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B5162" w:rsidRDefault="003B5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Wymogi dotyczące towarów określone w tej decyzji są uzasadnione z punktu widzenia ochrony konsumentów przed niebezpiecznymi produktami.</w:t>
      </w:r>
    </w:p>
    <w:p w:rsidR="00E17C57" w:rsidRPr="003B5162" w:rsidRDefault="00E17C57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B428D8" w:rsidRPr="00F07731" w:rsidRDefault="00F0773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kern w:val="2"/>
          <w:sz w:val="18"/>
        </w:rPr>
        <w:t>2. Skutki w zakresie obciążeń regulacyjnych</w:t>
      </w:r>
    </w:p>
    <w:p w:rsidR="00B428D8" w:rsidRDefault="00B428D8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B428D8" w:rsidRDefault="00B428D8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 xml:space="preserve">Przewiduje się, że niniejsza decyzja wywrze niewielki wpływ na obciążenia regulacyjne dla przedsiębiorstw. Konsultacje w sektorze wykazały, że liczba produktów, które będą podlegać dostosowaniu, jest ograniczona. Ponadto z uwagi na długi okres przygotowywania do przedmiotowej zmiany i liczne konsultacje ze stronami producenci mieli już wystarczająco dużo czasu na dostosowanie produktów do nowych wymogów. Zapoznanie się z przepisami nie wiąże się z żadnymi kosztami. Kolegium Doradcze ds. Analizy Obciążeń Regulacyjnych (ATR) z zadowoleniem przyjmuje analizę i wnioski w odniesieniu do wpływu na obciążenia regulacyjne. </w:t>
      </w:r>
    </w:p>
    <w:p w:rsidR="00B428D8" w:rsidRDefault="00B428D8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B428D8" w:rsidRPr="00F07731" w:rsidRDefault="00F0773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kern w:val="2"/>
          <w:sz w:val="18"/>
        </w:rPr>
        <w:t>3. Systematyczne konsultacje dotyczące ustawy o towarach</w:t>
      </w:r>
    </w:p>
    <w:p w:rsidR="00B428D8" w:rsidRPr="008F0589" w:rsidRDefault="00B428D8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B428D8" w:rsidRDefault="00B428D8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Projekt niniejszej decyzji został przedstawiony uczestnikom systematycznych konsultacji dotyczących ustawy o towarach (ROW)</w:t>
      </w:r>
      <w:r>
        <w:rPr>
          <w:rStyle w:val="FootnoteReference"/>
          <w:rFonts w:ascii="Verdana" w:hAnsi="Verdana"/>
          <w:kern w:val="2"/>
          <w:sz w:val="18"/>
        </w:rPr>
        <w:footnoteReference w:id="1"/>
      </w:r>
      <w:r>
        <w:rPr>
          <w:rFonts w:ascii="Verdana" w:hAnsi="Verdana"/>
          <w:kern w:val="2"/>
          <w:sz w:val="18"/>
        </w:rPr>
        <w:t>. Z konsultacji wynika, że zakaz obecności synefryny w preparatach ziołowych nie jest możliwy, ponieważ substancja ta naturalnie występuje w żywności (np. marmoladzie pomarańczowej). Aby zapewnić, by konsumenci nie zostali narażeni na szkodliwe dla zdrowia ilości synefryny, wystąpiono z wnioskiem o opinię Niderlandzkiego Krajowego Instytutu Zdrowia Publicznego i Środowiska (RIVM) oraz Biura Badań i Oceny Ryzyka (BuRO) Niderlandzkiego Urzędu ds. Produktów Spożywczych i Bezpieczeństwa Produktów Konsumpcyjnych (NVWA) w odniesieniu do maksymalnej ilości synefryny w preparatach ziołowych. Na podstawie raportu RIVM</w:t>
      </w:r>
      <w:r>
        <w:rPr>
          <w:rStyle w:val="FootnoteReference"/>
          <w:rFonts w:ascii="Verdana" w:hAnsi="Verdana"/>
          <w:kern w:val="2"/>
          <w:sz w:val="18"/>
        </w:rPr>
        <w:footnoteReference w:id="2"/>
      </w:r>
      <w:r>
        <w:rPr>
          <w:rFonts w:ascii="Verdana" w:hAnsi="Verdana"/>
          <w:kern w:val="2"/>
          <w:sz w:val="18"/>
        </w:rPr>
        <w:t xml:space="preserve"> BuRO zaleca</w:t>
      </w:r>
      <w:r>
        <w:rPr>
          <w:rStyle w:val="FootnoteReference"/>
          <w:rFonts w:ascii="Verdana" w:hAnsi="Verdana"/>
          <w:kern w:val="2"/>
          <w:sz w:val="18"/>
        </w:rPr>
        <w:footnoteReference w:id="3"/>
      </w:r>
      <w:r>
        <w:rPr>
          <w:rFonts w:ascii="Verdana" w:hAnsi="Verdana"/>
          <w:kern w:val="2"/>
          <w:sz w:val="18"/>
        </w:rPr>
        <w:t xml:space="preserve"> ograniczenie maksymalnej ilości synefryny w preparatach ziołowych do 27 mg p-synefryny na dzień przy stosowaniu zgodnie z zaleceniami. Ponadto stosowanie m- i o-synefryny w preparatach ziołowych jest niedozwolone. </w:t>
      </w:r>
    </w:p>
    <w:p w:rsidR="008E734A" w:rsidRDefault="00586978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Podczas konsultacji ROW omówiono również, co dokładnie należy rozumieć pod pojęciem „pochodnych”. Padło pytanie, czy to uzupełnienie jest naprawdę konieczne, a jeśli tak, to jak powinna brzmieć dobra definicja. Przeanalizowano tę kwestię. Mając na uwadze fakt, że może istnieć wiele wariantów szkodliwej substancji, zdecydowano o zachowaniu tego terminu. Odnosi się on do substancji uzyskanych z innej substancji.</w:t>
      </w:r>
    </w:p>
    <w:p w:rsidR="00A27E62" w:rsidRDefault="00A27E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A27E62" w:rsidRDefault="00F0773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kern w:val="2"/>
          <w:sz w:val="18"/>
        </w:rPr>
        <w:t>4. Egzekwowalność i wykonalność</w:t>
      </w:r>
    </w:p>
    <w:p w:rsidR="00E17C57" w:rsidRDefault="00E17C57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A27E62" w:rsidRDefault="00A27E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 xml:space="preserve">Projekt przedmiotowej decyzji został przekazany NVWA do oceny pod kątem egzekwowalności, wykonalności i odporności na nadużycia. W opinii NVWA projekt decyzji jest egzekwowalny i wykonalny. Projekt nie daje podstaw do sformułowania uwag dotyczących odporności na nadużycia. </w:t>
      </w:r>
    </w:p>
    <w:p w:rsidR="00586978" w:rsidRDefault="00586978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8E734A" w:rsidRDefault="00F0773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kern w:val="2"/>
          <w:sz w:val="18"/>
        </w:rPr>
        <w:t>5. Procedura kontrolna</w:t>
      </w:r>
    </w:p>
    <w:p w:rsidR="00E17C57" w:rsidRDefault="00E17C57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8E734A" w:rsidRPr="008E734A" w:rsidRDefault="008E734A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 xml:space="preserve">Zgodnie z art. 32b ust. 2 ustawy o towarach projekt tego ogólnego przepisu administracyjnego został przesłany dnia </w:t>
      </w:r>
      <w:r>
        <w:rPr>
          <w:rFonts w:ascii="Verdana" w:hAnsi="Verdana"/>
          <w:b/>
          <w:kern w:val="2"/>
          <w:sz w:val="18"/>
        </w:rPr>
        <w:t>(data)</w:t>
      </w:r>
      <w:r>
        <w:rPr>
          <w:rFonts w:ascii="Verdana" w:hAnsi="Verdana"/>
          <w:kern w:val="2"/>
          <w:sz w:val="18"/>
        </w:rPr>
        <w:t xml:space="preserve"> obydwu izbom parlamentu Niderlandów (dokumenty parlamentarne </w:t>
      </w:r>
      <w:r>
        <w:rPr>
          <w:rFonts w:ascii="Verdana" w:hAnsi="Verdana"/>
          <w:b/>
          <w:kern w:val="2"/>
          <w:sz w:val="18"/>
        </w:rPr>
        <w:t>PM</w:t>
      </w:r>
      <w:r>
        <w:rPr>
          <w:rFonts w:ascii="Verdana" w:hAnsi="Verdana"/>
          <w:kern w:val="2"/>
          <w:sz w:val="18"/>
        </w:rPr>
        <w:t>).</w:t>
      </w:r>
    </w:p>
    <w:p w:rsidR="00610A2C" w:rsidRDefault="00610A2C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B428D8" w:rsidRPr="008F0589" w:rsidRDefault="00F0773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kern w:val="2"/>
          <w:sz w:val="18"/>
        </w:rPr>
        <w:t>6. Notyfikacja</w:t>
      </w:r>
    </w:p>
    <w:p w:rsidR="00E17C57" w:rsidRDefault="00E17C57" w:rsidP="00E17C57">
      <w:pPr>
        <w:keepNext/>
        <w:keepLines/>
        <w:tabs>
          <w:tab w:val="left" w:pos="2268"/>
        </w:tabs>
        <w:ind w:left="2268"/>
        <w:rPr>
          <w:rFonts w:ascii="Verdana" w:hAnsi="Verdana"/>
          <w:sz w:val="18"/>
          <w:szCs w:val="18"/>
        </w:rPr>
      </w:pPr>
    </w:p>
    <w:p w:rsidR="00B428D8" w:rsidRDefault="009345F8" w:rsidP="00E17C57">
      <w:pPr>
        <w:tabs>
          <w:tab w:val="left" w:pos="2268"/>
        </w:tabs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Projekt przedmiotowej decyzji został w dniu ... zgłoszony Komisji Europejskiej w celu wypełnienia obowiązku zawartego w art. 5 ust. 1 dyrektywy (UE) 2015/1535</w:t>
      </w:r>
      <w:r>
        <w:rPr>
          <w:rStyle w:val="FootnoteReference"/>
          <w:rFonts w:ascii="Verdana" w:hAnsi="Verdana"/>
          <w:sz w:val="18"/>
        </w:rPr>
        <w:footnoteReference w:id="4"/>
      </w:r>
      <w:r>
        <w:rPr>
          <w:rFonts w:ascii="Verdana" w:hAnsi="Verdana"/>
          <w:sz w:val="18"/>
        </w:rPr>
        <w:t xml:space="preserve">. Notyfikacja do Komisji Europejskiej jest konieczna, ponieważ art. I niniejszej decyzji zawiera przepisy techniczne w rozumieniu dyrektywy (UE) 2015/1535. W związku z notyfikacją </w:t>
      </w:r>
    </w:p>
    <w:p w:rsidR="00E17C57" w:rsidRPr="00BB02A9" w:rsidRDefault="00E17C57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B428D8" w:rsidRPr="008F0589" w:rsidRDefault="00B428D8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W zakresie, w jakim projekt decyzji zawiera ilościowe ograniczenia przywozowe lub środki o skutku równoważnym w rozumieniu art. 34 Traktatu o funkcjonowaniu Unii Europejskiej, środki te są uzasadnione z uwagi na ochronę zdrowia publicznego na podstawie art. 36 tego traktatu.</w:t>
      </w:r>
    </w:p>
    <w:p w:rsidR="005E47AF" w:rsidRPr="005C6A30" w:rsidRDefault="005E47AF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A82D46" w:rsidRPr="005C6A30" w:rsidRDefault="00F0773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kern w:val="2"/>
          <w:sz w:val="18"/>
        </w:rPr>
        <w:t>7. Omówienie artykułów</w:t>
      </w:r>
    </w:p>
    <w:p w:rsidR="00F120A1" w:rsidRPr="005C6A30" w:rsidRDefault="00F120A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95665C" w:rsidRPr="00AD2E4A" w:rsidRDefault="0095665C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Art. I część A punkt 1 i 4 oraz część D punkt 2</w:t>
      </w:r>
    </w:p>
    <w:p w:rsidR="00670294" w:rsidRDefault="00FC0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Przedmiotowa zmiana zapewnia lepszą egzekwowalność. Do czasu wejścia w życie niniejszej decyzji art. 4 ust. 1 decyzji do ustawy o towarach w sprawie produktów ziołowych brzmiał następująco:</w:t>
      </w:r>
    </w:p>
    <w:p w:rsidR="00670294" w:rsidRPr="009345F8" w:rsidRDefault="00670294" w:rsidP="00E17C57">
      <w:pPr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 xml:space="preserve">Ilość toksycznych alkaloidów pirolizydynowych z preparatów ziołowych pozyskanych całkowicie lub częściowo z roślin, o których mowa w sekcji I załącznika, lub z innych roślin, co do których uważa się, że zawierają toksyczne alkaloidy pirolizydynowe, nie przekracza odpowiednio 1 µg na kilogram lub litr. </w:t>
      </w:r>
    </w:p>
    <w:p w:rsidR="00670294" w:rsidRDefault="00670294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670294" w:rsidRDefault="00670294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 xml:space="preserve">W świetle tego sformułowania urzędnik odpowiedzialny za nadzór nie mógł poprzestać na ustaleniu nadmiernej ilości toksycznych alkaloidów pirolizydynowych w preparacie ziołowym. Konieczne było również wykazanie jego pochodzenia. Doprowadziło to do problemów podczas monitorowania przestrzegania tego przepisu. </w:t>
      </w:r>
    </w:p>
    <w:p w:rsidR="00670294" w:rsidRDefault="00670294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670294" w:rsidRPr="00B71129" w:rsidRDefault="00BB02A9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 xml:space="preserve">Art. I część A pkt 1 niniejszej decyzji proponuje poprawkę art. 4 ust. 1, która zapobiegnie problemom opisanym w poprzednim akapicie. Ust. 1 określa teraz maksymalną ilość toksycznych alkaloidów pirolizydynowych w preparatach ziołowych, niezależnie od ich pochodzenia. Część I załącznika może zatem zostać skreślona (art. I część D punkt 2). </w:t>
      </w:r>
    </w:p>
    <w:p w:rsidR="00AB3B66" w:rsidRPr="00B71129" w:rsidRDefault="00AB3B66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430B87" w:rsidRPr="0042448A" w:rsidRDefault="00430B87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Oczekuje się, że w krótkim terminie maksymalna ilość alkaloidów pirolizydynowych w suplementach diety i preparatach ziołowych zostanie określona w rozporządzeniu (WE) 1881/2006</w:t>
      </w:r>
      <w:r>
        <w:rPr>
          <w:rStyle w:val="FootnoteReference"/>
          <w:rFonts w:ascii="Verdana" w:hAnsi="Verdana"/>
          <w:sz w:val="18"/>
        </w:rPr>
        <w:footnoteReference w:id="5"/>
      </w:r>
      <w:r>
        <w:rPr>
          <w:rFonts w:ascii="Verdana" w:hAnsi="Verdana"/>
          <w:sz w:val="18"/>
        </w:rPr>
        <w:t>. W oczekiwaniu na to dodano nowy ust. 6 do art. 4 decyzji do ustawy o towarach w sprawie produktów ziołowych, który stanowi, że ust. 1 nie ma zastosowania, o ile przepisy w tym zakresie zostały określone w rozporządzeniu (WE) 1881/2006. Przepis ten uwzględnia przyszłe rozszerzenie przepisów rozporządzenia (WE) 1881/2006 w odniesieniu do alkaloidów pirolizydynowych.</w:t>
      </w:r>
    </w:p>
    <w:p w:rsidR="00430B87" w:rsidRPr="0042448A" w:rsidRDefault="00430B87" w:rsidP="00E17C57">
      <w:pPr>
        <w:ind w:left="2268"/>
        <w:rPr>
          <w:rFonts w:ascii="Verdana" w:hAnsi="Verdana"/>
          <w:sz w:val="18"/>
          <w:szCs w:val="18"/>
        </w:rPr>
      </w:pPr>
    </w:p>
    <w:p w:rsidR="00430B87" w:rsidRDefault="00430B87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Do innych preparatów ziołowych, które nie zostały ujęte w załączniku do rozporządzenia (WE) 1881/2006, zastosowanie ma maksymalny limit określony w art. 4 ust. 1 decyzji do ustawy o towarach w sprawie produktów ziołowych, tj.: odpowiednio 1 µg na kilogram lub litr.</w:t>
      </w:r>
    </w:p>
    <w:p w:rsidR="00E17C57" w:rsidRPr="00B71129" w:rsidRDefault="00E17C57" w:rsidP="00E17C57">
      <w:pPr>
        <w:ind w:left="2268"/>
        <w:rPr>
          <w:rFonts w:ascii="Verdana" w:hAnsi="Verdana"/>
          <w:sz w:val="18"/>
          <w:szCs w:val="18"/>
        </w:rPr>
      </w:pPr>
    </w:p>
    <w:p w:rsidR="00FC0162" w:rsidRPr="00B71129" w:rsidRDefault="00FC0162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Artykuł I część A punkt 2</w:t>
      </w:r>
    </w:p>
    <w:p w:rsidR="00FC0162" w:rsidRDefault="00FC0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Art. 4 ust. 2 decyzji do ustawy o towarach w sprawie produktów ziołowych wymienia szereg substancji, które z uwagi na ochronę zdrowia publicznego nie mogą znajdować się w preparatach ziołowych. Na podstawie badania</w:t>
      </w:r>
      <w:r>
        <w:rPr>
          <w:rStyle w:val="FootnoteReference"/>
          <w:rFonts w:ascii="Verdana" w:hAnsi="Verdana"/>
          <w:kern w:val="2"/>
          <w:sz w:val="18"/>
        </w:rPr>
        <w:footnoteReference w:id="6"/>
      </w:r>
      <w:r>
        <w:rPr>
          <w:rFonts w:ascii="Verdana" w:hAnsi="Verdana"/>
          <w:kern w:val="2"/>
          <w:sz w:val="18"/>
        </w:rPr>
        <w:t xml:space="preserve"> RIVM zalecił rozszerzenie tej listy o szereg innych substancji, które wykazują (ostre) właściwości toksyczne. Zalecenia te zostały przyjęte. Substancje, o których mowa, zostały dodane do art. 4 ust. 2 decyzji do ustawy o towarach w sprawie produktów ziołowych. Poprzednie litery a) i b) (kwasy arystolocholowe i alkaloidy johimbiny lub ich pochodne) zostały w porządku alfabetycznym dodane do nowej listy.</w:t>
      </w:r>
    </w:p>
    <w:p w:rsidR="00FC0162" w:rsidRDefault="00FC0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FC0162" w:rsidRDefault="00FC016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Nowa litera g) dotyczy oleju z Artemisia absinthium. Stanowi ona, że zakaz obecności tego oleju w preparatach ziołowych nie ma zastosowania do tujonu w napojach z gatunków Artemisia, o ile obecność ta jest dozwolona na mocy art. 6 ust. 2 i załącznika III część B rozporządzenia (WE) 1334/2008</w:t>
      </w:r>
      <w:r>
        <w:rPr>
          <w:rStyle w:val="FootnoteReference"/>
          <w:rFonts w:ascii="Verdana" w:hAnsi="Verdana"/>
          <w:kern w:val="2"/>
          <w:sz w:val="18"/>
        </w:rPr>
        <w:footnoteReference w:id="7"/>
      </w:r>
      <w:r>
        <w:rPr>
          <w:rFonts w:ascii="Verdana" w:hAnsi="Verdana"/>
          <w:kern w:val="2"/>
          <w:sz w:val="18"/>
        </w:rPr>
        <w:t xml:space="preserve">. </w:t>
      </w:r>
    </w:p>
    <w:p w:rsidR="00670294" w:rsidRDefault="00670294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AD2E4A" w:rsidRPr="00AD2E4A" w:rsidRDefault="00AD2E4A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Art. I część A punkt 3 oraz część D punkt 1 i 3</w:t>
      </w:r>
    </w:p>
    <w:p w:rsidR="00670294" w:rsidRDefault="005D7072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W momencie wejścia w życie niniejszej decyzji załącznik do decyzji do ustawy o towarach w sprawie produktów ziołowych zawiera już tylko część II, która w międzyczasie stała się „załącznikiem”. Odniesienie w art. 4 ust. 3 decyzji do ustawy o towarach w sprawie produktów ziołowych do części II załącznika zostaje zatem zmienione, tak aby odnosić się do „załącznika”.</w:t>
      </w:r>
    </w:p>
    <w:p w:rsidR="00B561EB" w:rsidRDefault="00B561EB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5059AF" w:rsidRPr="00485F0F" w:rsidRDefault="00485F0F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Artykuł I część A punkt 4</w:t>
      </w:r>
    </w:p>
    <w:p w:rsidR="003C006F" w:rsidRPr="00C5642F" w:rsidRDefault="003C006F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Na podstawie wspomnianego raportu RIVM i opartych na nim zaleceń BuRO dotyczących synefryny podjęto decyzję o zakazie dodawania m- i o-synefryny do preparatów ziołowych. W oparciu o zalecenia BuRO maksymalna dzienna dawka wynosi 27 mg p-synefryny pochodzącej z żywności. To maksimum zostało zawarte w art. 4 ust. 4.</w:t>
      </w:r>
    </w:p>
    <w:p w:rsidR="008250DF" w:rsidRPr="008250DF" w:rsidRDefault="008250DF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Gatunek Ricinus communis został włączony do części II załącznika do decyzji do ustawy o towarach w sprawie produktów ziołowych. Obecny art. 4 ust 3 stanowi, że preparaty ziołowe nie mogą zawierać materiału całkowicie lub częściowo pochodzącego z Ricinus communis. Z badania RIVM</w:t>
      </w:r>
      <w:r>
        <w:rPr>
          <w:rStyle w:val="FootnoteReference"/>
          <w:rFonts w:ascii="Verdana" w:hAnsi="Verdana"/>
          <w:kern w:val="2"/>
          <w:sz w:val="18"/>
        </w:rPr>
        <w:footnoteReference w:id="8"/>
      </w:r>
      <w:r>
        <w:rPr>
          <w:rFonts w:ascii="Verdana" w:hAnsi="Verdana"/>
          <w:kern w:val="2"/>
          <w:sz w:val="18"/>
        </w:rPr>
        <w:t xml:space="preserve"> wynika pon</w:t>
      </w:r>
      <w:r>
        <w:t xml:space="preserve">adto, że spożycie nie więcej niż 0,4 g oleju pozyskanego z nasion Ricinus communis nie jest szkodliwe dla zdrowia publicznego. Z tego powodu dodano nowy ust. 5 do art. 4 decyzji do ustawy o towarach w sprawie produktów ziołowych, w którym umożliwiono powyższe. </w:t>
      </w:r>
    </w:p>
    <w:p w:rsidR="00FC5154" w:rsidRDefault="00FC5154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2714CE" w:rsidRPr="002714CE" w:rsidRDefault="002714CE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Artykuł I część B</w:t>
      </w:r>
    </w:p>
    <w:p w:rsidR="002714CE" w:rsidRPr="003D0C77" w:rsidRDefault="002714CE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 xml:space="preserve">Do art. 6 dodano nowy ust. 3. Stwarza on możliwość ustanowienia w rozporządzeniu ministerialnym dalszych przepisów w sprawie zalecanego stosowania i dawkowania, o którym mowa w ust. 1 i 2. Możliwość ta będzie wykorzystywana w odniesieniu do substancji, które mogą prowadzić do niekorzystnych skutków zdrowotnych przy określonym dawkowaniu. Konsumenci będą przed tym ostrzegani przez zalecenia stosowania i dawkowania. </w:t>
      </w:r>
    </w:p>
    <w:p w:rsidR="00FC5154" w:rsidRDefault="00FC5154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Pr="003143CD" w:rsidRDefault="003143CD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Art. I część C oraz część D punkt 10</w:t>
      </w: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Przedmiotowa zmiana dotyczy opracowanych przepisów przejściowych.</w:t>
      </w:r>
    </w:p>
    <w:p w:rsidR="00E17C57" w:rsidRDefault="00E17C57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DE4D7B" w:rsidRPr="00DE4D7B" w:rsidRDefault="00773541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Art. I część D punkt 4 do 9</w:t>
      </w:r>
    </w:p>
    <w:p w:rsidR="007C6E9D" w:rsidRDefault="007C6E9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Zmieniony art. 4 ust 3 decyzji do ustawy o towarach w sprawie produktów ziołowych stanowi, że preparaty ziołowe nie mogą zawierać materiału całkowicie lub częściowo pochodzącego z roślin i grzybów, o których mowa w załączniku. Do załącznika (dawniej część II) dodano kilka roślin, które mogą mieć poważne negatywne skutki dla zdrowia (art. I część D punkt 4).</w:t>
      </w:r>
    </w:p>
    <w:p w:rsidR="00DD3086" w:rsidRDefault="00DD3086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7F2C23" w:rsidRDefault="00DD3086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W art. I część D punkt 5 do 9 decyzji skorzystano z okazji, aby skorygować niektóre nieścisłości poprzedniej części II załącznika. Po pierwsze skorygowano szereg błędów literowych. Po drugie podkreślono, że trujące ziele Bryonia alba nie ma nic wspólnego z Brassica nigra (gorczycą czarną). W załączniku zostały one omyłkowo wymienione obok siebie. Obecnie są umieszczone jedna pod drugą, aby było jasne, że chodzi o dwie różne rośliny.</w:t>
      </w:r>
    </w:p>
    <w:p w:rsidR="00E17C57" w:rsidRDefault="00E17C57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7F2C23" w:rsidRPr="00C93CDF" w:rsidRDefault="007F2C23" w:rsidP="00E17C57">
      <w:pPr>
        <w:keepNext/>
        <w:keepLines/>
        <w:tabs>
          <w:tab w:val="left" w:pos="2268"/>
        </w:tabs>
        <w:ind w:left="2268"/>
        <w:rPr>
          <w:rFonts w:ascii="Verdana" w:hAnsi="Verdana"/>
          <w:i/>
          <w:kern w:val="2"/>
          <w:sz w:val="18"/>
          <w:szCs w:val="18"/>
        </w:rPr>
      </w:pPr>
      <w:r>
        <w:rPr>
          <w:rFonts w:ascii="Verdana" w:hAnsi="Verdana"/>
          <w:i/>
          <w:kern w:val="2"/>
          <w:sz w:val="18"/>
        </w:rPr>
        <w:t>Artykuł II</w:t>
      </w:r>
    </w:p>
    <w:p w:rsidR="003143CD" w:rsidRPr="00C93CDF" w:rsidRDefault="00C93CDF" w:rsidP="00E17C57">
      <w:pPr>
        <w:ind w:left="226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Art. 4 ust. 5 decyzji do ustawy o towarach w sprawie produktów ziołowych dodaje się do załącznika do ustawy o towarach w sprawie grzywien administracyjnych, aby jego naruszenie można było ukarać grzywną administracyjną.</w:t>
      </w:r>
    </w:p>
    <w:p w:rsidR="007F2C23" w:rsidRDefault="007F2C23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Minister Zdrowia,</w:t>
      </w: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</w:p>
    <w:p w:rsidR="003143CD" w:rsidRPr="005B4FAB" w:rsidRDefault="003143CD" w:rsidP="00E17C57">
      <w:pPr>
        <w:tabs>
          <w:tab w:val="left" w:pos="2268"/>
        </w:tabs>
        <w:ind w:left="2268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</w:rPr>
        <w:t>B.J. Bruins</w:t>
      </w:r>
    </w:p>
    <w:sectPr w:rsidR="003143CD" w:rsidRPr="005B4FAB" w:rsidSect="00E17C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63" w:right="1826" w:bottom="1134" w:left="851" w:header="0" w:footer="4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C5" w:rsidRDefault="00D26AC5">
      <w:r>
        <w:separator/>
      </w:r>
    </w:p>
  </w:endnote>
  <w:endnote w:type="continuationSeparator" w:id="0">
    <w:p w:rsidR="00D26AC5" w:rsidRDefault="00D2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380"/>
      <w:docPartObj>
        <w:docPartGallery w:val="Page Numbers (Bottom of Page)"/>
        <w:docPartUnique/>
      </w:docPartObj>
    </w:sdtPr>
    <w:sdtEndPr/>
    <w:sdtContent>
      <w:p w:rsidR="002E5EAB" w:rsidRDefault="00567EE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7FA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663189"/>
      <w:docPartObj>
        <w:docPartGallery w:val="Page Numbers (Bottom of Page)"/>
        <w:docPartUnique/>
      </w:docPartObj>
    </w:sdtPr>
    <w:sdtEndPr/>
    <w:sdtContent>
      <w:p w:rsidR="002E5EAB" w:rsidRDefault="00567EE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6A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C5" w:rsidRDefault="00D26AC5">
      <w:r>
        <w:separator/>
      </w:r>
    </w:p>
  </w:footnote>
  <w:footnote w:type="continuationSeparator" w:id="0">
    <w:p w:rsidR="00D26AC5" w:rsidRDefault="00D26AC5">
      <w:r>
        <w:continuationSeparator/>
      </w:r>
    </w:p>
  </w:footnote>
  <w:footnote w:id="1">
    <w:p w:rsidR="002E5EAB" w:rsidRPr="004B6695" w:rsidRDefault="002E5EAB" w:rsidP="00B428D8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W konsultacjach ROW biorą udział przedstawiciele firm (przemysłowych i handlowych), konsumentów, ministerstw (w szczególności Ministerstwa Zdrowia, Opieki Społecznej i Sportu, a także Ministerstwa Rolnictwa, Środowiska i Jakości Żywności) oraz Niderlandzkiego Urzędu ds. Produktów Spożywczych i Bezpieczeństwa Produktów Konsumpcyjnych.</w:t>
      </w:r>
    </w:p>
  </w:footnote>
  <w:footnote w:id="2">
    <w:p w:rsidR="002E5EAB" w:rsidRPr="008150CB" w:rsidRDefault="002E5EAB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Risk assessment of synephrine, RIVM, 14 marca 2018, https://www.rivm.nl/Documenten_en_publicaties/Wetenschappelijk/Rapporten/2018/maart/Risk_assessment_of_synephrine.</w:t>
      </w:r>
    </w:p>
  </w:footnote>
  <w:footnote w:id="3">
    <w:p w:rsidR="002E5EAB" w:rsidRPr="004B6695" w:rsidRDefault="002E5EAB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Opinia BuRO dotycząca maksymalnego spożycia synefryny z preparatów ziołowych, 26 marca 2018 r.</w:t>
      </w:r>
    </w:p>
  </w:footnote>
  <w:footnote w:id="4">
    <w:p w:rsidR="002E5EAB" w:rsidRPr="004B6695" w:rsidRDefault="002E5EAB" w:rsidP="009345F8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Dyrektywa (UE) 2015/1535 Parlamentu Europejskiego i Rady z dnia 9 września 2015 r. ustanawiająca procedurę udzielania informacji w dziedzinie przepisów technicznych oraz zasad dotyczących usług społeczeństwa informacyjnego (ujednolicenie) (Dz.U. L 241 z 2015 r.).</w:t>
      </w:r>
    </w:p>
  </w:footnote>
  <w:footnote w:id="5">
    <w:p w:rsidR="00430B87" w:rsidRPr="004B6695" w:rsidRDefault="00430B87" w:rsidP="00430B87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Rozporządzenie Komisji (WE) nr 1881/2006 z dnia 19 grudnia 2006 r. ustalające najwyższe dopuszczalne poziomy niektórych zanieczyszczeń w środkach spożywczych (Dz.U. UE 2006, L 364).</w:t>
      </w:r>
    </w:p>
  </w:footnote>
  <w:footnote w:id="6">
    <w:p w:rsidR="002E5EAB" w:rsidRPr="004B6695" w:rsidRDefault="002E5EAB" w:rsidP="00FC0162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RIVM (2008); Ocena chińskich odmian tojadu. Niderlandzki Krajowy Instytut Zdrowia Publicznego i Środowiska, Centrum ds. Substancji i Zintegrowanej Oceny Ryzyka (SIR), Bilthoven, 5 grudnia 2008 r.</w:t>
      </w:r>
    </w:p>
    <w:p w:rsidR="002E5EAB" w:rsidRPr="004B6695" w:rsidRDefault="002E5EAB" w:rsidP="00FC0162">
      <w:pPr>
        <w:pStyle w:val="FootnoteTex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RIVM (2011); Ocena ryzyka zdrowotnego substancji występujących w preparatach ziołowych. Niderlandzki Krajowy Instytut Zdrowia Publicznego i Środowiska, Centrum ds. Substancji i Zintegrowanej Oceny Ryzyka (SIR), Bilthoven, 30 marca 2011 r.</w:t>
      </w:r>
    </w:p>
    <w:p w:rsidR="002E5EAB" w:rsidRPr="004B6695" w:rsidRDefault="002E5EAB" w:rsidP="00FC0162">
      <w:pPr>
        <w:pStyle w:val="FootnoteTex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 xml:space="preserve">RIVM (2009); Ocena ryzyka zdrowotnego zakazanych ziół; numer raportu 320011002. Niderlandzki Krajowy Instytut Zdrowia Publicznego i Środowiska, Centrum ds. Substancji i Zintegrowanej Oceny Ryzyka (SIR), Bilthoven, 15 czerwca 2009 r. </w:t>
      </w:r>
    </w:p>
    <w:p w:rsidR="002E5EAB" w:rsidRPr="004B6695" w:rsidRDefault="002E5EAB" w:rsidP="00FC0162">
      <w:pPr>
        <w:pStyle w:val="FootnoteTex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RIVM (2009); Ocena ryzyka Pilocarpus jaborandi. Niderlandzki Krajowy Instytut Zdrowia Publicznego i Środowiska, Centrum ds. Substancji i Zintegrowanej Oceny Ryzyka (SIR), Bilthoven, 14 grudnia 2009 r.</w:t>
      </w:r>
    </w:p>
    <w:p w:rsidR="002E5EAB" w:rsidRPr="004B6695" w:rsidRDefault="002E5EAB" w:rsidP="008E734A">
      <w:pPr>
        <w:pStyle w:val="FootnoteTex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RIVM (2010); Ocena wniosku o wyłączenie oleju rycynowego z decyzji do ustawy o towarach w sprawie produktów ziołowych. Niderlandzki Krajowy Instytut Zdrowia Publicznego i Środowiska, Centrum ds. Substancji i Zintegrowanej Oceny Ryzyka (SIR), Bilthoven, 20 grudnia 2010 r.</w:t>
      </w:r>
    </w:p>
  </w:footnote>
  <w:footnote w:id="7">
    <w:p w:rsidR="002E5EAB" w:rsidRPr="004B6695" w:rsidRDefault="002E5EAB" w:rsidP="008E734A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Rozporządzenie Parlamentu Europejskiego i Rady (WE) nr 1334/2008 z dnia 16 grudnia 2008 r. w sprawie środków aromatyzujących i niektórych składników żywności o właściwościach aromatyzujących do użycia w oraz na środkach spożywczych oraz zmieniające rozporządzenie Rady (EWG) nr 1601/91, rozporządzenia (WE) nr 2232/96 oraz (WE) nr 110/2008 oraz dyrektywę 2000/13/WE (Dz.U. UE 2008, L 354).</w:t>
      </w:r>
    </w:p>
  </w:footnote>
  <w:footnote w:id="8">
    <w:p w:rsidR="002E5EAB" w:rsidRPr="004B6695" w:rsidRDefault="002E5EAB" w:rsidP="008E734A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  <w:rFonts w:ascii="Verdana" w:hAnsi="Verdana"/>
          <w:sz w:val="16"/>
        </w:rPr>
        <w:footnoteRef/>
      </w:r>
      <w:r>
        <w:rPr>
          <w:rFonts w:ascii="Verdana" w:hAnsi="Verdana"/>
          <w:sz w:val="16"/>
        </w:rPr>
        <w:t xml:space="preserve"> RIVM (2010); Ocena wniosku o wyłączenie oleju rycynowego z decyzji do ustawy o towarach w sprawie produktów ziołowych. Niderlandzki Krajowy Instytut Zdrowia Publicznego i Środowiska, Centrum ds. Substancji i Zintegrowanej Oceny Ryzyka (SIR), Bilthoven, 20 grudnia 2010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AB" w:rsidRDefault="002E5EAB">
    <w:pPr>
      <w:pStyle w:val="Header"/>
      <w:spacing w:before="15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AB" w:rsidRDefault="002E5EAB">
    <w:pPr>
      <w:pStyle w:val="Header"/>
      <w:spacing w:before="1762" w:line="26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8B080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BC7D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92CD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2AF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4278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A25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56266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E243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30C6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03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64F44"/>
    <w:multiLevelType w:val="hybridMultilevel"/>
    <w:tmpl w:val="A8C2BD74"/>
    <w:lvl w:ilvl="0" w:tplc="C8FE2FB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621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09C574D1"/>
    <w:multiLevelType w:val="hybridMultilevel"/>
    <w:tmpl w:val="2F88DA6A"/>
    <w:lvl w:ilvl="0" w:tplc="C8FE2FB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1A1A0FCE"/>
    <w:multiLevelType w:val="hybridMultilevel"/>
    <w:tmpl w:val="4B487D2C"/>
    <w:lvl w:ilvl="0" w:tplc="0413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708" w:hanging="360"/>
      </w:pPr>
    </w:lvl>
    <w:lvl w:ilvl="2" w:tplc="0413001B" w:tentative="1">
      <w:start w:val="1"/>
      <w:numFmt w:val="lowerRoman"/>
      <w:lvlText w:val="%3."/>
      <w:lvlJc w:val="right"/>
      <w:pPr>
        <w:ind w:left="4428" w:hanging="180"/>
      </w:pPr>
    </w:lvl>
    <w:lvl w:ilvl="3" w:tplc="0413000F" w:tentative="1">
      <w:start w:val="1"/>
      <w:numFmt w:val="decimal"/>
      <w:lvlText w:val="%4."/>
      <w:lvlJc w:val="left"/>
      <w:pPr>
        <w:ind w:left="5148" w:hanging="360"/>
      </w:pPr>
    </w:lvl>
    <w:lvl w:ilvl="4" w:tplc="04130019" w:tentative="1">
      <w:start w:val="1"/>
      <w:numFmt w:val="lowerLetter"/>
      <w:lvlText w:val="%5."/>
      <w:lvlJc w:val="left"/>
      <w:pPr>
        <w:ind w:left="5868" w:hanging="360"/>
      </w:pPr>
    </w:lvl>
    <w:lvl w:ilvl="5" w:tplc="0413001B" w:tentative="1">
      <w:start w:val="1"/>
      <w:numFmt w:val="lowerRoman"/>
      <w:lvlText w:val="%6."/>
      <w:lvlJc w:val="right"/>
      <w:pPr>
        <w:ind w:left="6588" w:hanging="180"/>
      </w:pPr>
    </w:lvl>
    <w:lvl w:ilvl="6" w:tplc="0413000F" w:tentative="1">
      <w:start w:val="1"/>
      <w:numFmt w:val="decimal"/>
      <w:lvlText w:val="%7."/>
      <w:lvlJc w:val="left"/>
      <w:pPr>
        <w:ind w:left="7308" w:hanging="360"/>
      </w:pPr>
    </w:lvl>
    <w:lvl w:ilvl="7" w:tplc="04130019" w:tentative="1">
      <w:start w:val="1"/>
      <w:numFmt w:val="lowerLetter"/>
      <w:lvlText w:val="%8."/>
      <w:lvlJc w:val="left"/>
      <w:pPr>
        <w:ind w:left="8028" w:hanging="360"/>
      </w:pPr>
    </w:lvl>
    <w:lvl w:ilvl="8" w:tplc="0413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6AA06D4"/>
    <w:multiLevelType w:val="hybridMultilevel"/>
    <w:tmpl w:val="FF7CE7A2"/>
    <w:lvl w:ilvl="0" w:tplc="04130019">
      <w:start w:val="1"/>
      <w:numFmt w:val="decimal"/>
      <w:lvlText w:val="%1."/>
      <w:lvlJc w:val="left"/>
      <w:pPr>
        <w:ind w:left="2628" w:hanging="360"/>
      </w:p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3D5A72BB"/>
    <w:multiLevelType w:val="hybridMultilevel"/>
    <w:tmpl w:val="9BC67F08"/>
    <w:lvl w:ilvl="0" w:tplc="0413000F">
      <w:start w:val="1"/>
      <w:numFmt w:val="decimal"/>
      <w:lvlText w:val="%1."/>
      <w:lvlJc w:val="left"/>
      <w:pPr>
        <w:ind w:left="3556" w:hanging="360"/>
      </w:pPr>
    </w:lvl>
    <w:lvl w:ilvl="1" w:tplc="04130019" w:tentative="1">
      <w:start w:val="1"/>
      <w:numFmt w:val="lowerLetter"/>
      <w:lvlText w:val="%2."/>
      <w:lvlJc w:val="left"/>
      <w:pPr>
        <w:ind w:left="4276" w:hanging="360"/>
      </w:pPr>
    </w:lvl>
    <w:lvl w:ilvl="2" w:tplc="0413001B" w:tentative="1">
      <w:start w:val="1"/>
      <w:numFmt w:val="lowerRoman"/>
      <w:lvlText w:val="%3."/>
      <w:lvlJc w:val="right"/>
      <w:pPr>
        <w:ind w:left="4996" w:hanging="180"/>
      </w:pPr>
    </w:lvl>
    <w:lvl w:ilvl="3" w:tplc="0413000F" w:tentative="1">
      <w:start w:val="1"/>
      <w:numFmt w:val="decimal"/>
      <w:lvlText w:val="%4."/>
      <w:lvlJc w:val="left"/>
      <w:pPr>
        <w:ind w:left="5716" w:hanging="360"/>
      </w:pPr>
    </w:lvl>
    <w:lvl w:ilvl="4" w:tplc="04130019" w:tentative="1">
      <w:start w:val="1"/>
      <w:numFmt w:val="lowerLetter"/>
      <w:lvlText w:val="%5."/>
      <w:lvlJc w:val="left"/>
      <w:pPr>
        <w:ind w:left="6436" w:hanging="360"/>
      </w:pPr>
    </w:lvl>
    <w:lvl w:ilvl="5" w:tplc="0413001B" w:tentative="1">
      <w:start w:val="1"/>
      <w:numFmt w:val="lowerRoman"/>
      <w:lvlText w:val="%6."/>
      <w:lvlJc w:val="right"/>
      <w:pPr>
        <w:ind w:left="7156" w:hanging="180"/>
      </w:pPr>
    </w:lvl>
    <w:lvl w:ilvl="6" w:tplc="0413000F" w:tentative="1">
      <w:start w:val="1"/>
      <w:numFmt w:val="decimal"/>
      <w:lvlText w:val="%7."/>
      <w:lvlJc w:val="left"/>
      <w:pPr>
        <w:ind w:left="7876" w:hanging="360"/>
      </w:pPr>
    </w:lvl>
    <w:lvl w:ilvl="7" w:tplc="04130019" w:tentative="1">
      <w:start w:val="1"/>
      <w:numFmt w:val="lowerLetter"/>
      <w:lvlText w:val="%8."/>
      <w:lvlJc w:val="left"/>
      <w:pPr>
        <w:ind w:left="8596" w:hanging="360"/>
      </w:pPr>
    </w:lvl>
    <w:lvl w:ilvl="8" w:tplc="0413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5" w15:restartNumberingAfterBreak="0">
    <w:nsid w:val="46F72CB3"/>
    <w:multiLevelType w:val="hybridMultilevel"/>
    <w:tmpl w:val="26FCFD12"/>
    <w:lvl w:ilvl="0" w:tplc="2BEA3D76">
      <w:numFmt w:val="bullet"/>
      <w:lvlText w:val="-"/>
      <w:lvlJc w:val="left"/>
      <w:pPr>
        <w:ind w:left="262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4B0679D7"/>
    <w:multiLevelType w:val="hybridMultilevel"/>
    <w:tmpl w:val="147C4076"/>
    <w:lvl w:ilvl="0" w:tplc="C8FE2FB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C8852E2"/>
    <w:multiLevelType w:val="hybridMultilevel"/>
    <w:tmpl w:val="D4F8BAFA"/>
    <w:lvl w:ilvl="0" w:tplc="04130019">
      <w:start w:val="1"/>
      <w:numFmt w:val="decimal"/>
      <w:lvlText w:val="%1."/>
      <w:lvlJc w:val="left"/>
      <w:pPr>
        <w:ind w:left="3556" w:hanging="360"/>
      </w:pPr>
    </w:lvl>
    <w:lvl w:ilvl="1" w:tplc="04130019" w:tentative="1">
      <w:start w:val="1"/>
      <w:numFmt w:val="lowerLetter"/>
      <w:lvlText w:val="%2."/>
      <w:lvlJc w:val="left"/>
      <w:pPr>
        <w:ind w:left="4276" w:hanging="360"/>
      </w:pPr>
    </w:lvl>
    <w:lvl w:ilvl="2" w:tplc="0413001B" w:tentative="1">
      <w:start w:val="1"/>
      <w:numFmt w:val="lowerRoman"/>
      <w:lvlText w:val="%3."/>
      <w:lvlJc w:val="right"/>
      <w:pPr>
        <w:ind w:left="4996" w:hanging="180"/>
      </w:pPr>
    </w:lvl>
    <w:lvl w:ilvl="3" w:tplc="0413000F" w:tentative="1">
      <w:start w:val="1"/>
      <w:numFmt w:val="decimal"/>
      <w:lvlText w:val="%4."/>
      <w:lvlJc w:val="left"/>
      <w:pPr>
        <w:ind w:left="5716" w:hanging="360"/>
      </w:pPr>
    </w:lvl>
    <w:lvl w:ilvl="4" w:tplc="04130019" w:tentative="1">
      <w:start w:val="1"/>
      <w:numFmt w:val="lowerLetter"/>
      <w:lvlText w:val="%5."/>
      <w:lvlJc w:val="left"/>
      <w:pPr>
        <w:ind w:left="6436" w:hanging="360"/>
      </w:pPr>
    </w:lvl>
    <w:lvl w:ilvl="5" w:tplc="0413001B" w:tentative="1">
      <w:start w:val="1"/>
      <w:numFmt w:val="lowerRoman"/>
      <w:lvlText w:val="%6."/>
      <w:lvlJc w:val="right"/>
      <w:pPr>
        <w:ind w:left="7156" w:hanging="180"/>
      </w:pPr>
    </w:lvl>
    <w:lvl w:ilvl="6" w:tplc="0413000F" w:tentative="1">
      <w:start w:val="1"/>
      <w:numFmt w:val="decimal"/>
      <w:lvlText w:val="%7."/>
      <w:lvlJc w:val="left"/>
      <w:pPr>
        <w:ind w:left="7876" w:hanging="360"/>
      </w:pPr>
    </w:lvl>
    <w:lvl w:ilvl="7" w:tplc="04130019" w:tentative="1">
      <w:start w:val="1"/>
      <w:numFmt w:val="lowerLetter"/>
      <w:lvlText w:val="%8."/>
      <w:lvlJc w:val="left"/>
      <w:pPr>
        <w:ind w:left="8596" w:hanging="360"/>
      </w:pPr>
    </w:lvl>
    <w:lvl w:ilvl="8" w:tplc="0413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8" w15:restartNumberingAfterBreak="0">
    <w:nsid w:val="507B3795"/>
    <w:multiLevelType w:val="hybridMultilevel"/>
    <w:tmpl w:val="FF46A524"/>
    <w:lvl w:ilvl="0" w:tplc="A148D6C0">
      <w:start w:val="1"/>
      <w:numFmt w:val="decimal"/>
      <w:lvlText w:val="%1."/>
      <w:lvlJc w:val="left"/>
      <w:pPr>
        <w:ind w:left="2838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568E4EC0"/>
    <w:multiLevelType w:val="hybridMultilevel"/>
    <w:tmpl w:val="F878D528"/>
    <w:lvl w:ilvl="0" w:tplc="C02E45F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7DAE4CB9"/>
    <w:multiLevelType w:val="hybridMultilevel"/>
    <w:tmpl w:val="F85A4AF2"/>
    <w:lvl w:ilvl="0" w:tplc="E8C447CE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18" w:hanging="360"/>
      </w:pPr>
    </w:lvl>
    <w:lvl w:ilvl="2" w:tplc="0413001B" w:tentative="1">
      <w:start w:val="1"/>
      <w:numFmt w:val="lowerRoman"/>
      <w:lvlText w:val="%3."/>
      <w:lvlJc w:val="right"/>
      <w:pPr>
        <w:ind w:left="4638" w:hanging="180"/>
      </w:pPr>
    </w:lvl>
    <w:lvl w:ilvl="3" w:tplc="0413000F" w:tentative="1">
      <w:start w:val="1"/>
      <w:numFmt w:val="decimal"/>
      <w:lvlText w:val="%4."/>
      <w:lvlJc w:val="left"/>
      <w:pPr>
        <w:ind w:left="5358" w:hanging="360"/>
      </w:pPr>
    </w:lvl>
    <w:lvl w:ilvl="4" w:tplc="04130019" w:tentative="1">
      <w:start w:val="1"/>
      <w:numFmt w:val="lowerLetter"/>
      <w:lvlText w:val="%5."/>
      <w:lvlJc w:val="left"/>
      <w:pPr>
        <w:ind w:left="6078" w:hanging="360"/>
      </w:pPr>
    </w:lvl>
    <w:lvl w:ilvl="5" w:tplc="0413001B" w:tentative="1">
      <w:start w:val="1"/>
      <w:numFmt w:val="lowerRoman"/>
      <w:lvlText w:val="%6."/>
      <w:lvlJc w:val="right"/>
      <w:pPr>
        <w:ind w:left="6798" w:hanging="180"/>
      </w:pPr>
    </w:lvl>
    <w:lvl w:ilvl="6" w:tplc="0413000F" w:tentative="1">
      <w:start w:val="1"/>
      <w:numFmt w:val="decimal"/>
      <w:lvlText w:val="%7."/>
      <w:lvlJc w:val="left"/>
      <w:pPr>
        <w:ind w:left="7518" w:hanging="360"/>
      </w:pPr>
    </w:lvl>
    <w:lvl w:ilvl="7" w:tplc="04130019" w:tentative="1">
      <w:start w:val="1"/>
      <w:numFmt w:val="lowerLetter"/>
      <w:lvlText w:val="%8."/>
      <w:lvlJc w:val="left"/>
      <w:pPr>
        <w:ind w:left="8238" w:hanging="360"/>
      </w:pPr>
    </w:lvl>
    <w:lvl w:ilvl="8" w:tplc="0413001B" w:tentative="1">
      <w:start w:val="1"/>
      <w:numFmt w:val="lowerRoman"/>
      <w:lvlText w:val="%9."/>
      <w:lvlJc w:val="right"/>
      <w:pPr>
        <w:ind w:left="895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2"/>
  </w:num>
  <w:num w:numId="23">
    <w:abstractNumId w:val="10"/>
  </w:num>
  <w:num w:numId="24">
    <w:abstractNumId w:val="11"/>
  </w:num>
  <w:num w:numId="25">
    <w:abstractNumId w:val="15"/>
  </w:num>
  <w:num w:numId="26">
    <w:abstractNumId w:val="13"/>
  </w:num>
  <w:num w:numId="27">
    <w:abstractNumId w:val="14"/>
  </w:num>
  <w:num w:numId="28">
    <w:abstractNumId w:val="17"/>
  </w:num>
  <w:num w:numId="29">
    <w:abstractNumId w:val="18"/>
  </w:num>
  <w:num w:numId="30">
    <w:abstractNumId w:val="2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62"/>
    <w:rsid w:val="000306A1"/>
    <w:rsid w:val="000414C9"/>
    <w:rsid w:val="000446F2"/>
    <w:rsid w:val="0004538B"/>
    <w:rsid w:val="000478B3"/>
    <w:rsid w:val="000552D8"/>
    <w:rsid w:val="00060A6E"/>
    <w:rsid w:val="00060CB2"/>
    <w:rsid w:val="00063390"/>
    <w:rsid w:val="000634DB"/>
    <w:rsid w:val="00093369"/>
    <w:rsid w:val="000A1E70"/>
    <w:rsid w:val="000B2822"/>
    <w:rsid w:val="000C18E4"/>
    <w:rsid w:val="000C37A0"/>
    <w:rsid w:val="000E0515"/>
    <w:rsid w:val="000E23EB"/>
    <w:rsid w:val="000E2EAB"/>
    <w:rsid w:val="001037E8"/>
    <w:rsid w:val="00117420"/>
    <w:rsid w:val="001231D7"/>
    <w:rsid w:val="00145ED0"/>
    <w:rsid w:val="00176336"/>
    <w:rsid w:val="00183469"/>
    <w:rsid w:val="001960C4"/>
    <w:rsid w:val="00196262"/>
    <w:rsid w:val="00196781"/>
    <w:rsid w:val="001C0010"/>
    <w:rsid w:val="001C64DD"/>
    <w:rsid w:val="001E0693"/>
    <w:rsid w:val="001E1936"/>
    <w:rsid w:val="001E6005"/>
    <w:rsid w:val="00223B57"/>
    <w:rsid w:val="00225092"/>
    <w:rsid w:val="002308EC"/>
    <w:rsid w:val="0024053D"/>
    <w:rsid w:val="002476F5"/>
    <w:rsid w:val="00250BDB"/>
    <w:rsid w:val="00256C2B"/>
    <w:rsid w:val="0025703A"/>
    <w:rsid w:val="002708AB"/>
    <w:rsid w:val="002714CE"/>
    <w:rsid w:val="0029085E"/>
    <w:rsid w:val="00292028"/>
    <w:rsid w:val="002921B4"/>
    <w:rsid w:val="00294AEA"/>
    <w:rsid w:val="002A288B"/>
    <w:rsid w:val="002B54FD"/>
    <w:rsid w:val="002C2B74"/>
    <w:rsid w:val="002C445B"/>
    <w:rsid w:val="002D5C67"/>
    <w:rsid w:val="002D79B3"/>
    <w:rsid w:val="002E5EAB"/>
    <w:rsid w:val="002F64D5"/>
    <w:rsid w:val="002F7B3A"/>
    <w:rsid w:val="00305B8E"/>
    <w:rsid w:val="0031322B"/>
    <w:rsid w:val="003143CD"/>
    <w:rsid w:val="00317515"/>
    <w:rsid w:val="0032057A"/>
    <w:rsid w:val="003345ED"/>
    <w:rsid w:val="00345C53"/>
    <w:rsid w:val="003545C4"/>
    <w:rsid w:val="00355E9B"/>
    <w:rsid w:val="00370E07"/>
    <w:rsid w:val="003825F1"/>
    <w:rsid w:val="00392359"/>
    <w:rsid w:val="0039728D"/>
    <w:rsid w:val="003B442C"/>
    <w:rsid w:val="003B5162"/>
    <w:rsid w:val="003C006F"/>
    <w:rsid w:val="003C3169"/>
    <w:rsid w:val="003C7364"/>
    <w:rsid w:val="003D0C77"/>
    <w:rsid w:val="0040189C"/>
    <w:rsid w:val="00401912"/>
    <w:rsid w:val="004165B5"/>
    <w:rsid w:val="00420744"/>
    <w:rsid w:val="00421AAD"/>
    <w:rsid w:val="0042448A"/>
    <w:rsid w:val="0043098B"/>
    <w:rsid w:val="00430B87"/>
    <w:rsid w:val="0044067E"/>
    <w:rsid w:val="00443563"/>
    <w:rsid w:val="0045127A"/>
    <w:rsid w:val="00482F98"/>
    <w:rsid w:val="00485F0F"/>
    <w:rsid w:val="00497A92"/>
    <w:rsid w:val="004B6695"/>
    <w:rsid w:val="004C2327"/>
    <w:rsid w:val="004C3496"/>
    <w:rsid w:val="004E3FE4"/>
    <w:rsid w:val="004E4918"/>
    <w:rsid w:val="00500044"/>
    <w:rsid w:val="005016F0"/>
    <w:rsid w:val="005059AF"/>
    <w:rsid w:val="00510BBD"/>
    <w:rsid w:val="0051720D"/>
    <w:rsid w:val="005333BE"/>
    <w:rsid w:val="005441BF"/>
    <w:rsid w:val="00550AD8"/>
    <w:rsid w:val="00551657"/>
    <w:rsid w:val="00557876"/>
    <w:rsid w:val="0055791C"/>
    <w:rsid w:val="005600DD"/>
    <w:rsid w:val="005621C2"/>
    <w:rsid w:val="00567EE1"/>
    <w:rsid w:val="00583D07"/>
    <w:rsid w:val="00586978"/>
    <w:rsid w:val="00587945"/>
    <w:rsid w:val="00591598"/>
    <w:rsid w:val="00592E9C"/>
    <w:rsid w:val="005A1A2C"/>
    <w:rsid w:val="005A65F6"/>
    <w:rsid w:val="005A7F79"/>
    <w:rsid w:val="005B43ED"/>
    <w:rsid w:val="005B4FAB"/>
    <w:rsid w:val="005C6A30"/>
    <w:rsid w:val="005C714F"/>
    <w:rsid w:val="005D7072"/>
    <w:rsid w:val="005E47AF"/>
    <w:rsid w:val="005E4D39"/>
    <w:rsid w:val="005E52AB"/>
    <w:rsid w:val="005E7B28"/>
    <w:rsid w:val="005F32CF"/>
    <w:rsid w:val="005F794F"/>
    <w:rsid w:val="0060213F"/>
    <w:rsid w:val="00610A2C"/>
    <w:rsid w:val="00615E9D"/>
    <w:rsid w:val="00624543"/>
    <w:rsid w:val="00643157"/>
    <w:rsid w:val="0064439B"/>
    <w:rsid w:val="00646A87"/>
    <w:rsid w:val="00652AEA"/>
    <w:rsid w:val="006636BC"/>
    <w:rsid w:val="00670294"/>
    <w:rsid w:val="0067749E"/>
    <w:rsid w:val="006A4A7D"/>
    <w:rsid w:val="006B479D"/>
    <w:rsid w:val="006E531C"/>
    <w:rsid w:val="006F5217"/>
    <w:rsid w:val="00712DF2"/>
    <w:rsid w:val="00715CA8"/>
    <w:rsid w:val="00727080"/>
    <w:rsid w:val="00730004"/>
    <w:rsid w:val="00731C2B"/>
    <w:rsid w:val="00732703"/>
    <w:rsid w:val="00732DEB"/>
    <w:rsid w:val="00735C87"/>
    <w:rsid w:val="00737E1C"/>
    <w:rsid w:val="00740EC3"/>
    <w:rsid w:val="00757FD1"/>
    <w:rsid w:val="00761835"/>
    <w:rsid w:val="007640A4"/>
    <w:rsid w:val="00773541"/>
    <w:rsid w:val="007747CE"/>
    <w:rsid w:val="00775921"/>
    <w:rsid w:val="00787FE4"/>
    <w:rsid w:val="007A400F"/>
    <w:rsid w:val="007A7A68"/>
    <w:rsid w:val="007C1DC6"/>
    <w:rsid w:val="007C6E9D"/>
    <w:rsid w:val="007C792C"/>
    <w:rsid w:val="007D0DFA"/>
    <w:rsid w:val="007D3727"/>
    <w:rsid w:val="007E2295"/>
    <w:rsid w:val="007E7D62"/>
    <w:rsid w:val="007F08F8"/>
    <w:rsid w:val="007F2C23"/>
    <w:rsid w:val="00811562"/>
    <w:rsid w:val="008150CB"/>
    <w:rsid w:val="00816861"/>
    <w:rsid w:val="00817257"/>
    <w:rsid w:val="008179B7"/>
    <w:rsid w:val="008250DF"/>
    <w:rsid w:val="00835F89"/>
    <w:rsid w:val="00837AE7"/>
    <w:rsid w:val="00843D1D"/>
    <w:rsid w:val="008534C5"/>
    <w:rsid w:val="00861CD2"/>
    <w:rsid w:val="008952DA"/>
    <w:rsid w:val="008A041C"/>
    <w:rsid w:val="008A18AA"/>
    <w:rsid w:val="008B033B"/>
    <w:rsid w:val="008B2C8B"/>
    <w:rsid w:val="008C22D4"/>
    <w:rsid w:val="008D0CAF"/>
    <w:rsid w:val="008D38B6"/>
    <w:rsid w:val="008D69EA"/>
    <w:rsid w:val="008E734A"/>
    <w:rsid w:val="008F0589"/>
    <w:rsid w:val="009016D1"/>
    <w:rsid w:val="00932A51"/>
    <w:rsid w:val="009345F8"/>
    <w:rsid w:val="0093487E"/>
    <w:rsid w:val="0095665C"/>
    <w:rsid w:val="00967BB6"/>
    <w:rsid w:val="00967D68"/>
    <w:rsid w:val="009737E5"/>
    <w:rsid w:val="00973FE4"/>
    <w:rsid w:val="009806E1"/>
    <w:rsid w:val="0098275F"/>
    <w:rsid w:val="0098725C"/>
    <w:rsid w:val="009E455E"/>
    <w:rsid w:val="009F3CE5"/>
    <w:rsid w:val="00A04453"/>
    <w:rsid w:val="00A27E62"/>
    <w:rsid w:val="00A31DC6"/>
    <w:rsid w:val="00A33B8D"/>
    <w:rsid w:val="00A351C9"/>
    <w:rsid w:val="00A46CDA"/>
    <w:rsid w:val="00A47007"/>
    <w:rsid w:val="00A5016D"/>
    <w:rsid w:val="00A53898"/>
    <w:rsid w:val="00A67444"/>
    <w:rsid w:val="00A74EF0"/>
    <w:rsid w:val="00A76E98"/>
    <w:rsid w:val="00A82C01"/>
    <w:rsid w:val="00A82D46"/>
    <w:rsid w:val="00A82F87"/>
    <w:rsid w:val="00A97A54"/>
    <w:rsid w:val="00AA7461"/>
    <w:rsid w:val="00AB3B66"/>
    <w:rsid w:val="00AB4972"/>
    <w:rsid w:val="00AB497F"/>
    <w:rsid w:val="00AD2912"/>
    <w:rsid w:val="00AD2E4A"/>
    <w:rsid w:val="00AE02B0"/>
    <w:rsid w:val="00AF5E53"/>
    <w:rsid w:val="00B01382"/>
    <w:rsid w:val="00B01BA3"/>
    <w:rsid w:val="00B02BEE"/>
    <w:rsid w:val="00B207F7"/>
    <w:rsid w:val="00B24606"/>
    <w:rsid w:val="00B32311"/>
    <w:rsid w:val="00B34ABB"/>
    <w:rsid w:val="00B41683"/>
    <w:rsid w:val="00B41BE2"/>
    <w:rsid w:val="00B428D8"/>
    <w:rsid w:val="00B44ECE"/>
    <w:rsid w:val="00B46E21"/>
    <w:rsid w:val="00B5019B"/>
    <w:rsid w:val="00B556CF"/>
    <w:rsid w:val="00B56093"/>
    <w:rsid w:val="00B561EB"/>
    <w:rsid w:val="00B64698"/>
    <w:rsid w:val="00B67E83"/>
    <w:rsid w:val="00B71129"/>
    <w:rsid w:val="00B72FAF"/>
    <w:rsid w:val="00B80666"/>
    <w:rsid w:val="00B874E0"/>
    <w:rsid w:val="00BB02A9"/>
    <w:rsid w:val="00BB07D4"/>
    <w:rsid w:val="00BB11AA"/>
    <w:rsid w:val="00BB551C"/>
    <w:rsid w:val="00BB70CC"/>
    <w:rsid w:val="00BB7CCF"/>
    <w:rsid w:val="00BC6861"/>
    <w:rsid w:val="00BD2594"/>
    <w:rsid w:val="00BF3143"/>
    <w:rsid w:val="00BF3F64"/>
    <w:rsid w:val="00C4141A"/>
    <w:rsid w:val="00C4350A"/>
    <w:rsid w:val="00C50FE3"/>
    <w:rsid w:val="00C53758"/>
    <w:rsid w:val="00C5642F"/>
    <w:rsid w:val="00C61D5C"/>
    <w:rsid w:val="00C778A3"/>
    <w:rsid w:val="00C82775"/>
    <w:rsid w:val="00C93CDF"/>
    <w:rsid w:val="00CA2E3C"/>
    <w:rsid w:val="00CB5A04"/>
    <w:rsid w:val="00CC5BEA"/>
    <w:rsid w:val="00CD5C43"/>
    <w:rsid w:val="00CE5084"/>
    <w:rsid w:val="00CE52C4"/>
    <w:rsid w:val="00D107D4"/>
    <w:rsid w:val="00D26AC5"/>
    <w:rsid w:val="00D4549F"/>
    <w:rsid w:val="00D50F33"/>
    <w:rsid w:val="00D62430"/>
    <w:rsid w:val="00D65AD6"/>
    <w:rsid w:val="00D8580E"/>
    <w:rsid w:val="00D91AE4"/>
    <w:rsid w:val="00D9610F"/>
    <w:rsid w:val="00DA0E75"/>
    <w:rsid w:val="00DA4178"/>
    <w:rsid w:val="00DB2C45"/>
    <w:rsid w:val="00DC2C4E"/>
    <w:rsid w:val="00DD3086"/>
    <w:rsid w:val="00DE3374"/>
    <w:rsid w:val="00DE4D7B"/>
    <w:rsid w:val="00E14DAF"/>
    <w:rsid w:val="00E17C57"/>
    <w:rsid w:val="00E22A5E"/>
    <w:rsid w:val="00E24A62"/>
    <w:rsid w:val="00E26DBD"/>
    <w:rsid w:val="00E27C82"/>
    <w:rsid w:val="00E33217"/>
    <w:rsid w:val="00E35889"/>
    <w:rsid w:val="00E42020"/>
    <w:rsid w:val="00E44D04"/>
    <w:rsid w:val="00E8182F"/>
    <w:rsid w:val="00E836EA"/>
    <w:rsid w:val="00EA51D7"/>
    <w:rsid w:val="00EA722D"/>
    <w:rsid w:val="00EC553A"/>
    <w:rsid w:val="00ED086C"/>
    <w:rsid w:val="00ED310D"/>
    <w:rsid w:val="00EE2253"/>
    <w:rsid w:val="00EE6914"/>
    <w:rsid w:val="00F01BC0"/>
    <w:rsid w:val="00F07731"/>
    <w:rsid w:val="00F120A1"/>
    <w:rsid w:val="00F276AE"/>
    <w:rsid w:val="00F30DC4"/>
    <w:rsid w:val="00F332A7"/>
    <w:rsid w:val="00F517C1"/>
    <w:rsid w:val="00F51F89"/>
    <w:rsid w:val="00F6533C"/>
    <w:rsid w:val="00F804F7"/>
    <w:rsid w:val="00F80EF2"/>
    <w:rsid w:val="00F82ADF"/>
    <w:rsid w:val="00F9308D"/>
    <w:rsid w:val="00F9721E"/>
    <w:rsid w:val="00FA1BC4"/>
    <w:rsid w:val="00FA61EF"/>
    <w:rsid w:val="00FA7FAA"/>
    <w:rsid w:val="00FC0162"/>
    <w:rsid w:val="00FC20CC"/>
    <w:rsid w:val="00FC5154"/>
    <w:rsid w:val="00FC6EAD"/>
    <w:rsid w:val="00FE3678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5A0891-2A34-4C83-A61F-B6BDE4A5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3D"/>
    <w:pPr>
      <w:spacing w:line="260" w:lineRule="exact"/>
    </w:pPr>
    <w:rPr>
      <w:rFonts w:ascii="Univers" w:hAnsi="Univers"/>
    </w:rPr>
  </w:style>
  <w:style w:type="paragraph" w:styleId="Heading1">
    <w:name w:val="heading 1"/>
    <w:basedOn w:val="Normal"/>
    <w:next w:val="Normal"/>
    <w:qFormat/>
    <w:rsid w:val="0024053D"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4053D"/>
    <w:pPr>
      <w:keepNext/>
      <w:spacing w:before="240" w:after="60" w:line="240" w:lineRule="auto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24053D"/>
    <w:pPr>
      <w:keepNext/>
      <w:spacing w:before="240" w:after="60" w:line="24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24053D"/>
    <w:pPr>
      <w:keepNext/>
      <w:spacing w:before="240" w:after="60" w:line="240" w:lineRule="auto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24053D"/>
    <w:p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4053D"/>
    <w:pPr>
      <w:spacing w:before="240" w:after="60" w:line="240" w:lineRule="auto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24053D"/>
    <w:pPr>
      <w:spacing w:before="240" w:after="60" w:line="240" w:lineRule="auto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4053D"/>
    <w:pPr>
      <w:spacing w:before="240" w:after="60" w:line="240" w:lineRule="auto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4053D"/>
    <w:p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53D"/>
    <w:pPr>
      <w:tabs>
        <w:tab w:val="center" w:pos="4536"/>
        <w:tab w:val="right" w:pos="9072"/>
      </w:tabs>
      <w:spacing w:line="240" w:lineRule="auto"/>
    </w:pPr>
    <w:rPr>
      <w:spacing w:val="6"/>
      <w:sz w:val="16"/>
    </w:rPr>
  </w:style>
  <w:style w:type="paragraph" w:customStyle="1" w:styleId="Ondertekening">
    <w:name w:val="Ondertekening"/>
    <w:basedOn w:val="Normal"/>
    <w:next w:val="Normal"/>
    <w:rsid w:val="0024053D"/>
    <w:pPr>
      <w:spacing w:before="810" w:line="240" w:lineRule="auto"/>
    </w:pPr>
  </w:style>
  <w:style w:type="paragraph" w:styleId="Footer">
    <w:name w:val="footer"/>
    <w:basedOn w:val="Normal"/>
    <w:link w:val="FooterChar"/>
    <w:uiPriority w:val="99"/>
    <w:rsid w:val="0024053D"/>
    <w:pPr>
      <w:tabs>
        <w:tab w:val="center" w:pos="4536"/>
        <w:tab w:val="right" w:pos="9072"/>
      </w:tabs>
      <w:spacing w:line="240" w:lineRule="auto"/>
    </w:pPr>
  </w:style>
  <w:style w:type="character" w:styleId="PageNumber">
    <w:name w:val="page number"/>
    <w:basedOn w:val="DefaultParagraphFont"/>
    <w:rsid w:val="0024053D"/>
  </w:style>
  <w:style w:type="paragraph" w:styleId="Salutation">
    <w:name w:val="Salutation"/>
    <w:basedOn w:val="Normal"/>
    <w:next w:val="Normal"/>
    <w:rsid w:val="0024053D"/>
    <w:pPr>
      <w:spacing w:line="240" w:lineRule="auto"/>
    </w:pPr>
  </w:style>
  <w:style w:type="paragraph" w:styleId="EnvelopeAddress">
    <w:name w:val="envelope address"/>
    <w:basedOn w:val="Normal"/>
    <w:rsid w:val="0024053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hAnsi="Arial"/>
      <w:sz w:val="24"/>
    </w:rPr>
  </w:style>
  <w:style w:type="paragraph" w:styleId="Closing">
    <w:name w:val="Closing"/>
    <w:basedOn w:val="Normal"/>
    <w:rsid w:val="0024053D"/>
    <w:pPr>
      <w:spacing w:line="240" w:lineRule="auto"/>
      <w:ind w:left="4252"/>
    </w:pPr>
  </w:style>
  <w:style w:type="paragraph" w:styleId="EnvelopeReturn">
    <w:name w:val="envelope return"/>
    <w:basedOn w:val="Normal"/>
    <w:rsid w:val="0024053D"/>
    <w:pPr>
      <w:spacing w:line="240" w:lineRule="auto"/>
    </w:pPr>
    <w:rPr>
      <w:rFonts w:ascii="Arial" w:hAnsi="Arial"/>
    </w:rPr>
  </w:style>
  <w:style w:type="paragraph" w:styleId="MessageHeader">
    <w:name w:val="Message Header"/>
    <w:basedOn w:val="Normal"/>
    <w:rsid w:val="00240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24053D"/>
    <w:pPr>
      <w:spacing w:before="120" w:after="120" w:line="240" w:lineRule="auto"/>
    </w:pPr>
    <w:rPr>
      <w:b/>
    </w:rPr>
  </w:style>
  <w:style w:type="paragraph" w:styleId="BlockText">
    <w:name w:val="Block Text"/>
    <w:basedOn w:val="Normal"/>
    <w:rsid w:val="0024053D"/>
    <w:pPr>
      <w:spacing w:after="120" w:line="240" w:lineRule="auto"/>
      <w:ind w:left="1440" w:right="1440"/>
    </w:pPr>
  </w:style>
  <w:style w:type="paragraph" w:styleId="TableofAuthorities">
    <w:name w:val="table of authorities"/>
    <w:basedOn w:val="Normal"/>
    <w:next w:val="Normal"/>
    <w:semiHidden/>
    <w:rsid w:val="0024053D"/>
    <w:pPr>
      <w:spacing w:line="240" w:lineRule="auto"/>
      <w:ind w:left="200" w:hanging="200"/>
    </w:pPr>
  </w:style>
  <w:style w:type="paragraph" w:styleId="Date">
    <w:name w:val="Date"/>
    <w:basedOn w:val="Normal"/>
    <w:next w:val="Normal"/>
    <w:rsid w:val="0024053D"/>
    <w:pPr>
      <w:spacing w:line="240" w:lineRule="auto"/>
    </w:pPr>
  </w:style>
  <w:style w:type="paragraph" w:styleId="DocumentMap">
    <w:name w:val="Document Map"/>
    <w:basedOn w:val="Normal"/>
    <w:semiHidden/>
    <w:rsid w:val="0024053D"/>
    <w:pPr>
      <w:shd w:val="clear" w:color="auto" w:fill="000080"/>
      <w:spacing w:line="240" w:lineRule="auto"/>
    </w:pPr>
    <w:rPr>
      <w:rFonts w:ascii="Tahoma" w:hAnsi="Tahoma"/>
    </w:rPr>
  </w:style>
  <w:style w:type="paragraph" w:styleId="EndnoteText">
    <w:name w:val="endnote text"/>
    <w:basedOn w:val="Normal"/>
    <w:semiHidden/>
    <w:rsid w:val="0024053D"/>
    <w:pPr>
      <w:spacing w:line="240" w:lineRule="auto"/>
    </w:pPr>
  </w:style>
  <w:style w:type="paragraph" w:styleId="Signature">
    <w:name w:val="Signature"/>
    <w:basedOn w:val="Normal"/>
    <w:rsid w:val="0024053D"/>
    <w:pPr>
      <w:spacing w:line="240" w:lineRule="auto"/>
      <w:ind w:left="4252"/>
    </w:pPr>
  </w:style>
  <w:style w:type="paragraph" w:styleId="Index1">
    <w:name w:val="index 1"/>
    <w:basedOn w:val="Normal"/>
    <w:next w:val="Normal"/>
    <w:semiHidden/>
    <w:rsid w:val="0024053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semiHidden/>
    <w:rsid w:val="0024053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semiHidden/>
    <w:rsid w:val="0024053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semiHidden/>
    <w:rsid w:val="0024053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semiHidden/>
    <w:rsid w:val="0024053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semiHidden/>
    <w:rsid w:val="0024053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semiHidden/>
    <w:rsid w:val="0024053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semiHidden/>
    <w:rsid w:val="0024053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semiHidden/>
    <w:rsid w:val="0024053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24053D"/>
    <w:pPr>
      <w:spacing w:line="240" w:lineRule="auto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24053D"/>
    <w:pPr>
      <w:spacing w:line="240" w:lineRule="auto"/>
    </w:pPr>
  </w:style>
  <w:style w:type="paragraph" w:styleId="TOC2">
    <w:name w:val="toc 2"/>
    <w:basedOn w:val="Normal"/>
    <w:next w:val="Normal"/>
    <w:semiHidden/>
    <w:rsid w:val="0024053D"/>
    <w:pPr>
      <w:spacing w:line="240" w:lineRule="auto"/>
      <w:ind w:left="200"/>
    </w:pPr>
  </w:style>
  <w:style w:type="paragraph" w:styleId="TOC3">
    <w:name w:val="toc 3"/>
    <w:basedOn w:val="Normal"/>
    <w:next w:val="Normal"/>
    <w:semiHidden/>
    <w:rsid w:val="0024053D"/>
    <w:pPr>
      <w:spacing w:line="240" w:lineRule="auto"/>
      <w:ind w:left="400"/>
    </w:pPr>
  </w:style>
  <w:style w:type="paragraph" w:styleId="TOC4">
    <w:name w:val="toc 4"/>
    <w:basedOn w:val="Normal"/>
    <w:next w:val="Normal"/>
    <w:semiHidden/>
    <w:rsid w:val="0024053D"/>
    <w:pPr>
      <w:spacing w:line="240" w:lineRule="auto"/>
      <w:ind w:left="600"/>
    </w:pPr>
  </w:style>
  <w:style w:type="paragraph" w:styleId="TOC5">
    <w:name w:val="toc 5"/>
    <w:basedOn w:val="Normal"/>
    <w:next w:val="Normal"/>
    <w:semiHidden/>
    <w:rsid w:val="0024053D"/>
    <w:pPr>
      <w:spacing w:line="240" w:lineRule="auto"/>
      <w:ind w:left="800"/>
    </w:pPr>
  </w:style>
  <w:style w:type="paragraph" w:styleId="TOC6">
    <w:name w:val="toc 6"/>
    <w:basedOn w:val="Normal"/>
    <w:next w:val="Normal"/>
    <w:semiHidden/>
    <w:rsid w:val="0024053D"/>
    <w:pPr>
      <w:spacing w:line="240" w:lineRule="auto"/>
      <w:ind w:left="1000"/>
    </w:pPr>
  </w:style>
  <w:style w:type="paragraph" w:styleId="TOC7">
    <w:name w:val="toc 7"/>
    <w:basedOn w:val="Normal"/>
    <w:next w:val="Normal"/>
    <w:semiHidden/>
    <w:rsid w:val="0024053D"/>
    <w:pPr>
      <w:spacing w:line="240" w:lineRule="auto"/>
      <w:ind w:left="1200"/>
    </w:pPr>
  </w:style>
  <w:style w:type="paragraph" w:styleId="TOC8">
    <w:name w:val="toc 8"/>
    <w:basedOn w:val="Normal"/>
    <w:next w:val="Normal"/>
    <w:semiHidden/>
    <w:rsid w:val="0024053D"/>
    <w:pPr>
      <w:spacing w:line="240" w:lineRule="auto"/>
      <w:ind w:left="1400"/>
    </w:pPr>
  </w:style>
  <w:style w:type="paragraph" w:styleId="TOC9">
    <w:name w:val="toc 9"/>
    <w:basedOn w:val="Normal"/>
    <w:next w:val="Normal"/>
    <w:semiHidden/>
    <w:rsid w:val="0024053D"/>
    <w:pPr>
      <w:spacing w:line="240" w:lineRule="auto"/>
      <w:ind w:left="1600"/>
    </w:pPr>
  </w:style>
  <w:style w:type="paragraph" w:styleId="TOAHeading">
    <w:name w:val="toa heading"/>
    <w:basedOn w:val="Normal"/>
    <w:next w:val="Normal"/>
    <w:semiHidden/>
    <w:rsid w:val="0024053D"/>
    <w:pPr>
      <w:spacing w:before="120" w:line="240" w:lineRule="auto"/>
    </w:pPr>
    <w:rPr>
      <w:rFonts w:ascii="Arial" w:hAnsi="Arial"/>
      <w:b/>
      <w:sz w:val="24"/>
    </w:rPr>
  </w:style>
  <w:style w:type="paragraph" w:styleId="List">
    <w:name w:val="List"/>
    <w:basedOn w:val="Normal"/>
    <w:rsid w:val="0024053D"/>
    <w:pPr>
      <w:spacing w:line="240" w:lineRule="auto"/>
      <w:ind w:left="283" w:hanging="283"/>
    </w:pPr>
  </w:style>
  <w:style w:type="paragraph" w:styleId="List2">
    <w:name w:val="List 2"/>
    <w:basedOn w:val="Normal"/>
    <w:rsid w:val="0024053D"/>
    <w:pPr>
      <w:spacing w:line="240" w:lineRule="auto"/>
      <w:ind w:left="566" w:hanging="283"/>
    </w:pPr>
  </w:style>
  <w:style w:type="paragraph" w:styleId="List3">
    <w:name w:val="List 3"/>
    <w:basedOn w:val="Normal"/>
    <w:rsid w:val="0024053D"/>
    <w:pPr>
      <w:spacing w:line="240" w:lineRule="auto"/>
      <w:ind w:left="849" w:hanging="283"/>
    </w:pPr>
  </w:style>
  <w:style w:type="paragraph" w:styleId="List4">
    <w:name w:val="List 4"/>
    <w:basedOn w:val="Normal"/>
    <w:rsid w:val="0024053D"/>
    <w:pPr>
      <w:spacing w:line="240" w:lineRule="auto"/>
      <w:ind w:left="1132" w:hanging="283"/>
    </w:pPr>
  </w:style>
  <w:style w:type="paragraph" w:styleId="List5">
    <w:name w:val="List 5"/>
    <w:basedOn w:val="Normal"/>
    <w:rsid w:val="0024053D"/>
    <w:pPr>
      <w:spacing w:line="240" w:lineRule="auto"/>
      <w:ind w:left="1415" w:hanging="283"/>
    </w:pPr>
  </w:style>
  <w:style w:type="paragraph" w:styleId="TableofFigures">
    <w:name w:val="table of figures"/>
    <w:basedOn w:val="Normal"/>
    <w:next w:val="Normal"/>
    <w:semiHidden/>
    <w:rsid w:val="0024053D"/>
    <w:pPr>
      <w:spacing w:line="240" w:lineRule="auto"/>
      <w:ind w:left="400" w:hanging="400"/>
    </w:pPr>
  </w:style>
  <w:style w:type="paragraph" w:styleId="ListBullet">
    <w:name w:val="List Bullet"/>
    <w:basedOn w:val="Normal"/>
    <w:rsid w:val="0024053D"/>
    <w:pPr>
      <w:numPr>
        <w:numId w:val="11"/>
      </w:numPr>
      <w:spacing w:line="240" w:lineRule="auto"/>
    </w:pPr>
  </w:style>
  <w:style w:type="paragraph" w:styleId="ListBullet2">
    <w:name w:val="List Bullet 2"/>
    <w:basedOn w:val="Normal"/>
    <w:rsid w:val="0024053D"/>
    <w:pPr>
      <w:numPr>
        <w:numId w:val="12"/>
      </w:numPr>
      <w:spacing w:line="240" w:lineRule="auto"/>
    </w:pPr>
  </w:style>
  <w:style w:type="paragraph" w:styleId="ListBullet3">
    <w:name w:val="List Bullet 3"/>
    <w:basedOn w:val="Normal"/>
    <w:rsid w:val="0024053D"/>
    <w:pPr>
      <w:numPr>
        <w:numId w:val="13"/>
      </w:numPr>
      <w:spacing w:line="240" w:lineRule="auto"/>
    </w:pPr>
  </w:style>
  <w:style w:type="paragraph" w:styleId="ListBullet4">
    <w:name w:val="List Bullet 4"/>
    <w:basedOn w:val="Normal"/>
    <w:rsid w:val="0024053D"/>
    <w:pPr>
      <w:numPr>
        <w:numId w:val="14"/>
      </w:numPr>
      <w:spacing w:line="240" w:lineRule="auto"/>
    </w:pPr>
  </w:style>
  <w:style w:type="paragraph" w:styleId="ListBullet5">
    <w:name w:val="List Bullet 5"/>
    <w:basedOn w:val="Normal"/>
    <w:rsid w:val="0024053D"/>
    <w:pPr>
      <w:numPr>
        <w:numId w:val="15"/>
      </w:numPr>
      <w:spacing w:line="240" w:lineRule="auto"/>
    </w:pPr>
  </w:style>
  <w:style w:type="paragraph" w:styleId="ListNumber">
    <w:name w:val="List Number"/>
    <w:basedOn w:val="Normal"/>
    <w:rsid w:val="0024053D"/>
    <w:pPr>
      <w:numPr>
        <w:numId w:val="16"/>
      </w:numPr>
      <w:spacing w:line="240" w:lineRule="auto"/>
    </w:pPr>
  </w:style>
  <w:style w:type="paragraph" w:styleId="ListNumber2">
    <w:name w:val="List Number 2"/>
    <w:basedOn w:val="Normal"/>
    <w:rsid w:val="0024053D"/>
    <w:pPr>
      <w:numPr>
        <w:numId w:val="17"/>
      </w:numPr>
      <w:spacing w:line="240" w:lineRule="auto"/>
    </w:pPr>
  </w:style>
  <w:style w:type="paragraph" w:styleId="ListNumber3">
    <w:name w:val="List Number 3"/>
    <w:basedOn w:val="Normal"/>
    <w:rsid w:val="0024053D"/>
    <w:pPr>
      <w:numPr>
        <w:numId w:val="18"/>
      </w:numPr>
      <w:spacing w:line="240" w:lineRule="auto"/>
    </w:pPr>
  </w:style>
  <w:style w:type="paragraph" w:styleId="ListNumber4">
    <w:name w:val="List Number 4"/>
    <w:basedOn w:val="Normal"/>
    <w:rsid w:val="0024053D"/>
    <w:pPr>
      <w:numPr>
        <w:numId w:val="19"/>
      </w:numPr>
      <w:spacing w:line="240" w:lineRule="auto"/>
    </w:pPr>
  </w:style>
  <w:style w:type="paragraph" w:styleId="ListNumber5">
    <w:name w:val="List Number 5"/>
    <w:basedOn w:val="Normal"/>
    <w:rsid w:val="0024053D"/>
    <w:pPr>
      <w:numPr>
        <w:numId w:val="20"/>
      </w:numPr>
      <w:spacing w:line="240" w:lineRule="auto"/>
    </w:pPr>
  </w:style>
  <w:style w:type="paragraph" w:styleId="ListContinue">
    <w:name w:val="List Continue"/>
    <w:basedOn w:val="Normal"/>
    <w:rsid w:val="0024053D"/>
    <w:pPr>
      <w:spacing w:after="120" w:line="240" w:lineRule="auto"/>
      <w:ind w:left="283"/>
    </w:pPr>
  </w:style>
  <w:style w:type="paragraph" w:styleId="ListContinue2">
    <w:name w:val="List Continue 2"/>
    <w:basedOn w:val="Normal"/>
    <w:rsid w:val="0024053D"/>
    <w:pPr>
      <w:spacing w:after="120" w:line="240" w:lineRule="auto"/>
      <w:ind w:left="566"/>
    </w:pPr>
  </w:style>
  <w:style w:type="paragraph" w:styleId="ListContinue3">
    <w:name w:val="List Continue 3"/>
    <w:basedOn w:val="Normal"/>
    <w:rsid w:val="0024053D"/>
    <w:pPr>
      <w:spacing w:after="120" w:line="240" w:lineRule="auto"/>
      <w:ind w:left="849"/>
    </w:pPr>
  </w:style>
  <w:style w:type="paragraph" w:styleId="ListContinue4">
    <w:name w:val="List Continue 4"/>
    <w:basedOn w:val="Normal"/>
    <w:rsid w:val="0024053D"/>
    <w:pPr>
      <w:spacing w:after="120" w:line="240" w:lineRule="auto"/>
      <w:ind w:left="1132"/>
    </w:pPr>
  </w:style>
  <w:style w:type="paragraph" w:styleId="ListContinue5">
    <w:name w:val="List Continue 5"/>
    <w:basedOn w:val="Normal"/>
    <w:rsid w:val="0024053D"/>
    <w:pPr>
      <w:spacing w:after="120" w:line="240" w:lineRule="auto"/>
      <w:ind w:left="1415"/>
    </w:pPr>
  </w:style>
  <w:style w:type="paragraph" w:styleId="MacroText">
    <w:name w:val="macro"/>
    <w:semiHidden/>
    <w:rsid w:val="00240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eHeading">
    <w:name w:val="Note Heading"/>
    <w:basedOn w:val="Normal"/>
    <w:next w:val="Normal"/>
    <w:rsid w:val="0024053D"/>
    <w:pPr>
      <w:spacing w:line="240" w:lineRule="auto"/>
    </w:pPr>
  </w:style>
  <w:style w:type="paragraph" w:styleId="PlainText">
    <w:name w:val="Plain Text"/>
    <w:basedOn w:val="Normal"/>
    <w:rsid w:val="0024053D"/>
    <w:pPr>
      <w:spacing w:line="240" w:lineRule="auto"/>
    </w:pPr>
    <w:rPr>
      <w:rFonts w:ascii="Courier New" w:hAnsi="Courier New"/>
    </w:rPr>
  </w:style>
  <w:style w:type="paragraph" w:styleId="BodyText">
    <w:name w:val="Body Text"/>
    <w:basedOn w:val="Normal"/>
    <w:rsid w:val="0024053D"/>
    <w:pPr>
      <w:spacing w:after="120" w:line="240" w:lineRule="auto"/>
    </w:pPr>
  </w:style>
  <w:style w:type="paragraph" w:styleId="BodyText2">
    <w:name w:val="Body Text 2"/>
    <w:basedOn w:val="Normal"/>
    <w:rsid w:val="0024053D"/>
    <w:pPr>
      <w:spacing w:after="120" w:line="480" w:lineRule="auto"/>
    </w:pPr>
  </w:style>
  <w:style w:type="paragraph" w:styleId="BodyText3">
    <w:name w:val="Body Text 3"/>
    <w:basedOn w:val="Normal"/>
    <w:rsid w:val="0024053D"/>
    <w:pPr>
      <w:spacing w:after="120" w:line="240" w:lineRule="auto"/>
    </w:pPr>
    <w:rPr>
      <w:sz w:val="16"/>
    </w:rPr>
  </w:style>
  <w:style w:type="paragraph" w:styleId="BodyTextFirstIndent">
    <w:name w:val="Body Text First Indent"/>
    <w:basedOn w:val="BodyText"/>
    <w:rsid w:val="0024053D"/>
    <w:pPr>
      <w:ind w:firstLine="210"/>
    </w:pPr>
  </w:style>
  <w:style w:type="paragraph" w:styleId="BodyTextIndent">
    <w:name w:val="Body Text Indent"/>
    <w:basedOn w:val="Normal"/>
    <w:rsid w:val="0024053D"/>
    <w:pPr>
      <w:spacing w:after="120" w:line="240" w:lineRule="auto"/>
      <w:ind w:left="283"/>
    </w:pPr>
  </w:style>
  <w:style w:type="paragraph" w:styleId="BodyTextFirstIndent2">
    <w:name w:val="Body Text First Indent 2"/>
    <w:basedOn w:val="BodyTextIndent"/>
    <w:rsid w:val="0024053D"/>
    <w:pPr>
      <w:ind w:firstLine="210"/>
    </w:pPr>
  </w:style>
  <w:style w:type="paragraph" w:styleId="BodyTextIndent2">
    <w:name w:val="Body Text Indent 2"/>
    <w:basedOn w:val="Normal"/>
    <w:rsid w:val="0024053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4053D"/>
    <w:pPr>
      <w:spacing w:after="120" w:line="240" w:lineRule="auto"/>
      <w:ind w:left="283"/>
    </w:pPr>
    <w:rPr>
      <w:sz w:val="16"/>
    </w:rPr>
  </w:style>
  <w:style w:type="paragraph" w:styleId="NormalIndent">
    <w:name w:val="Normal Indent"/>
    <w:basedOn w:val="Normal"/>
    <w:rsid w:val="0024053D"/>
    <w:pPr>
      <w:spacing w:line="240" w:lineRule="auto"/>
      <w:ind w:left="709"/>
    </w:pPr>
  </w:style>
  <w:style w:type="paragraph" w:styleId="Subtitle">
    <w:name w:val="Subtitle"/>
    <w:basedOn w:val="Normal"/>
    <w:qFormat/>
    <w:rsid w:val="0024053D"/>
    <w:pPr>
      <w:spacing w:after="60" w:line="240" w:lineRule="auto"/>
      <w:jc w:val="center"/>
      <w:outlineLvl w:val="1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4053D"/>
    <w:pPr>
      <w:spacing w:line="240" w:lineRule="auto"/>
    </w:pPr>
  </w:style>
  <w:style w:type="paragraph" w:styleId="Title">
    <w:name w:val="Title"/>
    <w:basedOn w:val="Normal"/>
    <w:qFormat/>
    <w:rsid w:val="0024053D"/>
    <w:pPr>
      <w:spacing w:line="240" w:lineRule="auto"/>
    </w:pPr>
    <w:rPr>
      <w:b/>
      <w:sz w:val="36"/>
    </w:rPr>
  </w:style>
  <w:style w:type="paragraph" w:styleId="FootnoteText">
    <w:name w:val="footnote text"/>
    <w:basedOn w:val="Normal"/>
    <w:link w:val="FootnoteTextChar"/>
    <w:uiPriority w:val="99"/>
    <w:semiHidden/>
    <w:rsid w:val="0024053D"/>
    <w:pPr>
      <w:spacing w:line="240" w:lineRule="auto"/>
    </w:pPr>
  </w:style>
  <w:style w:type="paragraph" w:customStyle="1" w:styleId="Hoofdjes">
    <w:name w:val="Hoofdjes"/>
    <w:basedOn w:val="Normal"/>
    <w:rsid w:val="0024053D"/>
    <w:pPr>
      <w:spacing w:line="190" w:lineRule="exact"/>
    </w:pPr>
    <w:rPr>
      <w:spacing w:val="6"/>
      <w:sz w:val="14"/>
    </w:rPr>
  </w:style>
  <w:style w:type="paragraph" w:customStyle="1" w:styleId="Hoofdjesregel13pt">
    <w:name w:val="Hoofdjes regel 13 pt"/>
    <w:basedOn w:val="Hoofdjes"/>
    <w:rsid w:val="0024053D"/>
    <w:pPr>
      <w:spacing w:line="260" w:lineRule="exact"/>
    </w:pPr>
  </w:style>
  <w:style w:type="paragraph" w:customStyle="1" w:styleId="HoofdjesZwart">
    <w:name w:val="HoofdjesZwart"/>
    <w:basedOn w:val="Normal"/>
    <w:rsid w:val="0024053D"/>
    <w:pPr>
      <w:spacing w:line="240" w:lineRule="auto"/>
    </w:pPr>
    <w:rPr>
      <w:spacing w:val="6"/>
      <w:sz w:val="14"/>
    </w:rPr>
  </w:style>
  <w:style w:type="paragraph" w:customStyle="1" w:styleId="Kleinetekst">
    <w:name w:val="Kleine tekst"/>
    <w:basedOn w:val="Normal"/>
    <w:rsid w:val="0024053D"/>
    <w:pPr>
      <w:spacing w:before="57" w:after="57" w:line="240" w:lineRule="auto"/>
    </w:pPr>
    <w:rPr>
      <w:spacing w:val="10"/>
      <w:sz w:val="14"/>
    </w:rPr>
  </w:style>
  <w:style w:type="paragraph" w:customStyle="1" w:styleId="Memohoofd">
    <w:name w:val="Memohoofd"/>
    <w:basedOn w:val="Normal"/>
    <w:rsid w:val="0024053D"/>
    <w:pPr>
      <w:spacing w:line="240" w:lineRule="exact"/>
    </w:pPr>
  </w:style>
  <w:style w:type="paragraph" w:customStyle="1" w:styleId="GroteLetters">
    <w:name w:val="Grote Letters"/>
    <w:basedOn w:val="Normal"/>
    <w:rsid w:val="0024053D"/>
    <w:pPr>
      <w:spacing w:line="364" w:lineRule="exact"/>
    </w:pPr>
    <w:rPr>
      <w:sz w:val="28"/>
    </w:rPr>
  </w:style>
  <w:style w:type="character" w:styleId="FootnoteReference">
    <w:name w:val="footnote reference"/>
    <w:basedOn w:val="DefaultParagraphFont"/>
    <w:uiPriority w:val="99"/>
    <w:semiHidden/>
    <w:rsid w:val="00BB7CC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F3F64"/>
    <w:rPr>
      <w:rFonts w:ascii="Univers" w:hAnsi="Univers"/>
    </w:rPr>
  </w:style>
  <w:style w:type="paragraph" w:styleId="ListParagraph">
    <w:name w:val="List Paragraph"/>
    <w:basedOn w:val="Normal"/>
    <w:uiPriority w:val="34"/>
    <w:qFormat/>
    <w:rsid w:val="00225092"/>
    <w:pPr>
      <w:ind w:left="720"/>
      <w:contextualSpacing/>
    </w:pPr>
  </w:style>
  <w:style w:type="character" w:styleId="Hyperlink">
    <w:name w:val="Hyperlink"/>
    <w:basedOn w:val="DefaultParagraphFont"/>
    <w:rsid w:val="00DD30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FA1B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A1BC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BC4"/>
    <w:rPr>
      <w:rFonts w:ascii="Univers" w:hAnsi="Univers"/>
    </w:rPr>
  </w:style>
  <w:style w:type="character" w:customStyle="1" w:styleId="CommentSubjectChar">
    <w:name w:val="Comment Subject Char"/>
    <w:basedOn w:val="CommentTextChar"/>
    <w:link w:val="CommentSubject"/>
    <w:rsid w:val="00FA1BC4"/>
    <w:rPr>
      <w:rFonts w:ascii="Univers" w:hAnsi="Univers"/>
    </w:rPr>
  </w:style>
  <w:style w:type="paragraph" w:styleId="BalloonText">
    <w:name w:val="Balloon Text"/>
    <w:basedOn w:val="Normal"/>
    <w:link w:val="BalloonTextChar"/>
    <w:rsid w:val="00FA1B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1B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80EF2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5F8"/>
    <w:rPr>
      <w:rFonts w:ascii="Univers" w:hAnsi="Univers"/>
    </w:rPr>
  </w:style>
  <w:style w:type="paragraph" w:customStyle="1" w:styleId="Huisstijl-Aanhef">
    <w:name w:val="Huisstijl - Aanhef"/>
    <w:basedOn w:val="Normal"/>
    <w:rsid w:val="00B56093"/>
    <w:pPr>
      <w:widowControl w:val="0"/>
      <w:suppressAutoHyphens/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</w:rPr>
  </w:style>
  <w:style w:type="table" w:styleId="TableGrid">
    <w:name w:val="Table Grid"/>
    <w:basedOn w:val="TableNormal"/>
    <w:uiPriority w:val="59"/>
    <w:rsid w:val="00B67E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JABLONENSETS\SJABLONEN\VWS\VOORDRACHT%20TBV%20RAAD%20VAN%20STATE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A0D7-BB0A-427F-805E-8F754BAF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VOORDRACHT TBV RAAD VAN STATE.DOT</Template>
  <TotalTime>10</TotalTime>
  <Pages>8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Centric Training - (020) 523 04 00</Company>
  <LinksUpToDate>false</LinksUpToDate>
  <CharactersWithSpaces>15080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Beheerder</dc:creator>
  <cp:lastModifiedBy>Liu, Lei</cp:lastModifiedBy>
  <cp:revision>4</cp:revision>
  <cp:lastPrinted>2019-05-29T13:48:00Z</cp:lastPrinted>
  <dcterms:created xsi:type="dcterms:W3CDTF">2019-07-08T12:56:00Z</dcterms:created>
  <dcterms:modified xsi:type="dcterms:W3CDTF">2019-07-23T06:06:00Z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Minuut">
    <vt:lpwstr>Origineel</vt:lpwstr>
  </property>
</Properties>
</file>