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C57" w:rsidRPr="00814C17" w:rsidRDefault="00E17C57" w:rsidP="00E17C57">
      <w:pPr>
        <w:spacing w:after="120"/>
        <w:jc w:val="center"/>
        <w:rPr>
          <w:rFonts w:ascii="Courier New" w:hAnsi="Courier New"/>
        </w:rPr>
      </w:pPr>
      <w:r>
        <w:rPr>
          <w:rFonts w:ascii="Courier New" w:hAnsi="Courier New"/>
        </w:rPr>
        <w:t xml:space="preserve">1.</w:t>
      </w:r>
      <w:r>
        <w:rPr>
          <w:rFonts w:ascii="Courier New" w:hAnsi="Courier New"/>
        </w:rPr>
        <w:t xml:space="preserve"> </w:t>
      </w:r>
      <w:r>
        <w:rPr>
          <w:rFonts w:ascii="Courier New" w:hAnsi="Courier New"/>
        </w:rPr>
        <w:t xml:space="preserve">------IND- 2019 0331 NL- SL- ------ 20190722 --- --- PROJET</w:t>
      </w:r>
    </w:p>
    <w:p w:rsidR="00E27C82" w:rsidRDefault="00E27C82" w:rsidP="00E17C57"/>
    <w:p w:rsidR="00E27C82" w:rsidRPr="00E27C82" w:rsidRDefault="00E27C82" w:rsidP="00E17C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tblGrid>
      <w:tr w:rsidR="007E7D62" w:rsidTr="00E17C57">
        <w:trPr>
          <w:cantSplit/>
        </w:trPr>
        <w:tc>
          <w:tcPr>
            <w:tcW w:w="3189" w:type="dxa"/>
            <w:tcBorders>
              <w:top w:val="nil"/>
              <w:left w:val="nil"/>
              <w:bottom w:val="nil"/>
              <w:right w:val="nil"/>
            </w:tcBorders>
          </w:tcPr>
          <w:p w:rsidR="007E7D62" w:rsidRDefault="007E7D62" w:rsidP="003D0C77">
            <w:pPr>
              <w:ind w:left="567"/>
            </w:pPr>
            <w:r>
              <w:br w:type="page"/>
            </w:r>
            <w:r>
              <w:rPr>
                <w:sz w:val="18"/>
                <w:rFonts w:ascii="Verdana" w:hAnsi="Verdana"/>
              </w:rPr>
              <w:t xml:space="preserve">Uredba</w:t>
            </w:r>
            <w:r>
              <w:rPr>
                <w:sz w:val="18"/>
                <w:szCs w:val="18"/>
                <w:rFonts w:ascii="Verdana" w:hAnsi="Verdana"/>
              </w:rPr>
              <w:br/>
              <w:br/>
              <w:br/>
              <w:br/>
            </w:r>
            <w:r>
              <w:rPr>
                <w:sz w:val="18"/>
                <w:rFonts w:ascii="Verdana" w:hAnsi="Verdana"/>
              </w:rPr>
              <w:t xml:space="preserve">o spremembi Uredbe o Zakonu o kakovosti blaga v zvezi z zeliščnimi pripravki in Uredbe o Zakonu o kakovosti blaga v zvezi z upravnimi kaznimi za dodajanje nekaterih škodljivih zeliščnih pripravkov ter o nekaterih tehničnih prilagoditvah</w:t>
            </w:r>
          </w:p>
        </w:tc>
      </w:tr>
      <w:tr w:rsidR="00732703" w:rsidTr="00E17C57">
        <w:trPr>
          <w:cantSplit/>
        </w:trPr>
        <w:tc>
          <w:tcPr>
            <w:tcW w:w="3189" w:type="dxa"/>
            <w:tcBorders>
              <w:top w:val="nil"/>
              <w:left w:val="nil"/>
              <w:bottom w:val="nil"/>
              <w:right w:val="nil"/>
            </w:tcBorders>
          </w:tcPr>
          <w:p w:rsidR="00732703" w:rsidRDefault="00732703" w:rsidP="00E17C57"/>
        </w:tc>
      </w:tr>
    </w:tbl>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pStyle w:val="Ondertekening"/>
        <w:spacing w:before="0"/>
        <w:ind w:left="567"/>
      </w:pPr>
    </w:p>
    <w:p w:rsidR="007E7D62" w:rsidRPr="008E734A" w:rsidRDefault="007E7D62" w:rsidP="00E17C57">
      <w:pPr>
        <w:ind w:left="2268"/>
        <w:rPr>
          <w:sz w:val="18"/>
          <w:szCs w:val="18"/>
          <w:rFonts w:ascii="Verdana" w:hAnsi="Verdana"/>
        </w:rPr>
      </w:pPr>
      <w:r>
        <w:rPr>
          <w:sz w:val="18"/>
          <w:rFonts w:ascii="Verdana" w:hAnsi="Verdana"/>
        </w:rPr>
        <w:t xml:space="preserve">Na predlog ministra za zdravstveno oskrbo iz leta 2019 [...]-VGP;</w:t>
      </w:r>
    </w:p>
    <w:p w:rsidR="007E7D62" w:rsidRPr="008E734A" w:rsidRDefault="007E7D62" w:rsidP="00E17C57">
      <w:pPr>
        <w:ind w:left="2268"/>
        <w:rPr>
          <w:rFonts w:ascii="Verdana" w:hAnsi="Verdana"/>
          <w:sz w:val="18"/>
          <w:szCs w:val="18"/>
        </w:rPr>
      </w:pPr>
    </w:p>
    <w:p w:rsidR="007E7D62" w:rsidRPr="008E734A" w:rsidRDefault="007E7D62" w:rsidP="00E17C57">
      <w:pPr>
        <w:ind w:left="2268"/>
        <w:rPr>
          <w:sz w:val="18"/>
          <w:szCs w:val="18"/>
          <w:rFonts w:ascii="Verdana" w:hAnsi="Verdana"/>
        </w:rPr>
      </w:pPr>
      <w:r>
        <w:rPr>
          <w:sz w:val="18"/>
          <w:rFonts w:ascii="Verdana" w:hAnsi="Verdana"/>
        </w:rPr>
        <w:t xml:space="preserve">ob upoštevanju člena 4(1), člena 8(1)(c) in člena 14 Zakona o kakovosti blaga;</w:t>
      </w:r>
    </w:p>
    <w:p w:rsidR="007E7D62" w:rsidRPr="008E734A" w:rsidRDefault="007E7D62" w:rsidP="00E17C57">
      <w:pPr>
        <w:ind w:left="2268"/>
        <w:rPr>
          <w:rFonts w:ascii="Verdana" w:hAnsi="Verdana"/>
          <w:sz w:val="18"/>
          <w:szCs w:val="18"/>
        </w:rPr>
      </w:pPr>
    </w:p>
    <w:p w:rsidR="007E7D62" w:rsidRPr="008E734A" w:rsidRDefault="007E7D62" w:rsidP="00E17C57">
      <w:pPr>
        <w:ind w:left="2268"/>
        <w:rPr>
          <w:sz w:val="18"/>
          <w:szCs w:val="18"/>
          <w:rFonts w:ascii="Verdana" w:hAnsi="Verdana"/>
        </w:rPr>
      </w:pPr>
      <w:r>
        <w:rPr>
          <w:sz w:val="18"/>
          <w:rFonts w:ascii="Verdana" w:hAnsi="Verdana"/>
        </w:rPr>
        <w:t xml:space="preserve">ob upoštevanju mnenja Svetovalnega oddelka Državnega sveta (mnenje št. [...] z dne [...]);</w:t>
      </w:r>
    </w:p>
    <w:p w:rsidR="007E7D62" w:rsidRPr="008F0589" w:rsidRDefault="007E7D62" w:rsidP="00E17C57">
      <w:pPr>
        <w:ind w:left="2268"/>
        <w:rPr>
          <w:rFonts w:ascii="Verdana" w:hAnsi="Verdana"/>
          <w:sz w:val="18"/>
          <w:szCs w:val="18"/>
        </w:rPr>
      </w:pPr>
    </w:p>
    <w:p w:rsidR="007E7D62" w:rsidRPr="008F0589" w:rsidRDefault="007E7D62" w:rsidP="00E17C57">
      <w:pPr>
        <w:ind w:left="2268"/>
        <w:rPr>
          <w:sz w:val="18"/>
          <w:szCs w:val="18"/>
          <w:rFonts w:ascii="Verdana" w:hAnsi="Verdana"/>
        </w:rPr>
      </w:pPr>
      <w:r>
        <w:rPr>
          <w:sz w:val="18"/>
          <w:rFonts w:ascii="Verdana" w:hAnsi="Verdana"/>
        </w:rPr>
        <w:t xml:space="preserve">ob upoštevanju nadaljnjega poročila ministra za zdravstveno oskrbo iz leta 2019 [...]-VGP;</w:t>
      </w:r>
    </w:p>
    <w:p w:rsidR="007E7D62" w:rsidRPr="008F0589" w:rsidRDefault="007E7D62" w:rsidP="00E17C57">
      <w:pPr>
        <w:ind w:left="2268"/>
        <w:rPr>
          <w:rFonts w:ascii="Verdana" w:hAnsi="Verdana"/>
          <w:sz w:val="18"/>
          <w:szCs w:val="18"/>
        </w:rPr>
      </w:pPr>
    </w:p>
    <w:p w:rsidR="007E7D62" w:rsidRPr="008F0589" w:rsidRDefault="007E7D62" w:rsidP="00E17C57">
      <w:pPr>
        <w:ind w:left="2268"/>
        <w:rPr>
          <w:sz w:val="18"/>
          <w:szCs w:val="18"/>
          <w:rFonts w:ascii="Verdana" w:hAnsi="Verdana"/>
        </w:rPr>
      </w:pPr>
      <w:r>
        <w:rPr>
          <w:sz w:val="18"/>
          <w:rFonts w:ascii="Verdana" w:hAnsi="Verdana"/>
        </w:rPr>
        <w:t xml:space="preserve">se odreja naslednje:</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p>
    <w:p w:rsidR="007E7D62" w:rsidRPr="008F0589" w:rsidRDefault="007E7D62" w:rsidP="00E17C57">
      <w:pPr>
        <w:keepNext/>
        <w:keepLines/>
        <w:ind w:left="2268"/>
        <w:rPr>
          <w:b/>
          <w:sz w:val="18"/>
          <w:szCs w:val="18"/>
          <w:rFonts w:ascii="Verdana" w:hAnsi="Verdana"/>
        </w:rPr>
      </w:pPr>
      <w:r>
        <w:rPr>
          <w:b/>
          <w:sz w:val="18"/>
          <w:rFonts w:ascii="Verdana" w:hAnsi="Verdana"/>
        </w:rPr>
        <w:t xml:space="preserve">Člen I</w:t>
      </w:r>
    </w:p>
    <w:p w:rsidR="007E7D62" w:rsidRPr="008F0589" w:rsidRDefault="007E7D62" w:rsidP="00E17C57">
      <w:pPr>
        <w:keepNext/>
        <w:keepLines/>
        <w:ind w:left="2268"/>
        <w:rPr>
          <w:rFonts w:ascii="Verdana" w:hAnsi="Verdana"/>
          <w:sz w:val="18"/>
          <w:szCs w:val="18"/>
        </w:rPr>
      </w:pPr>
    </w:p>
    <w:p w:rsidR="007E7D62" w:rsidRDefault="007E7D62" w:rsidP="00E17C57">
      <w:pPr>
        <w:ind w:left="2268"/>
        <w:rPr>
          <w:sz w:val="18"/>
          <w:szCs w:val="18"/>
          <w:rFonts w:ascii="Verdana" w:hAnsi="Verdana"/>
        </w:rPr>
      </w:pPr>
      <w:r>
        <w:rPr>
          <w:sz w:val="18"/>
          <w:rFonts w:ascii="Verdana" w:hAnsi="Verdana"/>
        </w:rPr>
        <w:t xml:space="preserve">Uredba o Zakonu o kakovosti blaga v zvezi z zeliščnimi pripravki [Warenwetbesluit Kruidenpreparaten] se spremeni, kot je navedeno v nadaljevanju.</w:t>
      </w:r>
    </w:p>
    <w:p w:rsidR="00060A6E" w:rsidRDefault="00060A6E" w:rsidP="00E17C57">
      <w:pPr>
        <w:ind w:left="2268"/>
        <w:rPr>
          <w:rFonts w:ascii="Verdana" w:hAnsi="Verdana"/>
          <w:sz w:val="18"/>
          <w:szCs w:val="18"/>
        </w:rPr>
      </w:pPr>
    </w:p>
    <w:p w:rsidR="00060A6E" w:rsidRDefault="00060A6E" w:rsidP="00E17C57">
      <w:pPr>
        <w:keepNext/>
        <w:keepLines/>
        <w:ind w:left="2268"/>
        <w:rPr>
          <w:sz w:val="18"/>
          <w:szCs w:val="18"/>
          <w:rFonts w:ascii="Verdana" w:hAnsi="Verdana"/>
        </w:rPr>
      </w:pPr>
      <w:r>
        <w:rPr>
          <w:sz w:val="18"/>
          <w:rFonts w:ascii="Verdana" w:hAnsi="Verdana"/>
        </w:rPr>
        <w:t xml:space="preserve">A</w:t>
      </w:r>
    </w:p>
    <w:p w:rsidR="00093369" w:rsidRDefault="00093369" w:rsidP="00E17C57">
      <w:pPr>
        <w:keepNext/>
        <w:keepLines/>
        <w:ind w:left="2268"/>
        <w:rPr>
          <w:rFonts w:ascii="Verdana" w:hAnsi="Verdana"/>
          <w:sz w:val="18"/>
          <w:szCs w:val="18"/>
        </w:rPr>
      </w:pPr>
    </w:p>
    <w:p w:rsidR="000C18E4" w:rsidRDefault="00732703" w:rsidP="00E17C57">
      <w:pPr>
        <w:keepNext/>
        <w:keepLines/>
        <w:ind w:left="2268"/>
        <w:rPr>
          <w:sz w:val="18"/>
          <w:szCs w:val="18"/>
          <w:rFonts w:ascii="Verdana" w:hAnsi="Verdana"/>
        </w:rPr>
      </w:pPr>
      <w:r>
        <w:rPr>
          <w:sz w:val="18"/>
          <w:rFonts w:ascii="Verdana" w:hAnsi="Verdana"/>
        </w:rPr>
        <w:t xml:space="preserve">Člen 4 se spremeni:</w:t>
      </w:r>
    </w:p>
    <w:p w:rsidR="00443563" w:rsidRPr="00443563" w:rsidRDefault="00443563" w:rsidP="00E17C57">
      <w:pPr>
        <w:pStyle w:val="ListParagraph"/>
        <w:keepNext/>
        <w:keepLines/>
        <w:numPr>
          <w:ilvl w:val="0"/>
          <w:numId w:val="29"/>
        </w:numPr>
        <w:rPr>
          <w:sz w:val="18"/>
          <w:szCs w:val="18"/>
          <w:rFonts w:ascii="Verdana" w:hAnsi="Verdana"/>
        </w:rPr>
      </w:pPr>
      <w:r>
        <w:rPr>
          <w:sz w:val="18"/>
          <w:rFonts w:ascii="Verdana" w:hAnsi="Verdana"/>
        </w:rPr>
        <w:t xml:space="preserve">odstavek 1 se glasi:</w:t>
      </w:r>
    </w:p>
    <w:p w:rsidR="000C18E4" w:rsidRPr="00443563" w:rsidRDefault="0043098B" w:rsidP="00E17C57">
      <w:pPr>
        <w:pStyle w:val="ListParagraph"/>
        <w:numPr>
          <w:ilvl w:val="0"/>
          <w:numId w:val="30"/>
        </w:numPr>
        <w:rPr>
          <w:sz w:val="18"/>
          <w:szCs w:val="18"/>
          <w:rFonts w:ascii="Verdana" w:hAnsi="Verdana"/>
        </w:rPr>
      </w:pPr>
      <w:r>
        <w:rPr>
          <w:sz w:val="18"/>
          <w:rFonts w:ascii="Verdana" w:hAnsi="Verdana"/>
        </w:rPr>
        <w:t xml:space="preserve">Količina strupenih pirolizidnih alkaloidov v zeliščnih pripravkih ne presega 1 µg na kilogram oziroma liter.</w:t>
      </w:r>
    </w:p>
    <w:p w:rsidR="000C18E4" w:rsidRPr="0043098B" w:rsidRDefault="0043098B" w:rsidP="00E17C57">
      <w:pPr>
        <w:keepNext/>
        <w:keepLines/>
        <w:tabs>
          <w:tab w:val="left" w:pos="2835"/>
        </w:tabs>
        <w:ind w:left="2268"/>
        <w:rPr>
          <w:sz w:val="18"/>
          <w:szCs w:val="18"/>
          <w:rFonts w:ascii="Verdana" w:hAnsi="Verdana"/>
        </w:rPr>
      </w:pPr>
      <w:r>
        <w:rPr>
          <w:sz w:val="18"/>
          <w:rFonts w:ascii="Verdana" w:hAnsi="Verdana"/>
        </w:rPr>
        <w:t xml:space="preserve">2.</w:t>
      </w:r>
      <w:r>
        <w:tab/>
      </w:r>
      <w:r>
        <w:rPr>
          <w:sz w:val="18"/>
          <w:rFonts w:ascii="Verdana" w:hAnsi="Verdana"/>
        </w:rPr>
        <w:t xml:space="preserve">Odstavek 2 se glasi:</w:t>
      </w:r>
    </w:p>
    <w:p w:rsidR="00732703" w:rsidRPr="000C18E4" w:rsidRDefault="000C18E4" w:rsidP="00E17C57">
      <w:pPr>
        <w:keepNext/>
        <w:keepLines/>
        <w:ind w:left="2780" w:firstLine="56"/>
        <w:rPr>
          <w:sz w:val="18"/>
          <w:szCs w:val="18"/>
          <w:rFonts w:ascii="Verdana" w:hAnsi="Verdana"/>
        </w:rPr>
      </w:pPr>
      <w:r>
        <w:rPr>
          <w:sz w:val="18"/>
          <w:rFonts w:ascii="Verdana" w:hAnsi="Verdana"/>
        </w:rPr>
        <w:t xml:space="preserve">2.</w:t>
      </w:r>
      <w:r>
        <w:tab/>
      </w:r>
      <w:r>
        <w:rPr>
          <w:sz w:val="18"/>
          <w:rFonts w:ascii="Verdana" w:hAnsi="Verdana"/>
        </w:rPr>
        <w:t xml:space="preserve">Zeliščni pripravki ne vsebujejo:</w:t>
      </w:r>
    </w:p>
    <w:p w:rsidR="00060A6E" w:rsidRPr="005016F0" w:rsidRDefault="00BF3143" w:rsidP="00E17C57">
      <w:pPr>
        <w:pStyle w:val="ListParagraph"/>
        <w:numPr>
          <w:ilvl w:val="1"/>
          <w:numId w:val="22"/>
        </w:numPr>
        <w:rPr>
          <w:sz w:val="18"/>
          <w:szCs w:val="18"/>
          <w:rFonts w:ascii="Verdana" w:hAnsi="Verdana"/>
        </w:rPr>
      </w:pPr>
      <w:r>
        <w:rPr>
          <w:sz w:val="18"/>
          <w:rFonts w:ascii="Verdana" w:hAnsi="Verdana"/>
        </w:rPr>
        <w:t xml:space="preserve">akonitina in njegovih derivatov;</w:t>
      </w:r>
    </w:p>
    <w:p w:rsidR="005016F0" w:rsidRDefault="00BF3143" w:rsidP="00E17C57">
      <w:pPr>
        <w:pStyle w:val="ListParagraph"/>
        <w:numPr>
          <w:ilvl w:val="1"/>
          <w:numId w:val="22"/>
        </w:numPr>
        <w:rPr>
          <w:sz w:val="18"/>
          <w:szCs w:val="18"/>
          <w:rFonts w:ascii="Verdana" w:hAnsi="Verdana"/>
        </w:rPr>
      </w:pPr>
      <w:r>
        <w:rPr>
          <w:sz w:val="18"/>
          <w:rFonts w:ascii="Verdana" w:hAnsi="Verdana"/>
        </w:rPr>
        <w:t xml:space="preserve">aristoloknih kislin in njihovih derivatov;</w:t>
      </w:r>
    </w:p>
    <w:p w:rsidR="005016F0" w:rsidRDefault="00BF3143" w:rsidP="00E17C57">
      <w:pPr>
        <w:pStyle w:val="ListParagraph"/>
        <w:numPr>
          <w:ilvl w:val="1"/>
          <w:numId w:val="22"/>
        </w:numPr>
        <w:rPr>
          <w:sz w:val="18"/>
          <w:szCs w:val="18"/>
          <w:rFonts w:ascii="Verdana" w:hAnsi="Verdana"/>
        </w:rPr>
      </w:pPr>
      <w:r>
        <w:rPr>
          <w:sz w:val="18"/>
          <w:rFonts w:ascii="Verdana" w:hAnsi="Verdana"/>
        </w:rPr>
        <w:t xml:space="preserve">atropina in njegovih derivatov;</w:t>
      </w:r>
    </w:p>
    <w:p w:rsidR="005016F0" w:rsidRDefault="005016F0" w:rsidP="00E17C57">
      <w:pPr>
        <w:pStyle w:val="ListParagraph"/>
        <w:numPr>
          <w:ilvl w:val="1"/>
          <w:numId w:val="22"/>
        </w:numPr>
        <w:rPr>
          <w:sz w:val="18"/>
          <w:szCs w:val="18"/>
          <w:rFonts w:ascii="Verdana" w:hAnsi="Verdana"/>
        </w:rPr>
      </w:pPr>
      <w:r>
        <w:rPr>
          <w:sz w:val="18"/>
          <w:rFonts w:ascii="Verdana" w:hAnsi="Verdana"/>
        </w:rPr>
        <w:t xml:space="preserve">kolhicina in njegovih derivatov;</w:t>
      </w:r>
    </w:p>
    <w:p w:rsidR="005016F0" w:rsidRDefault="005016F0" w:rsidP="00E17C57">
      <w:pPr>
        <w:pStyle w:val="ListParagraph"/>
        <w:numPr>
          <w:ilvl w:val="1"/>
          <w:numId w:val="22"/>
        </w:numPr>
        <w:rPr>
          <w:sz w:val="18"/>
          <w:szCs w:val="18"/>
          <w:rFonts w:ascii="Verdana" w:hAnsi="Verdana"/>
        </w:rPr>
      </w:pPr>
      <w:r>
        <w:rPr>
          <w:sz w:val="18"/>
          <w:rFonts w:ascii="Verdana" w:hAnsi="Verdana"/>
        </w:rPr>
        <w:t xml:space="preserve">hiosciamina in njegovih derivatov;</w:t>
      </w:r>
    </w:p>
    <w:p w:rsidR="005016F0" w:rsidRDefault="00BF3143" w:rsidP="00E17C57">
      <w:pPr>
        <w:pStyle w:val="ListParagraph"/>
        <w:numPr>
          <w:ilvl w:val="1"/>
          <w:numId w:val="22"/>
        </w:numPr>
        <w:rPr>
          <w:sz w:val="18"/>
          <w:szCs w:val="18"/>
          <w:rFonts w:ascii="Verdana" w:hAnsi="Verdana"/>
        </w:rPr>
      </w:pPr>
      <w:r>
        <w:rPr>
          <w:sz w:val="18"/>
          <w:rFonts w:ascii="Verdana" w:hAnsi="Verdana"/>
        </w:rPr>
        <w:t xml:space="preserve">meta- in orto-sinefrina in njunih derivatov;</w:t>
      </w:r>
    </w:p>
    <w:p w:rsidR="00BF3143" w:rsidRPr="005016F0" w:rsidRDefault="00BF3143" w:rsidP="00E17C57">
      <w:pPr>
        <w:pStyle w:val="ListParagraph"/>
        <w:numPr>
          <w:ilvl w:val="1"/>
          <w:numId w:val="22"/>
        </w:numPr>
        <w:rPr>
          <w:sz w:val="18"/>
          <w:szCs w:val="18"/>
          <w:rFonts w:ascii="Verdana" w:hAnsi="Verdana"/>
        </w:rPr>
      </w:pPr>
      <w:r>
        <w:rPr>
          <w:sz w:val="18"/>
          <w:rFonts w:ascii="Verdana" w:hAnsi="Verdana"/>
        </w:rPr>
        <w:t xml:space="preserve">olja iz rastline Artemisia absinthium (pravi pelin), brez poseganja v določbe glede tega, da je lahko tujon prisoten v nekaterih sestavljenih živilih, iz člena 6(2) Uredbe (ES) št. 1334/2008 in dela B Priloge III k navedeni uredbi;</w:t>
      </w:r>
    </w:p>
    <w:p w:rsidR="005016F0" w:rsidRPr="00BF3143" w:rsidRDefault="005016F0" w:rsidP="00E17C57">
      <w:pPr>
        <w:pStyle w:val="ListParagraph"/>
        <w:numPr>
          <w:ilvl w:val="1"/>
          <w:numId w:val="22"/>
        </w:numPr>
        <w:rPr>
          <w:sz w:val="18"/>
          <w:szCs w:val="18"/>
          <w:rFonts w:ascii="Verdana" w:hAnsi="Verdana"/>
        </w:rPr>
      </w:pPr>
      <w:r>
        <w:rPr>
          <w:sz w:val="18"/>
          <w:rFonts w:ascii="Verdana" w:hAnsi="Verdana"/>
        </w:rPr>
        <w:t xml:space="preserve">pilokarpina in njegovih derivatov;</w:t>
      </w:r>
    </w:p>
    <w:p w:rsidR="005016F0" w:rsidRDefault="005016F0" w:rsidP="00E17C57">
      <w:pPr>
        <w:pStyle w:val="ListParagraph"/>
        <w:numPr>
          <w:ilvl w:val="1"/>
          <w:numId w:val="22"/>
        </w:numPr>
        <w:rPr>
          <w:sz w:val="18"/>
          <w:szCs w:val="18"/>
          <w:rFonts w:ascii="Verdana" w:hAnsi="Verdana"/>
        </w:rPr>
      </w:pPr>
      <w:r>
        <w:rPr>
          <w:sz w:val="18"/>
          <w:rFonts w:ascii="Verdana" w:hAnsi="Verdana"/>
        </w:rPr>
        <w:t xml:space="preserve">skopolamina in njegovih derivatov;</w:t>
      </w:r>
    </w:p>
    <w:p w:rsidR="005016F0" w:rsidRDefault="005016F0" w:rsidP="00E17C57">
      <w:pPr>
        <w:pStyle w:val="ListParagraph"/>
        <w:numPr>
          <w:ilvl w:val="1"/>
          <w:numId w:val="22"/>
        </w:numPr>
        <w:rPr>
          <w:sz w:val="18"/>
          <w:szCs w:val="18"/>
          <w:rFonts w:ascii="Verdana" w:hAnsi="Verdana"/>
        </w:rPr>
      </w:pPr>
      <w:r>
        <w:rPr>
          <w:sz w:val="18"/>
          <w:rFonts w:ascii="Verdana" w:hAnsi="Verdana"/>
        </w:rPr>
        <w:t xml:space="preserve">strihnina in njegovih derivatov ter</w:t>
      </w:r>
    </w:p>
    <w:p w:rsidR="00BF3143" w:rsidRDefault="00BF3143" w:rsidP="00E17C57">
      <w:pPr>
        <w:pStyle w:val="ListParagraph"/>
        <w:numPr>
          <w:ilvl w:val="1"/>
          <w:numId w:val="22"/>
        </w:numPr>
        <w:rPr>
          <w:sz w:val="18"/>
          <w:szCs w:val="18"/>
          <w:rFonts w:ascii="Verdana" w:hAnsi="Verdana"/>
        </w:rPr>
      </w:pPr>
      <w:r>
        <w:rPr>
          <w:sz w:val="18"/>
          <w:rFonts w:ascii="Verdana" w:hAnsi="Verdana"/>
        </w:rPr>
        <w:t xml:space="preserve">alkaloidov johimbina in njihovih derivatov.</w:t>
      </w:r>
    </w:p>
    <w:p w:rsidR="000E0515" w:rsidRPr="0043098B" w:rsidRDefault="0043098B" w:rsidP="00E17C57">
      <w:pPr>
        <w:ind w:left="2835" w:hanging="567"/>
        <w:rPr>
          <w:sz w:val="18"/>
          <w:szCs w:val="18"/>
          <w:rFonts w:ascii="Verdana" w:hAnsi="Verdana"/>
        </w:rPr>
      </w:pPr>
      <w:r>
        <w:rPr>
          <w:sz w:val="18"/>
          <w:rFonts w:ascii="Verdana" w:hAnsi="Verdana"/>
        </w:rPr>
        <w:t xml:space="preserve">3.</w:t>
      </w:r>
      <w:r>
        <w:tab/>
      </w:r>
      <w:r>
        <w:rPr>
          <w:sz w:val="18"/>
          <w:rFonts w:ascii="Verdana" w:hAnsi="Verdana"/>
        </w:rPr>
        <w:t xml:space="preserve">V odstavku 3 se besedilo „rastline iz dela II Priloge“ nadomesti z besedilom „rastline in glive iz Priloge“.</w:t>
      </w:r>
    </w:p>
    <w:p w:rsidR="0043098B" w:rsidRDefault="00E17C57" w:rsidP="00E17C57">
      <w:pPr>
        <w:keepNext/>
        <w:keepLines/>
        <w:ind w:left="2836" w:hanging="568"/>
        <w:rPr>
          <w:sz w:val="18"/>
          <w:szCs w:val="18"/>
          <w:rFonts w:ascii="Verdana" w:hAnsi="Verdana"/>
        </w:rPr>
      </w:pPr>
      <w:r>
        <w:rPr>
          <w:sz w:val="18"/>
          <w:rFonts w:ascii="Verdana" w:hAnsi="Verdana"/>
        </w:rPr>
        <w:t xml:space="preserve">4.</w:t>
      </w:r>
      <w:r>
        <w:tab/>
      </w:r>
      <w:r>
        <w:rPr>
          <w:sz w:val="18"/>
          <w:rFonts w:ascii="Verdana" w:hAnsi="Verdana"/>
        </w:rPr>
        <w:t xml:space="preserve">Dodajo se trije novi odstavki, ki se glasijo:</w:t>
      </w:r>
    </w:p>
    <w:p w:rsidR="0043098B" w:rsidRDefault="0043098B" w:rsidP="00E17C57">
      <w:pPr>
        <w:ind w:left="3544" w:hanging="708"/>
        <w:rPr>
          <w:sz w:val="18"/>
          <w:szCs w:val="18"/>
          <w:rFonts w:ascii="Verdana" w:hAnsi="Verdana"/>
        </w:rPr>
      </w:pPr>
      <w:r>
        <w:rPr>
          <w:sz w:val="18"/>
          <w:rFonts w:ascii="Verdana" w:hAnsi="Verdana"/>
        </w:rPr>
        <w:t xml:space="preserve">4.</w:t>
      </w:r>
      <w:r>
        <w:tab/>
      </w:r>
      <w:r>
        <w:rPr>
          <w:sz w:val="18"/>
          <w:rFonts w:ascii="Verdana" w:hAnsi="Verdana"/>
        </w:rPr>
        <w:t xml:space="preserve">Največji dnevni vnos para-sinefrina, ki ga vsebujejo zeliščni pripravki, znaša 27 mg v skladu z navodili za uporabo.</w:t>
      </w:r>
    </w:p>
    <w:p w:rsidR="0095665C" w:rsidRDefault="0043098B" w:rsidP="00E17C57">
      <w:pPr>
        <w:ind w:left="3544" w:hanging="708"/>
        <w:rPr>
          <w:sz w:val="18"/>
          <w:szCs w:val="18"/>
          <w:rFonts w:ascii="Verdana" w:hAnsi="Verdana"/>
        </w:rPr>
      </w:pPr>
      <w:r>
        <w:rPr>
          <w:sz w:val="18"/>
          <w:rFonts w:ascii="Verdana" w:hAnsi="Verdana"/>
        </w:rPr>
        <w:t xml:space="preserve">5.</w:t>
      </w:r>
      <w:r>
        <w:tab/>
      </w:r>
      <w:r>
        <w:rPr>
          <w:sz w:val="18"/>
          <w:rFonts w:ascii="Verdana" w:hAnsi="Verdana"/>
        </w:rPr>
        <w:t xml:space="preserve">V nasprotju z odstavkom 3 lahko zeliščni pripravki vsebujejo olje iz semen rastline Ricinus communis pod pogojem, da predpisana priporočena uporaba in priporočeni odmerki iz člena 6(1) ne privedejo do vnosa olja, ki presega 0,4 g na dan.</w:t>
      </w:r>
    </w:p>
    <w:p w:rsidR="00AB3B66" w:rsidRDefault="00AB3B66" w:rsidP="00E17C57">
      <w:pPr>
        <w:ind w:left="3544" w:hanging="708"/>
        <w:rPr>
          <w:sz w:val="18"/>
          <w:szCs w:val="18"/>
          <w:rFonts w:ascii="Verdana" w:hAnsi="Verdana"/>
        </w:rPr>
      </w:pPr>
      <w:r>
        <w:rPr>
          <w:sz w:val="18"/>
          <w:rFonts w:ascii="Verdana" w:hAnsi="Verdana"/>
        </w:rPr>
        <w:t xml:space="preserve">6.</w:t>
      </w:r>
      <w:r>
        <w:tab/>
      </w:r>
      <w:r>
        <w:rPr>
          <w:sz w:val="18"/>
          <w:rFonts w:ascii="Verdana" w:hAnsi="Verdana"/>
        </w:rPr>
        <w:t xml:space="preserve">Odstavek 1 se ne uporablja za področja, ki jih urejajo določbe Uredbe (ES) št. 1881/2006.</w:t>
      </w:r>
    </w:p>
    <w:p w:rsidR="00D9610F" w:rsidRDefault="00D9610F" w:rsidP="00E17C57">
      <w:pPr>
        <w:ind w:left="2268"/>
        <w:rPr>
          <w:rFonts w:ascii="Verdana" w:hAnsi="Verdana"/>
          <w:sz w:val="18"/>
          <w:szCs w:val="18"/>
        </w:rPr>
      </w:pPr>
    </w:p>
    <w:p w:rsidR="00AB4972" w:rsidRPr="00AB4972" w:rsidRDefault="00AB4972" w:rsidP="00E17C57">
      <w:pPr>
        <w:keepNext/>
        <w:keepLines/>
        <w:ind w:left="2268"/>
        <w:rPr>
          <w:sz w:val="18"/>
          <w:szCs w:val="18"/>
          <w:rFonts w:ascii="Verdana" w:hAnsi="Verdana"/>
        </w:rPr>
      </w:pPr>
      <w:r>
        <w:rPr>
          <w:sz w:val="18"/>
          <w:rFonts w:ascii="Verdana" w:hAnsi="Verdana"/>
        </w:rPr>
        <w:t xml:space="preserve">B</w:t>
      </w:r>
    </w:p>
    <w:p w:rsidR="00AB4972" w:rsidRDefault="00AB4972" w:rsidP="00E17C57">
      <w:pPr>
        <w:keepNext/>
        <w:keepLines/>
        <w:ind w:left="2268"/>
        <w:rPr>
          <w:rFonts w:ascii="Verdana" w:hAnsi="Verdana"/>
          <w:sz w:val="18"/>
          <w:szCs w:val="18"/>
        </w:rPr>
      </w:pPr>
    </w:p>
    <w:p w:rsidR="003825F1" w:rsidRDefault="003825F1" w:rsidP="00E17C57">
      <w:pPr>
        <w:keepNext/>
        <w:keepLines/>
        <w:ind w:left="2268"/>
        <w:rPr>
          <w:sz w:val="18"/>
          <w:szCs w:val="18"/>
          <w:rFonts w:ascii="Verdana" w:hAnsi="Verdana"/>
        </w:rPr>
      </w:pPr>
      <w:r>
        <w:rPr>
          <w:sz w:val="18"/>
          <w:rFonts w:ascii="Verdana" w:hAnsi="Verdana"/>
        </w:rPr>
        <w:t xml:space="preserve">Členu 6 se doda odstavek, ki se glasi:</w:t>
      </w:r>
    </w:p>
    <w:p w:rsidR="003825F1" w:rsidRDefault="003825F1" w:rsidP="00E17C57">
      <w:pPr>
        <w:ind w:left="2836" w:hanging="568"/>
        <w:rPr>
          <w:sz w:val="18"/>
          <w:szCs w:val="18"/>
          <w:rFonts w:ascii="Verdana" w:hAnsi="Verdana"/>
        </w:rPr>
      </w:pPr>
      <w:r>
        <w:rPr>
          <w:sz w:val="18"/>
          <w:rFonts w:ascii="Verdana" w:hAnsi="Verdana"/>
        </w:rPr>
        <w:t xml:space="preserve">3.</w:t>
      </w:r>
      <w:r>
        <w:rPr>
          <w:sz w:val="18"/>
          <w:rFonts w:ascii="Verdana" w:hAnsi="Verdana"/>
        </w:rPr>
        <w:t xml:space="preserve"> </w:t>
      </w:r>
      <w:r>
        <w:tab/>
      </w:r>
      <w:r>
        <w:rPr>
          <w:sz w:val="18"/>
          <w:rFonts w:ascii="Verdana" w:hAnsi="Verdana"/>
        </w:rPr>
        <w:t xml:space="preserve">Minister lahko izda odredbo, v kateri so določena dodatna pravila o priporočeni uporabi in priporočenih odmerkih iz odstavkov 1 in 2.</w:t>
      </w:r>
    </w:p>
    <w:p w:rsidR="003825F1" w:rsidRDefault="003825F1" w:rsidP="00E17C57">
      <w:pPr>
        <w:ind w:left="2268"/>
        <w:rPr>
          <w:rFonts w:ascii="Verdana" w:hAnsi="Verdana"/>
          <w:sz w:val="18"/>
          <w:szCs w:val="18"/>
        </w:rPr>
      </w:pPr>
    </w:p>
    <w:p w:rsidR="003825F1" w:rsidRDefault="003825F1" w:rsidP="00E17C57">
      <w:pPr>
        <w:keepNext/>
        <w:keepLines/>
        <w:ind w:left="2268"/>
        <w:rPr>
          <w:sz w:val="18"/>
          <w:szCs w:val="18"/>
          <w:rFonts w:ascii="Verdana" w:hAnsi="Verdana"/>
        </w:rPr>
      </w:pPr>
      <w:r>
        <w:rPr>
          <w:sz w:val="18"/>
          <w:rFonts w:ascii="Verdana" w:hAnsi="Verdana"/>
        </w:rPr>
        <w:t xml:space="preserve">C</w:t>
      </w:r>
    </w:p>
    <w:p w:rsidR="003825F1" w:rsidRDefault="003825F1" w:rsidP="00E17C57">
      <w:pPr>
        <w:keepNext/>
        <w:keepLines/>
        <w:ind w:left="2268"/>
        <w:rPr>
          <w:rFonts w:ascii="Verdana" w:hAnsi="Verdana"/>
          <w:sz w:val="18"/>
          <w:szCs w:val="18"/>
        </w:rPr>
      </w:pPr>
    </w:p>
    <w:p w:rsidR="00BB07D4" w:rsidRDefault="00BB07D4" w:rsidP="00E17C57">
      <w:pPr>
        <w:ind w:left="2268"/>
        <w:rPr>
          <w:sz w:val="18"/>
          <w:szCs w:val="18"/>
          <w:rFonts w:ascii="Verdana" w:hAnsi="Verdana"/>
        </w:rPr>
      </w:pPr>
      <w:r>
        <w:rPr>
          <w:sz w:val="18"/>
          <w:rFonts w:ascii="Verdana" w:hAnsi="Verdana"/>
        </w:rPr>
        <w:t xml:space="preserve">V členu 7(1) se črta besedilo:</w:t>
      </w:r>
      <w:r>
        <w:rPr>
          <w:sz w:val="18"/>
          <w:rFonts w:ascii="Verdana" w:hAnsi="Verdana"/>
        </w:rPr>
        <w:t xml:space="preserve"> </w:t>
      </w:r>
      <w:r>
        <w:rPr>
          <w:sz w:val="18"/>
          <w:rFonts w:ascii="Verdana" w:hAnsi="Verdana"/>
        </w:rPr>
        <w:t xml:space="preserve">„, ob upoštevanju, da se začne člen 4(1) in (3) 1. avgusta 2001 uporabljati za zeliščne pripravke, ki niso hrana in pijača ter so namenjeni izključno uporabi, v skladu s katero prihajajo v stik z različnimi deli površine človeškega telesa, in poleg rastlin, označenih z oznako 1, iz zadnjega stolpca Priloge, ne vsebujejo drugih rastlin“.</w:t>
      </w:r>
    </w:p>
    <w:p w:rsidR="00BB07D4" w:rsidRDefault="00BB07D4" w:rsidP="00E17C57">
      <w:pPr>
        <w:ind w:left="2268"/>
        <w:rPr>
          <w:rFonts w:ascii="Verdana" w:hAnsi="Verdana"/>
          <w:sz w:val="18"/>
          <w:szCs w:val="18"/>
        </w:rPr>
      </w:pPr>
    </w:p>
    <w:p w:rsidR="00BB07D4" w:rsidRDefault="00BB07D4" w:rsidP="00E17C57">
      <w:pPr>
        <w:keepNext/>
        <w:keepLines/>
        <w:ind w:left="2268"/>
        <w:rPr>
          <w:sz w:val="18"/>
          <w:szCs w:val="18"/>
          <w:rFonts w:ascii="Verdana" w:hAnsi="Verdana"/>
        </w:rPr>
      </w:pPr>
      <w:r>
        <w:rPr>
          <w:sz w:val="18"/>
          <w:rFonts w:ascii="Verdana" w:hAnsi="Verdana"/>
        </w:rPr>
        <w:t xml:space="preserve">D</w:t>
      </w:r>
    </w:p>
    <w:p w:rsidR="00BB07D4" w:rsidRDefault="00BB07D4" w:rsidP="00E17C57">
      <w:pPr>
        <w:keepNext/>
        <w:keepLines/>
        <w:ind w:left="2268"/>
        <w:rPr>
          <w:rFonts w:ascii="Verdana" w:hAnsi="Verdana"/>
          <w:sz w:val="18"/>
          <w:szCs w:val="18"/>
        </w:rPr>
      </w:pPr>
    </w:p>
    <w:p w:rsidR="00BB11AA" w:rsidRDefault="00F6533C" w:rsidP="00E17C57">
      <w:pPr>
        <w:keepNext/>
        <w:keepLines/>
        <w:ind w:left="2268"/>
        <w:rPr>
          <w:sz w:val="18"/>
          <w:szCs w:val="18"/>
          <w:rFonts w:ascii="Verdana" w:hAnsi="Verdana"/>
        </w:rPr>
      </w:pPr>
      <w:r>
        <w:rPr>
          <w:sz w:val="18"/>
          <w:rFonts w:ascii="Verdana" w:hAnsi="Verdana"/>
        </w:rPr>
        <w:t xml:space="preserve">Priloga se spremeni:</w:t>
      </w:r>
    </w:p>
    <w:p w:rsidR="00F6533C" w:rsidRDefault="00F6533C" w:rsidP="00E17C57">
      <w:pPr>
        <w:pStyle w:val="ListParagraph"/>
        <w:numPr>
          <w:ilvl w:val="0"/>
          <w:numId w:val="23"/>
        </w:numPr>
        <w:rPr>
          <w:sz w:val="18"/>
          <w:szCs w:val="18"/>
          <w:rFonts w:ascii="Verdana" w:hAnsi="Verdana"/>
        </w:rPr>
      </w:pPr>
      <w:r>
        <w:rPr>
          <w:sz w:val="18"/>
          <w:rFonts w:ascii="Verdana" w:hAnsi="Verdana"/>
        </w:rPr>
        <w:t xml:space="preserve">besedilo „Ta priloga ustreza členu 4.“ se nadomesti z besedilom „Ta priloga ustreza členu 4(3).“.</w:t>
      </w:r>
    </w:p>
    <w:p w:rsidR="00F6533C" w:rsidRDefault="00BB02A9" w:rsidP="00E17C57">
      <w:pPr>
        <w:pStyle w:val="ListParagraph"/>
        <w:numPr>
          <w:ilvl w:val="0"/>
          <w:numId w:val="23"/>
        </w:numPr>
        <w:rPr>
          <w:sz w:val="18"/>
          <w:szCs w:val="18"/>
          <w:rFonts w:ascii="Verdana" w:hAnsi="Verdana"/>
        </w:rPr>
      </w:pPr>
      <w:r>
        <w:rPr>
          <w:sz w:val="18"/>
          <w:rFonts w:ascii="Verdana" w:hAnsi="Verdana"/>
        </w:rPr>
        <w:t xml:space="preserve">Del I se črta.</w:t>
      </w:r>
    </w:p>
    <w:p w:rsidR="00F6533C" w:rsidRDefault="00BB07D4" w:rsidP="00E17C57">
      <w:pPr>
        <w:pStyle w:val="ListParagraph"/>
        <w:numPr>
          <w:ilvl w:val="0"/>
          <w:numId w:val="23"/>
        </w:numPr>
        <w:rPr>
          <w:sz w:val="18"/>
          <w:szCs w:val="18"/>
          <w:rFonts w:ascii="Verdana" w:hAnsi="Verdana"/>
        </w:rPr>
      </w:pPr>
      <w:r>
        <w:rPr>
          <w:sz w:val="18"/>
          <w:rFonts w:ascii="Verdana" w:hAnsi="Verdana"/>
        </w:rPr>
        <w:t xml:space="preserve">Besedilo „II.</w:t>
      </w:r>
      <w:r>
        <w:rPr>
          <w:sz w:val="18"/>
          <w:rFonts w:ascii="Verdana" w:hAnsi="Verdana"/>
        </w:rPr>
        <w:t xml:space="preserve"> </w:t>
      </w:r>
      <w:r>
        <w:rPr>
          <w:sz w:val="18"/>
          <w:rFonts w:ascii="Verdana" w:hAnsi="Verdana"/>
        </w:rPr>
        <w:t xml:space="preserve">Naslednje rastline in glive:“ se nadomesti z besedilom „Rastline in glive iz člena 4(3):“.</w:t>
      </w:r>
    </w:p>
    <w:p w:rsidR="00740EC3" w:rsidRDefault="00740EC3" w:rsidP="00E17C57">
      <w:pPr>
        <w:pStyle w:val="ListParagraph"/>
        <w:keepNext/>
        <w:keepLines/>
        <w:numPr>
          <w:ilvl w:val="0"/>
          <w:numId w:val="23"/>
        </w:numPr>
        <w:rPr>
          <w:sz w:val="18"/>
          <w:szCs w:val="18"/>
          <w:rFonts w:ascii="Verdana" w:hAnsi="Verdana"/>
        </w:rPr>
      </w:pPr>
      <w:r>
        <w:rPr>
          <w:sz w:val="18"/>
          <w:rFonts w:ascii="Verdana" w:hAnsi="Verdana"/>
        </w:rPr>
        <w:t xml:space="preserve">Po abecednem vrstnem redu se vstavi naslednje:</w:t>
      </w:r>
    </w:p>
    <w:p w:rsidR="00183469" w:rsidRPr="00A27E62" w:rsidRDefault="00740EC3" w:rsidP="00E17C57">
      <w:pPr>
        <w:ind w:left="1919" w:firstLine="709"/>
        <w:rPr>
          <w:sz w:val="18"/>
          <w:szCs w:val="18"/>
          <w:rFonts w:ascii="Verdana" w:hAnsi="Verdana"/>
        </w:rPr>
      </w:pPr>
      <w:r>
        <w:rPr>
          <w:sz w:val="18"/>
          <w:rFonts w:ascii="Verdana" w:hAnsi="Verdana"/>
        </w:rPr>
        <w:t xml:space="preserve">Aconitum carmichaelii;</w:t>
      </w:r>
    </w:p>
    <w:p w:rsidR="00740EC3" w:rsidRPr="00A27E62" w:rsidRDefault="00740EC3" w:rsidP="00E17C57">
      <w:pPr>
        <w:ind w:left="1919" w:firstLine="709"/>
        <w:rPr>
          <w:sz w:val="18"/>
          <w:szCs w:val="18"/>
          <w:rFonts w:ascii="Verdana" w:hAnsi="Verdana"/>
        </w:rPr>
      </w:pPr>
      <w:r>
        <w:rPr>
          <w:sz w:val="18"/>
          <w:rFonts w:ascii="Verdana" w:hAnsi="Verdana"/>
        </w:rPr>
        <w:t xml:space="preserve">Aconitum kusnezoffii;</w:t>
      </w:r>
    </w:p>
    <w:p w:rsidR="00740EC3" w:rsidRPr="00A27E62" w:rsidRDefault="00740EC3" w:rsidP="00E17C57">
      <w:pPr>
        <w:ind w:left="1919" w:firstLine="709"/>
        <w:rPr>
          <w:sz w:val="18"/>
          <w:szCs w:val="18"/>
          <w:rFonts w:ascii="Verdana" w:hAnsi="Verdana"/>
        </w:rPr>
      </w:pPr>
      <w:r>
        <w:rPr>
          <w:sz w:val="18"/>
          <w:rFonts w:ascii="Verdana" w:hAnsi="Verdana"/>
        </w:rPr>
        <w:t xml:space="preserve">Pilocarpus jaborandi.</w:t>
      </w:r>
    </w:p>
    <w:p w:rsidR="00183469" w:rsidRPr="00E17C57" w:rsidRDefault="00BB551C" w:rsidP="00147025">
      <w:pPr>
        <w:pStyle w:val="ListParagraph"/>
        <w:numPr>
          <w:ilvl w:val="0"/>
          <w:numId w:val="23"/>
        </w:numPr>
        <w:rPr>
          <w:sz w:val="18"/>
          <w:szCs w:val="18"/>
          <w:rFonts w:ascii="Verdana" w:hAnsi="Verdana"/>
        </w:rPr>
      </w:pPr>
      <w:r>
        <w:rPr>
          <w:sz w:val="18"/>
          <w:rFonts w:ascii="Verdana" w:hAnsi="Verdana"/>
        </w:rPr>
        <w:t xml:space="preserve">Besedilo „Brassica nigra (črna gorčica), razen v primeru uporabe semen rastline Bryonia alba (beli bluščec) v živilih“ se nadomesti z besedilom „Brassica nigra (črna gorčica), razen v primeru uporabe semen rastline Bryonia alba (beli bluščec) v živilih“.</w:t>
      </w:r>
    </w:p>
    <w:p w:rsidR="00740EC3" w:rsidRDefault="00740EC3" w:rsidP="00E17C57">
      <w:pPr>
        <w:pStyle w:val="ListParagraph"/>
        <w:numPr>
          <w:ilvl w:val="0"/>
          <w:numId w:val="23"/>
        </w:numPr>
        <w:rPr>
          <w:sz w:val="18"/>
          <w:szCs w:val="18"/>
          <w:rFonts w:ascii="Verdana" w:hAnsi="Verdana"/>
        </w:rPr>
      </w:pPr>
      <w:r>
        <w:rPr>
          <w:sz w:val="18"/>
          <w:rFonts w:ascii="Verdana" w:hAnsi="Verdana"/>
        </w:rPr>
        <w:t xml:space="preserve">Besedilo „Citrullus colocynthidis“ se nadomesti z besedilom „Citrullus colocynthis“.</w:t>
      </w:r>
    </w:p>
    <w:p w:rsidR="00740EC3" w:rsidRDefault="00740EC3" w:rsidP="00E17C57">
      <w:pPr>
        <w:pStyle w:val="ListParagraph"/>
        <w:numPr>
          <w:ilvl w:val="0"/>
          <w:numId w:val="23"/>
        </w:numPr>
        <w:rPr>
          <w:sz w:val="18"/>
          <w:szCs w:val="18"/>
          <w:rFonts w:ascii="Verdana" w:hAnsi="Verdana"/>
        </w:rPr>
      </w:pPr>
      <w:r>
        <w:rPr>
          <w:sz w:val="18"/>
          <w:rFonts w:ascii="Verdana" w:hAnsi="Verdana"/>
        </w:rPr>
        <w:t xml:space="preserve">Besedilo „Mallotus philipinensis“ se nadomesti z besedilom „Mallotus philippensis“.</w:t>
      </w:r>
    </w:p>
    <w:p w:rsidR="00740EC3" w:rsidRDefault="00740EC3" w:rsidP="00E17C57">
      <w:pPr>
        <w:pStyle w:val="ListParagraph"/>
        <w:numPr>
          <w:ilvl w:val="0"/>
          <w:numId w:val="23"/>
        </w:numPr>
        <w:rPr>
          <w:sz w:val="18"/>
          <w:szCs w:val="18"/>
          <w:rFonts w:ascii="Verdana" w:hAnsi="Verdana"/>
        </w:rPr>
      </w:pPr>
      <w:r>
        <w:rPr>
          <w:sz w:val="18"/>
          <w:rFonts w:ascii="Verdana" w:hAnsi="Verdana"/>
        </w:rPr>
        <w:t xml:space="preserve">Besedilo „Mandragora officinalis“ se nadomesti z besedilom „Mandragora officinarum“.</w:t>
      </w:r>
    </w:p>
    <w:p w:rsidR="00BB551C" w:rsidRPr="00C5642F" w:rsidRDefault="00740EC3" w:rsidP="00E17C57">
      <w:pPr>
        <w:pStyle w:val="ListParagraph"/>
        <w:numPr>
          <w:ilvl w:val="0"/>
          <w:numId w:val="23"/>
        </w:numPr>
        <w:rPr>
          <w:sz w:val="18"/>
          <w:szCs w:val="18"/>
          <w:rFonts w:ascii="Verdana" w:hAnsi="Verdana"/>
        </w:rPr>
      </w:pPr>
      <w:r>
        <w:rPr>
          <w:sz w:val="18"/>
          <w:rFonts w:ascii="Verdana" w:hAnsi="Verdana"/>
        </w:rPr>
        <w:t xml:space="preserve">Besedilo „Pausinystalia yohimbe ali Coynanthe yohimbe“ se nadomesti z besedilom „Pausinystalia johimbe ali Corynanthe johimbe“.</w:t>
      </w:r>
    </w:p>
    <w:p w:rsidR="00740EC3" w:rsidRPr="00C5642F" w:rsidRDefault="00BB551C" w:rsidP="00E17C57">
      <w:pPr>
        <w:pStyle w:val="ListParagraph"/>
        <w:numPr>
          <w:ilvl w:val="0"/>
          <w:numId w:val="23"/>
        </w:numPr>
        <w:rPr>
          <w:sz w:val="18"/>
          <w:szCs w:val="18"/>
          <w:rFonts w:ascii="Verdana" w:hAnsi="Verdana"/>
        </w:rPr>
      </w:pPr>
      <w:r>
        <w:rPr>
          <w:sz w:val="18"/>
          <w:rFonts w:ascii="Verdana" w:hAnsi="Verdana"/>
        </w:rPr>
        <w:t xml:space="preserve">Drugi stolpec s številkami 1 se črta.</w:t>
      </w:r>
    </w:p>
    <w:p w:rsidR="007E7D62" w:rsidRDefault="007E7D62" w:rsidP="00E17C57">
      <w:pPr>
        <w:ind w:left="2268"/>
        <w:rPr>
          <w:rFonts w:ascii="Verdana" w:hAnsi="Verdana"/>
          <w:sz w:val="18"/>
          <w:szCs w:val="18"/>
        </w:rPr>
      </w:pPr>
    </w:p>
    <w:p w:rsidR="00E17C57" w:rsidRDefault="00E17C57" w:rsidP="00E17C57">
      <w:pPr>
        <w:ind w:left="2268"/>
        <w:rPr>
          <w:rFonts w:ascii="Verdana" w:hAnsi="Verdana"/>
          <w:sz w:val="18"/>
          <w:szCs w:val="18"/>
        </w:rPr>
      </w:pPr>
    </w:p>
    <w:p w:rsidR="00F517C1" w:rsidRPr="00F517C1" w:rsidRDefault="00F517C1" w:rsidP="00E17C57">
      <w:pPr>
        <w:keepNext/>
        <w:keepLines/>
        <w:ind w:left="2268"/>
        <w:rPr>
          <w:b/>
          <w:sz w:val="18"/>
          <w:szCs w:val="18"/>
          <w:rFonts w:ascii="Verdana" w:hAnsi="Verdana"/>
        </w:rPr>
      </w:pPr>
      <w:r>
        <w:rPr>
          <w:b/>
          <w:sz w:val="18"/>
          <w:rFonts w:ascii="Verdana" w:hAnsi="Verdana"/>
        </w:rPr>
        <w:t xml:space="preserve">Člen II</w:t>
      </w:r>
    </w:p>
    <w:p w:rsidR="00F517C1" w:rsidRDefault="00F517C1" w:rsidP="00E17C57">
      <w:pPr>
        <w:keepNext/>
        <w:keepLines/>
        <w:ind w:left="2268"/>
        <w:rPr>
          <w:rFonts w:ascii="Verdana" w:hAnsi="Verdana"/>
          <w:sz w:val="18"/>
          <w:szCs w:val="18"/>
        </w:rPr>
      </w:pPr>
    </w:p>
    <w:p w:rsidR="00F517C1" w:rsidRDefault="008E734A" w:rsidP="00E17C57">
      <w:pPr>
        <w:keepNext/>
        <w:keepLines/>
        <w:ind w:left="2268"/>
        <w:rPr>
          <w:sz w:val="18"/>
          <w:szCs w:val="18"/>
          <w:rFonts w:ascii="Verdana" w:hAnsi="Verdana"/>
        </w:rPr>
      </w:pPr>
      <w:r>
        <w:rPr>
          <w:sz w:val="18"/>
          <w:rFonts w:ascii="Verdana" w:hAnsi="Verdana"/>
        </w:rPr>
        <w:t xml:space="preserve">V naslovu C-22 Priloge k Uredbi o Zakonu o kakovosti blaga v zvezi z upravnimi kaznimi [Warenwetbesluit bestuurlijke boeten] se za oddelkom C-22.4 vstavi naslednji oddelek:</w:t>
      </w:r>
    </w:p>
    <w:tbl>
      <w:tblPr>
        <w:tblStyle w:val="TableGrid"/>
        <w:tblW w:w="0" w:type="auto"/>
        <w:tblInd w:w="2268" w:type="dxa"/>
        <w:tblLook w:val="04A0" w:firstRow="1" w:lastRow="0" w:firstColumn="1" w:lastColumn="0" w:noHBand="0" w:noVBand="1"/>
      </w:tblPr>
      <w:tblGrid>
        <w:gridCol w:w="1055"/>
        <w:gridCol w:w="3430"/>
        <w:gridCol w:w="1059"/>
        <w:gridCol w:w="1237"/>
        <w:gridCol w:w="396"/>
      </w:tblGrid>
      <w:tr w:rsidR="001960C4" w:rsidTr="00E17C57">
        <w:trPr>
          <w:cantSplit/>
        </w:trPr>
        <w:tc>
          <w:tcPr>
            <w:tcW w:w="1101" w:type="dxa"/>
          </w:tcPr>
          <w:p w:rsidR="001960C4" w:rsidRDefault="001960C4" w:rsidP="00E17C57">
            <w:pPr>
              <w:rPr>
                <w:sz w:val="18"/>
                <w:szCs w:val="18"/>
                <w:rFonts w:ascii="Verdana" w:hAnsi="Verdana"/>
              </w:rPr>
            </w:pPr>
            <w:r>
              <w:rPr>
                <w:sz w:val="18"/>
                <w:rFonts w:ascii="Verdana" w:hAnsi="Verdana"/>
              </w:rPr>
              <w:t xml:space="preserve">C-22.4.1</w:t>
            </w:r>
          </w:p>
        </w:tc>
        <w:tc>
          <w:tcPr>
            <w:tcW w:w="3827" w:type="dxa"/>
          </w:tcPr>
          <w:p w:rsidR="001960C4" w:rsidRDefault="001960C4" w:rsidP="00E17C57">
            <w:pPr>
              <w:rPr>
                <w:sz w:val="18"/>
                <w:szCs w:val="18"/>
                <w:rFonts w:ascii="Verdana" w:hAnsi="Verdana"/>
              </w:rPr>
            </w:pPr>
            <w:r>
              <w:rPr>
                <w:sz w:val="18"/>
                <w:rFonts w:ascii="Verdana" w:hAnsi="Verdana"/>
              </w:rPr>
              <w:t xml:space="preserve">Člen 2 v povezavi s členom 4(4)</w:t>
            </w:r>
          </w:p>
        </w:tc>
        <w:tc>
          <w:tcPr>
            <w:tcW w:w="842" w:type="dxa"/>
          </w:tcPr>
          <w:p w:rsidR="001960C4" w:rsidRDefault="001960C4" w:rsidP="00E17C57">
            <w:pPr>
              <w:rPr>
                <w:sz w:val="18"/>
                <w:szCs w:val="18"/>
                <w:rFonts w:ascii="Verdana" w:hAnsi="Verdana"/>
              </w:rPr>
            </w:pPr>
            <w:r>
              <w:rPr>
                <w:sz w:val="18"/>
                <w:rFonts w:ascii="Verdana" w:hAnsi="Verdana"/>
              </w:rPr>
              <w:t xml:space="preserve">525 EUR</w:t>
            </w:r>
          </w:p>
        </w:tc>
        <w:tc>
          <w:tcPr>
            <w:tcW w:w="1001" w:type="dxa"/>
          </w:tcPr>
          <w:p w:rsidR="001960C4" w:rsidRDefault="001960C4" w:rsidP="00E17C57">
            <w:pPr>
              <w:rPr>
                <w:sz w:val="18"/>
                <w:szCs w:val="18"/>
                <w:rFonts w:ascii="Verdana" w:hAnsi="Verdana"/>
              </w:rPr>
            </w:pPr>
            <w:r>
              <w:rPr>
                <w:sz w:val="18"/>
                <w:rFonts w:ascii="Verdana" w:hAnsi="Verdana"/>
              </w:rPr>
              <w:t xml:space="preserve">1 050 EUR</w:t>
            </w:r>
          </w:p>
        </w:tc>
        <w:tc>
          <w:tcPr>
            <w:tcW w:w="406" w:type="dxa"/>
          </w:tcPr>
          <w:p w:rsidR="001960C4" w:rsidRDefault="001960C4" w:rsidP="00E17C57">
            <w:pPr>
              <w:rPr>
                <w:sz w:val="18"/>
                <w:szCs w:val="18"/>
                <w:rFonts w:ascii="Verdana" w:hAnsi="Verdana"/>
              </w:rPr>
            </w:pPr>
            <w:r>
              <w:rPr>
                <w:sz w:val="18"/>
                <w:rFonts w:ascii="Verdana" w:hAnsi="Verdana"/>
              </w:rPr>
              <w:t xml:space="preserve">X</w:t>
            </w:r>
          </w:p>
        </w:tc>
      </w:tr>
    </w:tbl>
    <w:p w:rsidR="00B67E83" w:rsidRDefault="00B67E83" w:rsidP="00E17C57">
      <w:pPr>
        <w:ind w:left="2268"/>
        <w:rPr>
          <w:rFonts w:ascii="Verdana" w:hAnsi="Verdana"/>
          <w:sz w:val="18"/>
          <w:szCs w:val="18"/>
        </w:rPr>
      </w:pPr>
    </w:p>
    <w:p w:rsidR="001960C4" w:rsidRDefault="001960C4" w:rsidP="00E17C57">
      <w:pPr>
        <w:ind w:left="2268"/>
        <w:rPr>
          <w:rFonts w:ascii="Verdana" w:hAnsi="Verdana"/>
          <w:sz w:val="18"/>
          <w:szCs w:val="18"/>
        </w:rPr>
      </w:pPr>
    </w:p>
    <w:p w:rsidR="00B56093" w:rsidRPr="00B56093" w:rsidRDefault="00F517C1" w:rsidP="00E17C57">
      <w:pPr>
        <w:keepNext/>
        <w:keepLines/>
        <w:ind w:left="2268"/>
        <w:rPr>
          <w:b/>
          <w:sz w:val="18"/>
          <w:szCs w:val="18"/>
          <w:rFonts w:ascii="Verdana" w:hAnsi="Verdana"/>
        </w:rPr>
      </w:pPr>
      <w:r>
        <w:rPr>
          <w:b/>
          <w:sz w:val="18"/>
          <w:rFonts w:ascii="Verdana" w:hAnsi="Verdana"/>
        </w:rPr>
        <w:t xml:space="preserve">Člen III</w:t>
      </w:r>
    </w:p>
    <w:p w:rsidR="00B56093" w:rsidRDefault="00B56093" w:rsidP="00E17C57">
      <w:pPr>
        <w:keepNext/>
        <w:keepLines/>
        <w:ind w:left="2268"/>
        <w:rPr>
          <w:rFonts w:ascii="Verdana" w:hAnsi="Verdana"/>
          <w:sz w:val="18"/>
          <w:szCs w:val="18"/>
        </w:rPr>
      </w:pPr>
    </w:p>
    <w:p w:rsidR="00D9610F" w:rsidRDefault="00D9610F" w:rsidP="00E17C57">
      <w:pPr>
        <w:ind w:left="2836" w:hanging="568"/>
        <w:rPr>
          <w:sz w:val="18"/>
          <w:szCs w:val="18"/>
          <w:rFonts w:ascii="Verdana" w:hAnsi="Verdana"/>
        </w:rPr>
      </w:pPr>
      <w:r>
        <w:rPr>
          <w:sz w:val="18"/>
          <w:rFonts w:ascii="Verdana" w:hAnsi="Verdana"/>
        </w:rPr>
        <w:t xml:space="preserve">Ta uredba začne veljati 1. januarja 2020.</w:t>
      </w:r>
    </w:p>
    <w:p w:rsidR="003143CD" w:rsidRPr="008F0589" w:rsidRDefault="003143CD" w:rsidP="00E17C57">
      <w:pPr>
        <w:ind w:left="2268"/>
        <w:rPr>
          <w:rFonts w:ascii="Verdana" w:hAnsi="Verdana"/>
          <w:sz w:val="18"/>
          <w:szCs w:val="18"/>
        </w:rPr>
      </w:pPr>
    </w:p>
    <w:p w:rsidR="003143CD" w:rsidRDefault="007E7D62" w:rsidP="00E17C57">
      <w:pPr>
        <w:ind w:left="2268"/>
        <w:rPr>
          <w:snapToGrid w:val="0"/>
          <w:sz w:val="18"/>
          <w:szCs w:val="18"/>
          <w:rFonts w:ascii="Verdana" w:hAnsi="Verdana"/>
        </w:rPr>
      </w:pPr>
      <w:r>
        <w:rPr>
          <w:snapToGrid w:val="0"/>
          <w:sz w:val="18"/>
          <w:rFonts w:ascii="Verdana" w:hAnsi="Verdana"/>
        </w:rPr>
        <w:t xml:space="preserve">Odrejam, da se ta uredba skupaj s povezanim obrazložitvenim memorandumom objavi v Zborniku zakonov in uredb.</w:t>
      </w:r>
    </w:p>
    <w:p w:rsidR="003143CD" w:rsidRDefault="003143CD" w:rsidP="00E17C57">
      <w:pPr>
        <w:ind w:left="2268"/>
        <w:rPr>
          <w:rFonts w:ascii="Verdana" w:hAnsi="Verdana"/>
          <w:snapToGrid w:val="0"/>
          <w:sz w:val="18"/>
          <w:szCs w:val="18"/>
        </w:rPr>
      </w:pPr>
    </w:p>
    <w:p w:rsidR="003143CD" w:rsidRDefault="003143CD" w:rsidP="00E17C57">
      <w:pPr>
        <w:tabs>
          <w:tab w:val="left" w:pos="2268"/>
        </w:tabs>
        <w:ind w:left="2268"/>
        <w:rPr>
          <w:kern w:val="2"/>
          <w:sz w:val="18"/>
          <w:szCs w:val="18"/>
          <w:rFonts w:ascii="Verdana" w:hAnsi="Verdana"/>
        </w:rPr>
      </w:pPr>
      <w:r>
        <w:rPr>
          <w:sz w:val="18"/>
          <w:rFonts w:ascii="Verdana" w:hAnsi="Verdana"/>
        </w:rPr>
        <w:t xml:space="preserve">Minister za zdravstveno oskrbo</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kern w:val="2"/>
          <w:sz w:val="18"/>
          <w:szCs w:val="18"/>
          <w:rFonts w:ascii="Verdana" w:hAnsi="Verdana"/>
        </w:rPr>
      </w:pPr>
      <w:r>
        <w:rPr>
          <w:sz w:val="18"/>
          <w:rFonts w:ascii="Verdana" w:hAnsi="Verdana"/>
        </w:rPr>
        <w:t xml:space="preserve">B. J. Bruins</w:t>
      </w:r>
    </w:p>
    <w:p w:rsidR="005B43ED" w:rsidRPr="00176336" w:rsidRDefault="007E7D62" w:rsidP="00E17C57">
      <w:pPr>
        <w:keepNext/>
        <w:keepLines/>
        <w:pageBreakBefore/>
        <w:tabs>
          <w:tab w:val="left" w:pos="2268"/>
        </w:tabs>
        <w:ind w:left="2268"/>
        <w:rPr>
          <w:sz w:val="18"/>
          <w:szCs w:val="18"/>
          <w:rFonts w:ascii="Verdana" w:hAnsi="Verdana"/>
        </w:rPr>
      </w:pPr>
      <w:r>
        <w:rPr>
          <w:b/>
          <w:sz w:val="18"/>
          <w:rFonts w:ascii="Verdana" w:hAnsi="Verdana"/>
        </w:rPr>
        <w:t xml:space="preserve">Obrazložitveni memorandum</w:t>
      </w:r>
    </w:p>
    <w:p w:rsidR="00B24606" w:rsidRPr="00176336" w:rsidRDefault="00B24606" w:rsidP="00E17C57">
      <w:pPr>
        <w:keepNext/>
        <w:keepLines/>
        <w:tabs>
          <w:tab w:val="left" w:pos="2268"/>
        </w:tabs>
        <w:ind w:left="2268"/>
        <w:rPr>
          <w:rFonts w:ascii="Verdana" w:hAnsi="Verdana"/>
          <w:kern w:val="2"/>
          <w:sz w:val="18"/>
          <w:szCs w:val="18"/>
        </w:rPr>
      </w:pPr>
    </w:p>
    <w:p w:rsidR="0064439B" w:rsidRPr="00F07731" w:rsidRDefault="00F07731" w:rsidP="00E17C57">
      <w:pPr>
        <w:keepNext/>
        <w:keepLines/>
        <w:tabs>
          <w:tab w:val="left" w:pos="2268"/>
        </w:tabs>
        <w:ind w:left="2268"/>
        <w:rPr>
          <w:b/>
          <w:kern w:val="2"/>
          <w:sz w:val="18"/>
          <w:szCs w:val="18"/>
          <w:rFonts w:ascii="Verdana" w:hAnsi="Verdana"/>
        </w:rPr>
      </w:pPr>
      <w:r>
        <w:rPr>
          <w:b/>
          <w:sz w:val="18"/>
          <w:rFonts w:ascii="Verdana" w:hAnsi="Verdana"/>
        </w:rPr>
        <w:t xml:space="preserve">1.</w:t>
      </w:r>
      <w:r>
        <w:rPr>
          <w:b/>
          <w:sz w:val="18"/>
          <w:rFonts w:ascii="Verdana" w:hAnsi="Verdana"/>
        </w:rPr>
        <w:t xml:space="preserve"> </w:t>
      </w:r>
      <w:r>
        <w:rPr>
          <w:b/>
          <w:sz w:val="18"/>
          <w:rFonts w:ascii="Verdana" w:hAnsi="Verdana"/>
        </w:rPr>
        <w:t xml:space="preserve">Splošno</w:t>
      </w:r>
    </w:p>
    <w:p w:rsidR="00B24606" w:rsidRPr="00176336" w:rsidRDefault="00B24606" w:rsidP="00E17C57">
      <w:pPr>
        <w:keepNext/>
        <w:keepLines/>
        <w:tabs>
          <w:tab w:val="left" w:pos="2268"/>
        </w:tabs>
        <w:ind w:left="2268"/>
        <w:rPr>
          <w:rFonts w:ascii="Verdana" w:hAnsi="Verdana"/>
          <w:kern w:val="2"/>
          <w:sz w:val="18"/>
          <w:szCs w:val="18"/>
        </w:rPr>
      </w:pPr>
    </w:p>
    <w:p w:rsidR="00B428D8" w:rsidRDefault="00B24606" w:rsidP="00E17C57">
      <w:pPr>
        <w:tabs>
          <w:tab w:val="left" w:pos="2268"/>
        </w:tabs>
        <w:ind w:left="2268"/>
        <w:rPr>
          <w:kern w:val="2"/>
          <w:sz w:val="18"/>
          <w:szCs w:val="18"/>
          <w:rFonts w:ascii="Verdana" w:hAnsi="Verdana"/>
        </w:rPr>
      </w:pPr>
      <w:r>
        <w:rPr>
          <w:sz w:val="18"/>
          <w:rFonts w:ascii="Verdana" w:hAnsi="Verdana"/>
        </w:rPr>
        <w:t xml:space="preserve">Uredba o Zakonu o kakovosti blaga v zvezi z zeliščnimi pripravki vsebuje zahteve o zeliščnih pripravkih, namenjene varovanju javnega zdravja.</w:t>
      </w:r>
      <w:r>
        <w:rPr>
          <w:sz w:val="18"/>
          <w:rFonts w:ascii="Verdana" w:hAnsi="Verdana"/>
        </w:rPr>
        <w:t xml:space="preserve"> </w:t>
      </w:r>
      <w:r>
        <w:rPr>
          <w:sz w:val="18"/>
          <w:rFonts w:ascii="Verdana" w:hAnsi="Verdana"/>
        </w:rPr>
        <w:t xml:space="preserve">Na podlagi ocene tveganja v zvezi z rastlinami je bila v uredbo vključena prepoved uporabe nekaterih rastlin.</w:t>
      </w:r>
      <w:r>
        <w:rPr>
          <w:sz w:val="18"/>
          <w:rFonts w:ascii="Verdana" w:hAnsi="Verdana"/>
        </w:rPr>
        <w:t xml:space="preserve"> </w:t>
      </w:r>
      <w:r>
        <w:rPr>
          <w:sz w:val="18"/>
          <w:rFonts w:ascii="Verdana" w:hAnsi="Verdana"/>
        </w:rPr>
        <w:t xml:space="preserve">Poleg tega je bilo odločeno, da se z uredbo prepove uporaba škodljivih snovi iz rastlin in gliv v zeliščnim pripravkih (točka 2 dela A člena I).</w:t>
      </w:r>
      <w:r>
        <w:rPr>
          <w:sz w:val="18"/>
          <w:rFonts w:ascii="Verdana" w:hAnsi="Verdana"/>
        </w:rPr>
        <w:t xml:space="preserve"> </w:t>
      </w:r>
      <w:r>
        <w:rPr>
          <w:sz w:val="18"/>
          <w:rFonts w:ascii="Verdana" w:hAnsi="Verdana"/>
        </w:rPr>
        <w:t xml:space="preserve">To izboljšuje izvrševanje Uredbe o Zakonu o kakovosti blaga v zvezi z zeliščnimi pripravki.</w:t>
      </w:r>
      <w:r>
        <w:rPr>
          <w:sz w:val="18"/>
          <w:rFonts w:ascii="Verdana" w:hAnsi="Verdana"/>
        </w:rPr>
        <w:t xml:space="preserve"> </w:t>
      </w:r>
      <w:r>
        <w:rPr>
          <w:sz w:val="18"/>
          <w:rFonts w:ascii="Verdana" w:hAnsi="Verdana"/>
        </w:rPr>
        <w:t xml:space="preserve">Potrošniki bodo posledično bolje zaščiteni pred proizvodi, ki bi lahko ogrozili njihovo zdravje.</w:t>
      </w:r>
    </w:p>
    <w:p w:rsidR="003B5162" w:rsidRDefault="003B5162" w:rsidP="00E17C57">
      <w:pPr>
        <w:tabs>
          <w:tab w:val="left" w:pos="2268"/>
        </w:tabs>
        <w:ind w:left="2268"/>
        <w:rPr>
          <w:rFonts w:ascii="Verdana" w:hAnsi="Verdana"/>
          <w:kern w:val="2"/>
          <w:sz w:val="18"/>
          <w:szCs w:val="18"/>
        </w:rPr>
      </w:pPr>
    </w:p>
    <w:p w:rsidR="003B5162" w:rsidRPr="003B5162" w:rsidRDefault="003B5162" w:rsidP="00E17C57">
      <w:pPr>
        <w:tabs>
          <w:tab w:val="left" w:pos="2268"/>
        </w:tabs>
        <w:ind w:left="2268"/>
        <w:rPr>
          <w:kern w:val="2"/>
          <w:sz w:val="18"/>
          <w:szCs w:val="18"/>
          <w:rFonts w:ascii="Verdana" w:hAnsi="Verdana"/>
        </w:rPr>
      </w:pPr>
      <w:r>
        <w:rPr>
          <w:sz w:val="18"/>
          <w:rFonts w:ascii="Verdana" w:hAnsi="Verdana"/>
        </w:rPr>
        <w:t xml:space="preserve">Člen 13d Zakona o kakovosti blaga [Warenwet] vključuje klavzulo o vzajemnem priznavanju.</w:t>
      </w:r>
      <w:r>
        <w:rPr>
          <w:sz w:val="18"/>
          <w:rFonts w:ascii="Verdana" w:hAnsi="Verdana"/>
        </w:rPr>
        <w:t xml:space="preserve"> </w:t>
      </w:r>
      <w:r>
        <w:rPr>
          <w:sz w:val="18"/>
          <w:rFonts w:ascii="Verdana" w:hAnsi="Verdana"/>
        </w:rPr>
        <w:t xml:space="preserve">Načelo vzajemnega priznavanja pomeni, da država članica EU na svojem ozemlju ne sme prepovedati prodaje blaga, ki je po zakoniti poti prispelo na trg druge države članice EU, na podlagi dejstva, da blago ni v skladu z nacionalno zakonodajo.</w:t>
      </w:r>
      <w:r>
        <w:rPr>
          <w:sz w:val="18"/>
          <w:rFonts w:ascii="Verdana" w:hAnsi="Verdana"/>
        </w:rPr>
        <w:t xml:space="preserve"> </w:t>
      </w:r>
      <w:r>
        <w:rPr>
          <w:sz w:val="18"/>
          <w:rFonts w:ascii="Verdana" w:hAnsi="Verdana"/>
        </w:rPr>
        <w:t xml:space="preserve">Pomembno je, da blago iz druge države članice EU zagotavlja vsaj enakovredno raven zaščite.</w:t>
      </w:r>
      <w:r>
        <w:rPr>
          <w:sz w:val="18"/>
          <w:rFonts w:ascii="Verdana" w:hAnsi="Verdana"/>
        </w:rPr>
        <w:t xml:space="preserve"> </w:t>
      </w:r>
      <w:r>
        <w:rPr>
          <w:sz w:val="18"/>
          <w:rFonts w:ascii="Verdana" w:hAnsi="Verdana"/>
        </w:rPr>
        <w:t xml:space="preserve">Trgovanje z blagom iz drugih držav članic EU, ki spada v področje uporabe te uredbe, se zato ne sme prepovedati na podlagi zahtev, določenih v tej uredbi.</w:t>
      </w:r>
    </w:p>
    <w:p w:rsidR="003B5162" w:rsidRPr="003B5162" w:rsidRDefault="003B5162" w:rsidP="00E17C57">
      <w:pPr>
        <w:tabs>
          <w:tab w:val="left" w:pos="2268"/>
        </w:tabs>
        <w:ind w:left="2268"/>
        <w:rPr>
          <w:rFonts w:ascii="Verdana" w:hAnsi="Verdana"/>
          <w:kern w:val="2"/>
          <w:sz w:val="18"/>
          <w:szCs w:val="18"/>
        </w:rPr>
      </w:pPr>
    </w:p>
    <w:p w:rsidR="003B5162" w:rsidRDefault="003B5162" w:rsidP="00E17C57">
      <w:pPr>
        <w:tabs>
          <w:tab w:val="left" w:pos="2268"/>
        </w:tabs>
        <w:ind w:left="2268"/>
        <w:rPr>
          <w:kern w:val="2"/>
          <w:sz w:val="18"/>
          <w:szCs w:val="18"/>
          <w:rFonts w:ascii="Verdana" w:hAnsi="Verdana"/>
        </w:rPr>
      </w:pPr>
      <w:r>
        <w:rPr>
          <w:sz w:val="18"/>
          <w:rFonts w:ascii="Verdana" w:hAnsi="Verdana"/>
        </w:rPr>
        <w:t xml:space="preserve">Zahteve glede blaga, določene v tej uredbi, upravičuje težnja po zaščiti potrošnikov pred proizvodi, ki niso varni.</w:t>
      </w:r>
    </w:p>
    <w:p w:rsidR="00E17C57" w:rsidRPr="003B5162" w:rsidRDefault="00E17C57"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b/>
          <w:kern w:val="2"/>
          <w:sz w:val="18"/>
          <w:szCs w:val="18"/>
          <w:rFonts w:ascii="Verdana" w:hAnsi="Verdana"/>
        </w:rPr>
      </w:pPr>
      <w:r>
        <w:rPr>
          <w:b/>
          <w:sz w:val="18"/>
          <w:rFonts w:ascii="Verdana" w:hAnsi="Verdana"/>
        </w:rPr>
        <w:t xml:space="preserve">2.</w:t>
      </w:r>
      <w:r>
        <w:rPr>
          <w:b/>
          <w:sz w:val="18"/>
          <w:rFonts w:ascii="Verdana" w:hAnsi="Verdana"/>
        </w:rPr>
        <w:t xml:space="preserve"> </w:t>
      </w:r>
      <w:r>
        <w:rPr>
          <w:b/>
          <w:sz w:val="18"/>
          <w:rFonts w:ascii="Verdana" w:hAnsi="Verdana"/>
        </w:rPr>
        <w:t xml:space="preserve">Vpliv na regulativno breme</w:t>
      </w:r>
    </w:p>
    <w:p w:rsidR="00B428D8"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kern w:val="2"/>
          <w:sz w:val="18"/>
          <w:szCs w:val="18"/>
          <w:rFonts w:ascii="Verdana" w:hAnsi="Verdana"/>
        </w:rPr>
      </w:pPr>
      <w:r>
        <w:rPr>
          <w:sz w:val="18"/>
          <w:rFonts w:ascii="Verdana" w:hAnsi="Verdana"/>
        </w:rPr>
        <w:t xml:space="preserve">Ta uredba na poslovno skupnost predvidoma ne bo imela bistvenega regulativnega vpliva.</w:t>
      </w:r>
      <w:r>
        <w:rPr>
          <w:sz w:val="18"/>
          <w:rFonts w:ascii="Verdana" w:hAnsi="Verdana"/>
        </w:rPr>
        <w:t xml:space="preserve"> </w:t>
      </w:r>
      <w:r>
        <w:rPr>
          <w:sz w:val="18"/>
          <w:rFonts w:ascii="Verdana" w:hAnsi="Verdana"/>
        </w:rPr>
        <w:t xml:space="preserve">Informacije iz sektorja kažejo na to, da je količina proizvodov, ki jih bo treba prilagoditi, omejena.</w:t>
      </w:r>
      <w:r>
        <w:rPr>
          <w:sz w:val="18"/>
          <w:rFonts w:ascii="Verdana" w:hAnsi="Verdana"/>
        </w:rPr>
        <w:t xml:space="preserve"> </w:t>
      </w:r>
      <w:r>
        <w:rPr>
          <w:sz w:val="18"/>
          <w:rFonts w:ascii="Verdana" w:hAnsi="Verdana"/>
        </w:rPr>
        <w:t xml:space="preserve">Zaradi dolgega obdobja, ki je na voljo za pripravo na to spremembo, ter številnih posvetovanj z deležniki so imeli proizvajalci veliko časa za uskladitev svojih proizvodov z novimi zahtevami.</w:t>
      </w:r>
      <w:r>
        <w:rPr>
          <w:sz w:val="18"/>
          <w:rFonts w:ascii="Verdana" w:hAnsi="Verdana"/>
        </w:rPr>
        <w:t xml:space="preserve"> </w:t>
      </w:r>
      <w:r>
        <w:rPr>
          <w:sz w:val="18"/>
          <w:rFonts w:ascii="Verdana" w:hAnsi="Verdana"/>
        </w:rPr>
        <w:t xml:space="preserve">Stroškov obveščanja ni.</w:t>
      </w:r>
      <w:r>
        <w:rPr>
          <w:sz w:val="18"/>
          <w:rFonts w:ascii="Verdana" w:hAnsi="Verdana"/>
        </w:rPr>
        <w:t xml:space="preserve"> </w:t>
      </w:r>
      <w:r>
        <w:rPr>
          <w:sz w:val="18"/>
          <w:rFonts w:ascii="Verdana" w:hAnsi="Verdana"/>
        </w:rPr>
        <w:t xml:space="preserve">Nizozemski svetovalni odbor za regulativno breme [ATR] podpira analizo in ugotovitve glede vpliva na regulativno breme.</w:t>
      </w:r>
    </w:p>
    <w:p w:rsidR="00B428D8" w:rsidRDefault="00B428D8"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b/>
          <w:kern w:val="2"/>
          <w:sz w:val="18"/>
          <w:szCs w:val="18"/>
          <w:rFonts w:ascii="Verdana" w:hAnsi="Verdana"/>
        </w:rPr>
      </w:pPr>
      <w:r>
        <w:rPr>
          <w:b/>
          <w:sz w:val="18"/>
          <w:rFonts w:ascii="Verdana" w:hAnsi="Verdana"/>
        </w:rPr>
        <w:t xml:space="preserve">3.</w:t>
      </w:r>
      <w:r>
        <w:rPr>
          <w:b/>
          <w:sz w:val="18"/>
          <w:rFonts w:ascii="Verdana" w:hAnsi="Verdana"/>
        </w:rPr>
        <w:t xml:space="preserve"> </w:t>
      </w:r>
      <w:r>
        <w:rPr>
          <w:b/>
          <w:sz w:val="18"/>
          <w:rFonts w:ascii="Verdana" w:hAnsi="Verdana"/>
        </w:rPr>
        <w:t xml:space="preserve">Redni posvet o Zakonu o kakovosti blaga</w:t>
      </w:r>
    </w:p>
    <w:p w:rsidR="00B428D8" w:rsidRPr="008F0589"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kern w:val="2"/>
          <w:sz w:val="18"/>
          <w:szCs w:val="18"/>
          <w:rFonts w:ascii="Verdana" w:hAnsi="Verdana"/>
        </w:rPr>
      </w:pPr>
      <w:r>
        <w:rPr>
          <w:sz w:val="18"/>
          <w:rFonts w:ascii="Verdana" w:hAnsi="Verdana"/>
        </w:rPr>
        <w:t xml:space="preserve">Osnutek te uredbe je bil predložen udeležencem skupine za posvetovanje o Zakonu o kakovosti blaga [ROW]</w:t>
      </w:r>
      <w:r>
        <w:rPr>
          <w:rStyle w:val="FootnoteReference"/>
          <w:rFonts w:ascii="Verdana" w:hAnsi="Verdana"/>
          <w:kern w:val="2"/>
          <w:sz w:val="18"/>
        </w:rPr>
        <w:footnoteReference w:id="1"/>
      </w:r>
      <w:r>
        <w:rPr>
          <w:sz w:val="18"/>
          <w:rFonts w:ascii="Verdana" w:hAnsi="Verdana"/>
        </w:rPr>
        <w:t xml:space="preserve">.</w:t>
      </w:r>
      <w:r>
        <w:rPr>
          <w:sz w:val="18"/>
          <w:rFonts w:ascii="Verdana" w:hAnsi="Verdana"/>
        </w:rPr>
        <w:t xml:space="preserve"> </w:t>
      </w:r>
      <w:r>
        <w:rPr>
          <w:sz w:val="18"/>
          <w:rFonts w:ascii="Verdana" w:hAnsi="Verdana"/>
        </w:rPr>
        <w:t xml:space="preserve">Med razpravo se je izkazalo, da prepoved prisotnosti sinefrina v zeliščnih pripravkih ni mogoča, saj je ta naravna snov prisotna tudi v živilih (npr. v pomarančni marmeladi).</w:t>
      </w:r>
      <w:r>
        <w:rPr>
          <w:sz w:val="18"/>
          <w:rFonts w:ascii="Verdana" w:hAnsi="Verdana"/>
        </w:rPr>
        <w:t xml:space="preserve"> </w:t>
      </w:r>
      <w:r>
        <w:rPr>
          <w:sz w:val="18"/>
          <w:rFonts w:ascii="Verdana" w:hAnsi="Verdana"/>
        </w:rPr>
        <w:t xml:space="preserve">Da bi zagotovili, da potrošniki ne bi bili izpostavljeni ravnem sinefrina, ki so škodljive za njihovo zdravje, sta bila nizozemski nacionalni inštitut za javno zdravje in okolje [RIVM] ter urad za ocenjevanje tveganja in raziskave [BuRO] nizozemskega organa za varnost živil in potrošniških proizvodov [NVWA] pozvana k predložitvi priporočil glede najvišje vsebnosti sinefrina v zeliščnih pripravkih.</w:t>
      </w:r>
      <w:r>
        <w:rPr>
          <w:sz w:val="18"/>
          <w:rFonts w:ascii="Verdana" w:hAnsi="Verdana"/>
        </w:rPr>
        <w:t xml:space="preserve"> </w:t>
      </w:r>
      <w:r>
        <w:rPr>
          <w:sz w:val="18"/>
          <w:rFonts w:ascii="Verdana" w:hAnsi="Verdana"/>
        </w:rPr>
        <w:t xml:space="preserve">Na podlagi poročila inštituta RIVM</w:t>
      </w:r>
      <w:r>
        <w:rPr>
          <w:rStyle w:val="FootnoteReference"/>
          <w:rFonts w:ascii="Verdana" w:hAnsi="Verdana"/>
          <w:kern w:val="2"/>
          <w:sz w:val="18"/>
        </w:rPr>
        <w:footnoteReference w:id="2"/>
      </w:r>
      <w:r>
        <w:rPr>
          <w:sz w:val="18"/>
          <w:rFonts w:ascii="Verdana" w:hAnsi="Verdana"/>
        </w:rPr>
        <w:t xml:space="preserve"> je urad BuRO</w:t>
      </w:r>
      <w:r>
        <w:rPr>
          <w:rStyle w:val="FootnoteReference"/>
          <w:rFonts w:ascii="Verdana" w:hAnsi="Verdana"/>
          <w:kern w:val="2"/>
          <w:sz w:val="18"/>
        </w:rPr>
        <w:footnoteReference w:id="3"/>
      </w:r>
      <w:r>
        <w:rPr>
          <w:sz w:val="18"/>
          <w:rFonts w:ascii="Verdana" w:hAnsi="Verdana"/>
        </w:rPr>
        <w:t xml:space="preserve"> priporočil, naj se največja količina sinefrina v zeliščnih pripravkih v navodilih za uporabo omeji na dnevni vnos 27 mg para-sinefrina.</w:t>
      </w:r>
      <w:r>
        <w:rPr>
          <w:sz w:val="18"/>
          <w:rFonts w:ascii="Verdana" w:hAnsi="Verdana"/>
        </w:rPr>
        <w:t xml:space="preserve"> </w:t>
      </w:r>
      <w:r>
        <w:rPr>
          <w:sz w:val="18"/>
          <w:rFonts w:ascii="Verdana" w:hAnsi="Verdana"/>
        </w:rPr>
        <w:t xml:space="preserve">Uporaba meta- in orto-sinefrina v zeliščnih pripravkih ni dovoljena.</w:t>
      </w:r>
    </w:p>
    <w:p w:rsidR="008E734A" w:rsidRDefault="00586978" w:rsidP="00E17C57">
      <w:pPr>
        <w:tabs>
          <w:tab w:val="left" w:pos="2268"/>
        </w:tabs>
        <w:ind w:left="2268"/>
        <w:rPr>
          <w:kern w:val="2"/>
          <w:sz w:val="18"/>
          <w:szCs w:val="18"/>
          <w:rFonts w:ascii="Verdana" w:hAnsi="Verdana"/>
        </w:rPr>
      </w:pPr>
      <w:r>
        <w:rPr>
          <w:sz w:val="18"/>
          <w:rFonts w:ascii="Verdana" w:hAnsi="Verdana"/>
        </w:rPr>
        <w:t xml:space="preserve">Skupina ROW poleg tega še vedno razpravlja o ustrezni razlagi pojma „derivati“.</w:t>
      </w:r>
      <w:r>
        <w:rPr>
          <w:sz w:val="18"/>
          <w:rFonts w:ascii="Verdana" w:hAnsi="Verdana"/>
        </w:rPr>
        <w:t xml:space="preserve"> </w:t>
      </w:r>
      <w:r>
        <w:rPr>
          <w:sz w:val="18"/>
          <w:rFonts w:ascii="Verdana" w:hAnsi="Verdana"/>
        </w:rPr>
        <w:t xml:space="preserve">Pojavilo se je vprašanje, ali je ta dodatek dejansko potreben in kako ga opredeliti v primeru, da je.</w:t>
      </w:r>
      <w:r>
        <w:rPr>
          <w:sz w:val="18"/>
          <w:rFonts w:ascii="Verdana" w:hAnsi="Verdana"/>
        </w:rPr>
        <w:t xml:space="preserve"> </w:t>
      </w:r>
      <w:r>
        <w:rPr>
          <w:sz w:val="18"/>
          <w:rFonts w:ascii="Verdana" w:hAnsi="Verdana"/>
        </w:rPr>
        <w:t xml:space="preserve">Zadeva je bila proučena, na podlagi dejstva, da lahko obstaja veliko različic škodljivih snovi, pa je bilo odločeno, da se bo pojem uporabljal tudi v prihodnje.</w:t>
      </w:r>
      <w:r>
        <w:rPr>
          <w:sz w:val="18"/>
          <w:rFonts w:ascii="Verdana" w:hAnsi="Verdana"/>
        </w:rPr>
        <w:t xml:space="preserve"> </w:t>
      </w:r>
      <w:r>
        <w:rPr>
          <w:sz w:val="18"/>
          <w:rFonts w:ascii="Verdana" w:hAnsi="Verdana"/>
        </w:rPr>
        <w:t xml:space="preserve">Gre za snovi, pridobljene iz druge snovi.</w:t>
      </w:r>
    </w:p>
    <w:p w:rsidR="00A27E62" w:rsidRDefault="00A27E62" w:rsidP="00E17C57">
      <w:pPr>
        <w:tabs>
          <w:tab w:val="left" w:pos="2268"/>
        </w:tabs>
        <w:ind w:left="2268"/>
        <w:rPr>
          <w:rFonts w:ascii="Verdana" w:hAnsi="Verdana"/>
          <w:kern w:val="2"/>
          <w:sz w:val="18"/>
          <w:szCs w:val="18"/>
        </w:rPr>
      </w:pPr>
    </w:p>
    <w:p w:rsidR="00A27E62" w:rsidRDefault="00F07731" w:rsidP="00E17C57">
      <w:pPr>
        <w:keepNext/>
        <w:keepLines/>
        <w:tabs>
          <w:tab w:val="left" w:pos="2268"/>
        </w:tabs>
        <w:ind w:left="2268"/>
        <w:rPr>
          <w:b/>
          <w:kern w:val="2"/>
          <w:sz w:val="18"/>
          <w:szCs w:val="18"/>
          <w:rFonts w:ascii="Verdana" w:hAnsi="Verdana"/>
        </w:rPr>
      </w:pPr>
      <w:r>
        <w:rPr>
          <w:b/>
          <w:sz w:val="18"/>
          <w:rFonts w:ascii="Verdana" w:hAnsi="Verdana"/>
        </w:rPr>
        <w:t xml:space="preserve">4.</w:t>
      </w:r>
      <w:r>
        <w:rPr>
          <w:b/>
          <w:sz w:val="18"/>
          <w:rFonts w:ascii="Verdana" w:hAnsi="Verdana"/>
        </w:rPr>
        <w:t xml:space="preserve"> </w:t>
      </w:r>
      <w:r>
        <w:rPr>
          <w:b/>
          <w:sz w:val="18"/>
          <w:rFonts w:ascii="Verdana" w:hAnsi="Verdana"/>
        </w:rPr>
        <w:t xml:space="preserve">Izvršljivost in izvedljivost</w:t>
      </w:r>
    </w:p>
    <w:p w:rsidR="00E17C57" w:rsidRDefault="00E17C57" w:rsidP="00E17C57">
      <w:pPr>
        <w:keepNext/>
        <w:keepLines/>
        <w:tabs>
          <w:tab w:val="left" w:pos="2268"/>
        </w:tabs>
        <w:ind w:left="2268"/>
        <w:rPr>
          <w:rFonts w:ascii="Verdana" w:hAnsi="Verdana"/>
          <w:kern w:val="2"/>
          <w:sz w:val="18"/>
          <w:szCs w:val="18"/>
        </w:rPr>
      </w:pPr>
    </w:p>
    <w:p w:rsidR="00A27E62" w:rsidRDefault="00A27E62" w:rsidP="00E17C57">
      <w:pPr>
        <w:tabs>
          <w:tab w:val="left" w:pos="2268"/>
        </w:tabs>
        <w:ind w:left="2268"/>
        <w:rPr>
          <w:kern w:val="2"/>
          <w:sz w:val="18"/>
          <w:szCs w:val="18"/>
          <w:rFonts w:ascii="Verdana" w:hAnsi="Verdana"/>
        </w:rPr>
      </w:pPr>
      <w:r>
        <w:rPr>
          <w:sz w:val="18"/>
          <w:rFonts w:ascii="Verdana" w:hAnsi="Verdana"/>
        </w:rPr>
        <w:t xml:space="preserve">Organ NVWA je ta osnutek uredbe ocenil glede izvršljivosti, izvedljivosti in možnosti goljufij.</w:t>
      </w:r>
      <w:r>
        <w:rPr>
          <w:sz w:val="18"/>
          <w:rFonts w:ascii="Verdana" w:hAnsi="Verdana"/>
        </w:rPr>
        <w:t xml:space="preserve"> </w:t>
      </w:r>
      <w:r>
        <w:rPr>
          <w:sz w:val="18"/>
          <w:rFonts w:ascii="Verdana" w:hAnsi="Verdana"/>
        </w:rPr>
        <w:t xml:space="preserve">Organ NVWA meni, da je osnutek uredbe izvršljiv in izvedljiv.</w:t>
      </w:r>
      <w:r>
        <w:rPr>
          <w:sz w:val="18"/>
          <w:rFonts w:ascii="Verdana" w:hAnsi="Verdana"/>
        </w:rPr>
        <w:t xml:space="preserve"> </w:t>
      </w:r>
      <w:r>
        <w:rPr>
          <w:sz w:val="18"/>
          <w:rFonts w:ascii="Verdana" w:hAnsi="Verdana"/>
        </w:rPr>
        <w:t xml:space="preserve">Obravnava osnutka uredbe glede možnosti goljufij ni privedla do podaje kakršnih koli pripomb.</w:t>
      </w:r>
    </w:p>
    <w:p w:rsidR="00586978" w:rsidRDefault="00586978" w:rsidP="00E17C57">
      <w:pPr>
        <w:tabs>
          <w:tab w:val="left" w:pos="2268"/>
        </w:tabs>
        <w:ind w:left="2268"/>
        <w:rPr>
          <w:rFonts w:ascii="Verdana" w:hAnsi="Verdana"/>
          <w:kern w:val="2"/>
          <w:sz w:val="18"/>
          <w:szCs w:val="18"/>
        </w:rPr>
      </w:pPr>
    </w:p>
    <w:p w:rsidR="008E734A" w:rsidRDefault="00F07731" w:rsidP="00E17C57">
      <w:pPr>
        <w:keepNext/>
        <w:keepLines/>
        <w:tabs>
          <w:tab w:val="left" w:pos="2268"/>
        </w:tabs>
        <w:ind w:left="2268"/>
        <w:rPr>
          <w:b/>
          <w:kern w:val="2"/>
          <w:sz w:val="18"/>
          <w:szCs w:val="18"/>
          <w:rFonts w:ascii="Verdana" w:hAnsi="Verdana"/>
        </w:rPr>
      </w:pPr>
      <w:r>
        <w:rPr>
          <w:b/>
          <w:sz w:val="18"/>
          <w:rFonts w:ascii="Verdana" w:hAnsi="Verdana"/>
        </w:rPr>
        <w:t xml:space="preserve">5.</w:t>
      </w:r>
      <w:r>
        <w:rPr>
          <w:b/>
          <w:sz w:val="18"/>
          <w:rFonts w:ascii="Verdana" w:hAnsi="Verdana"/>
        </w:rPr>
        <w:t xml:space="preserve"> </w:t>
      </w:r>
      <w:r>
        <w:rPr>
          <w:b/>
          <w:sz w:val="18"/>
          <w:rFonts w:ascii="Verdana" w:hAnsi="Verdana"/>
        </w:rPr>
        <w:t xml:space="preserve">Predhodni pregled</w:t>
      </w:r>
    </w:p>
    <w:p w:rsidR="00E17C57" w:rsidRDefault="00E17C57" w:rsidP="00E17C57">
      <w:pPr>
        <w:keepNext/>
        <w:keepLines/>
        <w:tabs>
          <w:tab w:val="left" w:pos="2268"/>
        </w:tabs>
        <w:ind w:left="2268"/>
        <w:rPr>
          <w:rFonts w:ascii="Verdana" w:hAnsi="Verdana"/>
          <w:kern w:val="2"/>
          <w:sz w:val="18"/>
          <w:szCs w:val="18"/>
        </w:rPr>
      </w:pPr>
    </w:p>
    <w:p w:rsidR="008E734A" w:rsidRPr="008E734A" w:rsidRDefault="008E734A" w:rsidP="00E17C57">
      <w:pPr>
        <w:tabs>
          <w:tab w:val="left" w:pos="2268"/>
        </w:tabs>
        <w:ind w:left="2268"/>
        <w:rPr>
          <w:kern w:val="2"/>
          <w:sz w:val="18"/>
          <w:szCs w:val="18"/>
          <w:rFonts w:ascii="Verdana" w:hAnsi="Verdana"/>
        </w:rPr>
      </w:pPr>
      <w:r>
        <w:rPr>
          <w:sz w:val="18"/>
          <w:rFonts w:ascii="Verdana" w:hAnsi="Verdana"/>
        </w:rPr>
        <w:t xml:space="preserve">V skladu s členom 32b(2) Zakona o kakovosti blaga je bil osnutek tega splošnega upravnega predpisa dne </w:t>
      </w:r>
      <w:r>
        <w:rPr>
          <w:sz w:val="18"/>
          <w:b/>
          <w:rFonts w:ascii="Verdana" w:hAnsi="Verdana"/>
        </w:rPr>
        <w:t xml:space="preserve">(datum)</w:t>
      </w:r>
      <w:r>
        <w:rPr>
          <w:sz w:val="18"/>
          <w:rFonts w:ascii="Verdana" w:hAnsi="Verdana"/>
        </w:rPr>
        <w:t xml:space="preserve"> posredovan obema domovoma nizozemskega parlamenta (parlamentarni dokumenti </w:t>
      </w:r>
      <w:r>
        <w:rPr>
          <w:sz w:val="18"/>
          <w:b/>
          <w:rFonts w:ascii="Verdana" w:hAnsi="Verdana"/>
        </w:rPr>
        <w:t xml:space="preserve">[št.]</w:t>
      </w:r>
      <w:r>
        <w:rPr>
          <w:sz w:val="18"/>
          <w:rFonts w:ascii="Verdana" w:hAnsi="Verdana"/>
        </w:rPr>
        <w:t xml:space="preserve">).</w:t>
      </w:r>
    </w:p>
    <w:p w:rsidR="00610A2C" w:rsidRDefault="00610A2C" w:rsidP="00E17C57">
      <w:pPr>
        <w:tabs>
          <w:tab w:val="left" w:pos="2268"/>
        </w:tabs>
        <w:ind w:left="2268"/>
        <w:rPr>
          <w:rFonts w:ascii="Verdana" w:hAnsi="Verdana"/>
          <w:kern w:val="2"/>
          <w:sz w:val="18"/>
          <w:szCs w:val="18"/>
        </w:rPr>
      </w:pPr>
    </w:p>
    <w:p w:rsidR="00B428D8" w:rsidRPr="008F0589" w:rsidRDefault="00F07731" w:rsidP="00E17C57">
      <w:pPr>
        <w:keepNext/>
        <w:keepLines/>
        <w:tabs>
          <w:tab w:val="left" w:pos="2268"/>
        </w:tabs>
        <w:ind w:left="2268"/>
        <w:rPr>
          <w:kern w:val="2"/>
          <w:sz w:val="18"/>
          <w:szCs w:val="18"/>
          <w:rFonts w:ascii="Verdana" w:hAnsi="Verdana"/>
        </w:rPr>
      </w:pPr>
      <w:r>
        <w:rPr>
          <w:b/>
          <w:sz w:val="18"/>
          <w:rFonts w:ascii="Verdana" w:hAnsi="Verdana"/>
        </w:rPr>
        <w:t xml:space="preserve">6.</w:t>
      </w:r>
      <w:r>
        <w:rPr>
          <w:b/>
          <w:sz w:val="18"/>
          <w:rFonts w:ascii="Verdana" w:hAnsi="Verdana"/>
        </w:rPr>
        <w:t xml:space="preserve"> </w:t>
      </w:r>
      <w:r>
        <w:rPr>
          <w:b/>
          <w:sz w:val="18"/>
          <w:rFonts w:ascii="Verdana" w:hAnsi="Verdana"/>
        </w:rPr>
        <w:t xml:space="preserve">Uradno obvestilo</w:t>
      </w:r>
    </w:p>
    <w:p w:rsidR="00E17C57" w:rsidRDefault="00E17C57" w:rsidP="00E17C57">
      <w:pPr>
        <w:keepNext/>
        <w:keepLines/>
        <w:tabs>
          <w:tab w:val="left" w:pos="2268"/>
        </w:tabs>
        <w:ind w:left="2268"/>
        <w:rPr>
          <w:rFonts w:ascii="Verdana" w:hAnsi="Verdana"/>
          <w:sz w:val="18"/>
          <w:szCs w:val="18"/>
        </w:rPr>
      </w:pPr>
    </w:p>
    <w:p w:rsidR="00B428D8" w:rsidRDefault="009345F8" w:rsidP="00E17C57">
      <w:pPr>
        <w:tabs>
          <w:tab w:val="left" w:pos="2268"/>
        </w:tabs>
        <w:ind w:left="2268"/>
        <w:rPr>
          <w:sz w:val="18"/>
          <w:szCs w:val="18"/>
          <w:rFonts w:ascii="Verdana" w:hAnsi="Verdana"/>
        </w:rPr>
      </w:pPr>
      <w:r>
        <w:rPr>
          <w:sz w:val="18"/>
          <w:rFonts w:ascii="Verdana" w:hAnsi="Verdana"/>
        </w:rPr>
        <w:t xml:space="preserve">Osnutek te uredbe je bil dne [...] posredovan Evropski komisiji v skladu s členom 5(1) Direktive (EU) 2015/1535</w:t>
      </w:r>
      <w:r>
        <w:rPr>
          <w:rStyle w:val="FootnoteReference"/>
          <w:rFonts w:ascii="Verdana" w:hAnsi="Verdana"/>
          <w:sz w:val="18"/>
        </w:rPr>
        <w:footnoteReference w:id="4"/>
      </w:r>
      <w:r>
        <w:rPr>
          <w:sz w:val="18"/>
          <w:rFonts w:ascii="Verdana" w:hAnsi="Verdana"/>
        </w:rPr>
        <w:t xml:space="preserve">.</w:t>
      </w:r>
      <w:r>
        <w:rPr>
          <w:sz w:val="18"/>
          <w:rFonts w:ascii="Verdana" w:hAnsi="Verdana"/>
        </w:rPr>
        <w:t xml:space="preserve"> </w:t>
      </w:r>
      <w:r>
        <w:rPr>
          <w:sz w:val="18"/>
          <w:rFonts w:ascii="Verdana" w:hAnsi="Verdana"/>
        </w:rPr>
        <w:t xml:space="preserve">Priglasitev Evropski komisiji je potrebna, ker člen I te uredbe vsebuje tehnične predpise, kot so opredeljeni v Direktivi (EU) 2015/1535.</w:t>
      </w:r>
      <w:r>
        <w:rPr>
          <w:sz w:val="18"/>
          <w:rFonts w:ascii="Verdana" w:hAnsi="Verdana"/>
        </w:rPr>
        <w:t xml:space="preserve"> </w:t>
      </w:r>
      <w:r>
        <w:rPr>
          <w:sz w:val="18"/>
          <w:rFonts w:ascii="Verdana" w:hAnsi="Verdana"/>
        </w:rPr>
        <w:t xml:space="preserve">Po priglasitvi […].</w:t>
      </w:r>
    </w:p>
    <w:p w:rsidR="00E17C57" w:rsidRPr="00BB02A9" w:rsidRDefault="00E17C57" w:rsidP="00E17C57">
      <w:pPr>
        <w:tabs>
          <w:tab w:val="left" w:pos="2268"/>
        </w:tabs>
        <w:ind w:left="2268"/>
        <w:rPr>
          <w:rFonts w:ascii="Verdana" w:hAnsi="Verdana"/>
          <w:kern w:val="2"/>
          <w:sz w:val="18"/>
          <w:szCs w:val="18"/>
        </w:rPr>
      </w:pPr>
    </w:p>
    <w:p w:rsidR="00B428D8" w:rsidRPr="008F0589" w:rsidRDefault="00B428D8" w:rsidP="00E17C57">
      <w:pPr>
        <w:tabs>
          <w:tab w:val="left" w:pos="2268"/>
        </w:tabs>
        <w:ind w:left="2268"/>
        <w:rPr>
          <w:kern w:val="2"/>
          <w:sz w:val="18"/>
          <w:szCs w:val="18"/>
          <w:rFonts w:ascii="Verdana" w:hAnsi="Verdana"/>
        </w:rPr>
      </w:pPr>
      <w:r>
        <w:rPr>
          <w:sz w:val="18"/>
          <w:rFonts w:ascii="Verdana" w:hAnsi="Verdana"/>
        </w:rPr>
        <w:t xml:space="preserve">Količinske omejitve pri uvozu ali ukrepe z enakim učinkom v smislu člena 34 Pogodbe o delovanju Evropske unije, ki jih vsebuje ta osnutek uredbe, opravičujejo interesi javnega zdravja v skladu s členom 36 Pogodbe.</w:t>
      </w:r>
    </w:p>
    <w:p w:rsidR="005E47AF" w:rsidRPr="005C6A30" w:rsidRDefault="005E47AF" w:rsidP="00E17C57">
      <w:pPr>
        <w:tabs>
          <w:tab w:val="left" w:pos="2268"/>
        </w:tabs>
        <w:ind w:left="2268"/>
        <w:rPr>
          <w:rFonts w:ascii="Verdana" w:hAnsi="Verdana"/>
          <w:kern w:val="2"/>
          <w:sz w:val="18"/>
          <w:szCs w:val="18"/>
        </w:rPr>
      </w:pPr>
    </w:p>
    <w:p w:rsidR="00A82D46" w:rsidRPr="005C6A30" w:rsidRDefault="00F07731" w:rsidP="00E17C57">
      <w:pPr>
        <w:keepNext/>
        <w:keepLines/>
        <w:tabs>
          <w:tab w:val="left" w:pos="2268"/>
        </w:tabs>
        <w:ind w:left="2268"/>
        <w:rPr>
          <w:b/>
          <w:kern w:val="2"/>
          <w:sz w:val="18"/>
          <w:szCs w:val="18"/>
          <w:rFonts w:ascii="Verdana" w:hAnsi="Verdana"/>
        </w:rPr>
      </w:pPr>
      <w:r>
        <w:rPr>
          <w:b/>
          <w:sz w:val="18"/>
          <w:rFonts w:ascii="Verdana" w:hAnsi="Verdana"/>
        </w:rPr>
        <w:t xml:space="preserve">7.</w:t>
      </w:r>
      <w:r>
        <w:rPr>
          <w:b/>
          <w:sz w:val="18"/>
          <w:rFonts w:ascii="Verdana" w:hAnsi="Verdana"/>
        </w:rPr>
        <w:t xml:space="preserve"> </w:t>
      </w:r>
      <w:r>
        <w:rPr>
          <w:b/>
          <w:sz w:val="18"/>
          <w:rFonts w:ascii="Verdana" w:hAnsi="Verdana"/>
        </w:rPr>
        <w:t xml:space="preserve">Razlaga po členih</w:t>
      </w:r>
    </w:p>
    <w:p w:rsidR="00F120A1" w:rsidRPr="005C6A30" w:rsidRDefault="00F120A1" w:rsidP="00E17C57">
      <w:pPr>
        <w:keepNext/>
        <w:keepLines/>
        <w:tabs>
          <w:tab w:val="left" w:pos="2268"/>
        </w:tabs>
        <w:ind w:left="2268"/>
        <w:rPr>
          <w:rFonts w:ascii="Verdana" w:hAnsi="Verdana"/>
          <w:kern w:val="2"/>
          <w:sz w:val="18"/>
          <w:szCs w:val="18"/>
        </w:rPr>
      </w:pPr>
    </w:p>
    <w:p w:rsidR="0095665C" w:rsidRPr="00AD2E4A" w:rsidRDefault="0095665C" w:rsidP="00E17C57">
      <w:pPr>
        <w:keepNext/>
        <w:keepLines/>
        <w:tabs>
          <w:tab w:val="left" w:pos="2268"/>
        </w:tabs>
        <w:ind w:left="2268"/>
        <w:rPr>
          <w:i/>
          <w:kern w:val="2"/>
          <w:sz w:val="18"/>
          <w:szCs w:val="18"/>
          <w:rFonts w:ascii="Verdana" w:hAnsi="Verdana"/>
        </w:rPr>
      </w:pPr>
      <w:r>
        <w:rPr>
          <w:i/>
          <w:sz w:val="18"/>
          <w:rFonts w:ascii="Verdana" w:hAnsi="Verdana"/>
        </w:rPr>
        <w:t xml:space="preserve">Točki 1 in 4 dela A in točka 2 dela D člena I</w:t>
      </w:r>
    </w:p>
    <w:p w:rsidR="00670294" w:rsidRDefault="00FC0162" w:rsidP="00E17C57">
      <w:pPr>
        <w:tabs>
          <w:tab w:val="left" w:pos="2268"/>
        </w:tabs>
        <w:ind w:left="2268"/>
        <w:rPr>
          <w:kern w:val="2"/>
          <w:sz w:val="18"/>
          <w:szCs w:val="18"/>
          <w:rFonts w:ascii="Verdana" w:hAnsi="Verdana"/>
        </w:rPr>
      </w:pPr>
      <w:r>
        <w:rPr>
          <w:sz w:val="18"/>
          <w:rFonts w:ascii="Verdana" w:hAnsi="Verdana"/>
        </w:rPr>
        <w:t xml:space="preserve">Ta sprememba izboljšuje izvršljivost.</w:t>
      </w:r>
      <w:r>
        <w:rPr>
          <w:sz w:val="18"/>
          <w:rFonts w:ascii="Verdana" w:hAnsi="Verdana"/>
        </w:rPr>
        <w:t xml:space="preserve"> </w:t>
      </w:r>
      <w:r>
        <w:rPr>
          <w:sz w:val="18"/>
          <w:rFonts w:ascii="Verdana" w:hAnsi="Verdana"/>
        </w:rPr>
        <w:t xml:space="preserve">Pred začetkom veljavnosti te uredbe se je člen 4(1) Uredbe o Zakonu o kakovosti blaga v zvezi z zeliščnimi pripravki glasil:</w:t>
      </w:r>
    </w:p>
    <w:p w:rsidR="00670294" w:rsidRPr="009345F8" w:rsidRDefault="00670294" w:rsidP="00E17C57">
      <w:pPr>
        <w:tabs>
          <w:tab w:val="left" w:pos="2268"/>
        </w:tabs>
        <w:ind w:left="2268"/>
        <w:rPr>
          <w:i/>
          <w:kern w:val="2"/>
          <w:sz w:val="18"/>
          <w:szCs w:val="18"/>
          <w:rFonts w:ascii="Verdana" w:hAnsi="Verdana"/>
        </w:rPr>
      </w:pPr>
      <w:r>
        <w:rPr>
          <w:i/>
          <w:sz w:val="18"/>
          <w:rFonts w:ascii="Verdana" w:hAnsi="Verdana"/>
        </w:rPr>
        <w:t xml:space="preserve">Količina strupenih pirolizidnih alkaloidov v zeliščnih pripravkih iz snovi, ki jih v celoti ali deloma sestavljajo rastline iz dela I Priloge ali druge rastline, ki domnevno vsebujejo strupene pirolizidne alkaloide, ne presega 1 µg na kilogram oziroma liter.</w:t>
      </w:r>
    </w:p>
    <w:p w:rsidR="00670294" w:rsidRDefault="00670294" w:rsidP="00E17C57">
      <w:pPr>
        <w:tabs>
          <w:tab w:val="left" w:pos="2268"/>
        </w:tabs>
        <w:ind w:left="2268"/>
        <w:rPr>
          <w:rFonts w:ascii="Verdana" w:hAnsi="Verdana"/>
          <w:kern w:val="2"/>
          <w:sz w:val="18"/>
          <w:szCs w:val="18"/>
        </w:rPr>
      </w:pPr>
    </w:p>
    <w:p w:rsidR="00670294" w:rsidRDefault="00670294" w:rsidP="00E17C57">
      <w:pPr>
        <w:tabs>
          <w:tab w:val="left" w:pos="2268"/>
        </w:tabs>
        <w:ind w:left="2268"/>
        <w:rPr>
          <w:kern w:val="2"/>
          <w:sz w:val="18"/>
          <w:szCs w:val="18"/>
          <w:rFonts w:ascii="Verdana" w:hAnsi="Verdana"/>
        </w:rPr>
      </w:pPr>
      <w:r>
        <w:rPr>
          <w:sz w:val="18"/>
          <w:rFonts w:ascii="Verdana" w:hAnsi="Verdana"/>
        </w:rPr>
        <w:t xml:space="preserve">Na podlagi tega besedila uradnik, odgovoren za nadzor, ne more določiti prekomerne ravni strupenih pirolizidnih alkaloidov v zeliščnih pripravkih.</w:t>
      </w:r>
      <w:r>
        <w:rPr>
          <w:sz w:val="18"/>
          <w:rFonts w:ascii="Verdana" w:hAnsi="Verdana"/>
        </w:rPr>
        <w:t xml:space="preserve"> </w:t>
      </w:r>
      <w:r>
        <w:rPr>
          <w:sz w:val="18"/>
          <w:rFonts w:ascii="Verdana" w:hAnsi="Verdana"/>
        </w:rPr>
        <w:t xml:space="preserve">Uradnik mora poleg tega dokazati njihov izvor.</w:t>
      </w:r>
      <w:r>
        <w:rPr>
          <w:sz w:val="18"/>
          <w:rFonts w:ascii="Verdana" w:hAnsi="Verdana"/>
        </w:rPr>
        <w:t xml:space="preserve"> </w:t>
      </w:r>
      <w:r>
        <w:rPr>
          <w:sz w:val="18"/>
          <w:rFonts w:ascii="Verdana" w:hAnsi="Verdana"/>
        </w:rPr>
        <w:t xml:space="preserve">To je privedlo do težav z nadzorom skladnosti s to določbo.</w:t>
      </w:r>
    </w:p>
    <w:p w:rsidR="00670294" w:rsidRDefault="00670294" w:rsidP="00E17C57">
      <w:pPr>
        <w:tabs>
          <w:tab w:val="left" w:pos="2268"/>
        </w:tabs>
        <w:ind w:left="2268"/>
        <w:rPr>
          <w:rFonts w:ascii="Verdana" w:hAnsi="Verdana"/>
          <w:kern w:val="2"/>
          <w:sz w:val="18"/>
          <w:szCs w:val="18"/>
        </w:rPr>
      </w:pPr>
    </w:p>
    <w:p w:rsidR="00670294" w:rsidRPr="00B71129" w:rsidRDefault="00BB02A9" w:rsidP="00E17C57">
      <w:pPr>
        <w:tabs>
          <w:tab w:val="left" w:pos="2268"/>
        </w:tabs>
        <w:ind w:left="2268"/>
        <w:rPr>
          <w:kern w:val="2"/>
          <w:sz w:val="18"/>
          <w:szCs w:val="18"/>
          <w:rFonts w:ascii="Verdana" w:hAnsi="Verdana"/>
        </w:rPr>
      </w:pPr>
      <w:r>
        <w:rPr>
          <w:sz w:val="18"/>
          <w:rFonts w:ascii="Verdana" w:hAnsi="Verdana"/>
        </w:rPr>
        <w:t xml:space="preserve">S točko 1 dela A člena I te uredbe se spremeni člen 4(1) in odpravi težava, omenjena v prejšnjem odstavku.</w:t>
      </w:r>
      <w:r>
        <w:rPr>
          <w:sz w:val="18"/>
          <w:rFonts w:ascii="Verdana" w:hAnsi="Verdana"/>
        </w:rPr>
        <w:t xml:space="preserve"> </w:t>
      </w:r>
      <w:r>
        <w:rPr>
          <w:sz w:val="18"/>
          <w:rFonts w:ascii="Verdana" w:hAnsi="Verdana"/>
        </w:rPr>
        <w:t xml:space="preserve">V odstavku 1 je sedaj določena največja količina strupenih pirolizidnih alkaloidov v zeliščnih pripravkih, in sicer ne glede na njihov izvor.</w:t>
      </w:r>
      <w:r>
        <w:rPr>
          <w:sz w:val="18"/>
          <w:rFonts w:ascii="Verdana" w:hAnsi="Verdana"/>
        </w:rPr>
        <w:t xml:space="preserve"> </w:t>
      </w:r>
      <w:r>
        <w:rPr>
          <w:sz w:val="18"/>
          <w:rFonts w:ascii="Verdana" w:hAnsi="Verdana"/>
        </w:rPr>
        <w:t xml:space="preserve">Del I Priloge se torej lahko črta (točka 2 dela D člena I).</w:t>
      </w:r>
    </w:p>
    <w:p w:rsidR="00AB3B66" w:rsidRPr="00B71129" w:rsidRDefault="00AB3B66" w:rsidP="00E17C57">
      <w:pPr>
        <w:tabs>
          <w:tab w:val="left" w:pos="2268"/>
        </w:tabs>
        <w:ind w:left="2268"/>
        <w:rPr>
          <w:rFonts w:ascii="Verdana" w:hAnsi="Verdana"/>
          <w:kern w:val="2"/>
          <w:sz w:val="18"/>
          <w:szCs w:val="18"/>
        </w:rPr>
      </w:pPr>
    </w:p>
    <w:p w:rsidR="00430B87" w:rsidRPr="0042448A" w:rsidRDefault="00430B87" w:rsidP="00E17C57">
      <w:pPr>
        <w:ind w:left="2268"/>
        <w:rPr>
          <w:sz w:val="18"/>
          <w:szCs w:val="18"/>
          <w:rFonts w:ascii="Verdana" w:hAnsi="Verdana"/>
        </w:rPr>
      </w:pPr>
      <w:r>
        <w:rPr>
          <w:sz w:val="18"/>
          <w:rFonts w:ascii="Verdana" w:hAnsi="Verdana"/>
        </w:rPr>
        <w:t xml:space="preserve">Zahteve glede največje količine pirolizidnih alkaloidov v prehranskih dopolnilih in zeliščnih pripravkih bodo predvidoma kmalu vključene v Uredbo (ES) št. 1881/2006</w:t>
      </w:r>
      <w:r>
        <w:rPr>
          <w:rStyle w:val="FootnoteReference"/>
          <w:rFonts w:ascii="Verdana" w:hAnsi="Verdana"/>
          <w:sz w:val="18"/>
        </w:rPr>
        <w:footnoteReference w:id="5"/>
      </w:r>
      <w:r>
        <w:rPr>
          <w:sz w:val="18"/>
          <w:rFonts w:ascii="Verdana" w:hAnsi="Verdana"/>
        </w:rPr>
        <w:t xml:space="preserve">.</w:t>
      </w:r>
      <w:r>
        <w:rPr>
          <w:sz w:val="18"/>
          <w:rFonts w:ascii="Verdana" w:hAnsi="Verdana"/>
        </w:rPr>
        <w:t xml:space="preserve"> </w:t>
      </w:r>
      <w:r>
        <w:rPr>
          <w:sz w:val="18"/>
          <w:rFonts w:ascii="Verdana" w:hAnsi="Verdana"/>
        </w:rPr>
        <w:t xml:space="preserve">Do te vključitve se uporablja novi člen 4(6) Uredbe o Zakonu o kakovosti blaga v zvezi z zeliščnimi pripravki, v skladu s katerim se odstavek 1 ne uporablja za zadeve, ki jih urejajo določbe Uredbe (ES) št. 1881/2006.</w:t>
      </w:r>
      <w:r>
        <w:rPr>
          <w:sz w:val="18"/>
          <w:rFonts w:ascii="Verdana" w:hAnsi="Verdana"/>
        </w:rPr>
        <w:t xml:space="preserve"> </w:t>
      </w:r>
      <w:r>
        <w:rPr>
          <w:sz w:val="18"/>
          <w:rFonts w:ascii="Verdana" w:hAnsi="Verdana"/>
        </w:rPr>
        <w:t xml:space="preserve">Ta določba je bila pripravljena v pričakovanju prihodnjih dopolnitev določb o pirolizidnih alkaloidih iz Uredbe (ES) št. 1881/2006.</w:t>
      </w:r>
    </w:p>
    <w:p w:rsidR="00430B87" w:rsidRPr="0042448A" w:rsidRDefault="00430B87" w:rsidP="00E17C57">
      <w:pPr>
        <w:ind w:left="2268"/>
        <w:rPr>
          <w:rFonts w:ascii="Verdana" w:hAnsi="Verdana"/>
          <w:sz w:val="18"/>
          <w:szCs w:val="18"/>
        </w:rPr>
      </w:pPr>
    </w:p>
    <w:p w:rsidR="00430B87" w:rsidRDefault="00430B87" w:rsidP="00E17C57">
      <w:pPr>
        <w:ind w:left="2268"/>
        <w:rPr>
          <w:sz w:val="18"/>
          <w:szCs w:val="18"/>
          <w:rFonts w:ascii="Verdana" w:hAnsi="Verdana"/>
        </w:rPr>
      </w:pPr>
      <w:r>
        <w:rPr>
          <w:sz w:val="18"/>
          <w:rFonts w:ascii="Verdana" w:hAnsi="Verdana"/>
        </w:rPr>
        <w:t xml:space="preserve">Za druge zeliščne pripravke, ki jih Priloga k Uredbi (ES) št. 1881/2006 ne ureja, se bo še naprej uporabljala mejna vrednost iz člena 4(1) Uredbe o Zakonu o kakovosti blaga v zvezi z zeliščnimi pripravki, in sicer:</w:t>
      </w:r>
      <w:r>
        <w:rPr>
          <w:sz w:val="18"/>
          <w:rFonts w:ascii="Verdana" w:hAnsi="Verdana"/>
        </w:rPr>
        <w:t xml:space="preserve"> </w:t>
      </w:r>
      <w:r>
        <w:rPr>
          <w:sz w:val="18"/>
          <w:rFonts w:ascii="Verdana" w:hAnsi="Verdana"/>
        </w:rPr>
        <w:t xml:space="preserve">1 µg na kilogram oziroma liter.</w:t>
      </w:r>
    </w:p>
    <w:p w:rsidR="00E17C57" w:rsidRPr="00B71129" w:rsidRDefault="00E17C57" w:rsidP="00E17C57">
      <w:pPr>
        <w:ind w:left="2268"/>
        <w:rPr>
          <w:rFonts w:ascii="Verdana" w:hAnsi="Verdana"/>
          <w:sz w:val="18"/>
          <w:szCs w:val="18"/>
        </w:rPr>
      </w:pPr>
    </w:p>
    <w:p w:rsidR="00FC0162" w:rsidRPr="00B71129" w:rsidRDefault="00FC0162" w:rsidP="00E17C57">
      <w:pPr>
        <w:keepNext/>
        <w:keepLines/>
        <w:tabs>
          <w:tab w:val="left" w:pos="2268"/>
        </w:tabs>
        <w:ind w:left="2268"/>
        <w:rPr>
          <w:i/>
          <w:kern w:val="2"/>
          <w:sz w:val="18"/>
          <w:szCs w:val="18"/>
          <w:rFonts w:ascii="Verdana" w:hAnsi="Verdana"/>
        </w:rPr>
      </w:pPr>
      <w:r>
        <w:rPr>
          <w:i/>
          <w:sz w:val="18"/>
          <w:rFonts w:ascii="Verdana" w:hAnsi="Verdana"/>
        </w:rPr>
        <w:t xml:space="preserve">Točka 2 dela A člena I</w:t>
      </w:r>
    </w:p>
    <w:p w:rsidR="00FC0162" w:rsidRDefault="00FC0162" w:rsidP="00E17C57">
      <w:pPr>
        <w:tabs>
          <w:tab w:val="left" w:pos="2268"/>
        </w:tabs>
        <w:ind w:left="2268"/>
        <w:rPr>
          <w:kern w:val="2"/>
          <w:sz w:val="18"/>
          <w:szCs w:val="18"/>
          <w:rFonts w:ascii="Verdana" w:hAnsi="Verdana"/>
        </w:rPr>
      </w:pPr>
      <w:r>
        <w:rPr>
          <w:sz w:val="18"/>
          <w:rFonts w:ascii="Verdana" w:hAnsi="Verdana"/>
        </w:rPr>
        <w:t xml:space="preserve">V členu 4(2) Uredbe o Zakonu o kakovosti blaga v zvezi z zeliščnimi pripravki je navedenih več snovi, ki zaradi varovanja javnega zdravja v zeliščnih pripravkih ne smejo biti prisotne.</w:t>
      </w:r>
      <w:r>
        <w:rPr>
          <w:sz w:val="18"/>
          <w:rFonts w:ascii="Verdana" w:hAnsi="Verdana"/>
        </w:rPr>
        <w:t xml:space="preserve"> </w:t>
      </w:r>
      <w:r>
        <w:rPr>
          <w:sz w:val="18"/>
          <w:rFonts w:ascii="Verdana" w:hAnsi="Verdana"/>
        </w:rPr>
        <w:t xml:space="preserve">Na podlagi študij</w:t>
      </w:r>
      <w:r>
        <w:rPr>
          <w:rStyle w:val="FootnoteReference"/>
          <w:rFonts w:ascii="Verdana" w:hAnsi="Verdana"/>
          <w:kern w:val="2"/>
          <w:sz w:val="18"/>
        </w:rPr>
        <w:footnoteReference w:id="6"/>
      </w:r>
      <w:r>
        <w:rPr>
          <w:sz w:val="18"/>
          <w:rFonts w:ascii="Verdana" w:hAnsi="Verdana"/>
        </w:rPr>
        <w:t xml:space="preserve"> je inštitut RIVM priporočil dopolnitev seznama z več drugimi snovmi, ki so domnevno strupene ali celo zelo strupene.</w:t>
      </w:r>
      <w:r>
        <w:rPr>
          <w:sz w:val="18"/>
          <w:rFonts w:ascii="Verdana" w:hAnsi="Verdana"/>
        </w:rPr>
        <w:t xml:space="preserve"> </w:t>
      </w:r>
      <w:r>
        <w:rPr>
          <w:sz w:val="18"/>
          <w:rFonts w:ascii="Verdana" w:hAnsi="Verdana"/>
        </w:rPr>
        <w:t xml:space="preserve">Ta priporočila so bila upoštevana.</w:t>
      </w:r>
      <w:r>
        <w:rPr>
          <w:sz w:val="18"/>
          <w:rFonts w:ascii="Verdana" w:hAnsi="Verdana"/>
        </w:rPr>
        <w:t xml:space="preserve"> </w:t>
      </w:r>
      <w:r>
        <w:rPr>
          <w:sz w:val="18"/>
          <w:rFonts w:ascii="Verdana" w:hAnsi="Verdana"/>
        </w:rPr>
        <w:t xml:space="preserve">Zadevne snovi so bile torej vključene v člen 4(2) Uredbe o Zakonu o kakovosti blaga v zvezi z zeliščnimi pripravki.</w:t>
      </w:r>
      <w:r>
        <w:rPr>
          <w:sz w:val="18"/>
          <w:rFonts w:ascii="Verdana" w:hAnsi="Verdana"/>
        </w:rPr>
        <w:t xml:space="preserve"> </w:t>
      </w:r>
      <w:r>
        <w:rPr>
          <w:sz w:val="18"/>
          <w:rFonts w:ascii="Verdana" w:hAnsi="Verdana"/>
        </w:rPr>
        <w:t xml:space="preserve">Prejšnja pododstavka a in b (aristolokne kisline in alkaloidi johimbina ter njihovi derivati) sta bila nato po abecednem vrstnem redu vključena na novi seznam.</w:t>
      </w:r>
    </w:p>
    <w:p w:rsidR="00FC0162" w:rsidRDefault="00FC0162" w:rsidP="00E17C57">
      <w:pPr>
        <w:tabs>
          <w:tab w:val="left" w:pos="2268"/>
        </w:tabs>
        <w:ind w:left="2268"/>
        <w:rPr>
          <w:rFonts w:ascii="Verdana" w:hAnsi="Verdana"/>
          <w:kern w:val="2"/>
          <w:sz w:val="18"/>
          <w:szCs w:val="18"/>
        </w:rPr>
      </w:pPr>
    </w:p>
    <w:p w:rsidR="00FC0162" w:rsidRDefault="00FC0162" w:rsidP="00E17C57">
      <w:pPr>
        <w:tabs>
          <w:tab w:val="left" w:pos="2268"/>
        </w:tabs>
        <w:ind w:left="2268"/>
        <w:rPr>
          <w:kern w:val="2"/>
          <w:sz w:val="18"/>
          <w:szCs w:val="18"/>
          <w:rFonts w:ascii="Verdana" w:hAnsi="Verdana"/>
        </w:rPr>
      </w:pPr>
      <w:r>
        <w:rPr>
          <w:sz w:val="18"/>
          <w:rFonts w:ascii="Verdana" w:hAnsi="Verdana"/>
        </w:rPr>
        <w:t xml:space="preserve">Nov pododstavek g se nanaša na olje rastline Artemisia absinthium.</w:t>
      </w:r>
      <w:r>
        <w:rPr>
          <w:sz w:val="18"/>
          <w:rFonts w:ascii="Verdana" w:hAnsi="Verdana"/>
        </w:rPr>
        <w:t xml:space="preserve"> </w:t>
      </w:r>
      <w:r>
        <w:rPr>
          <w:sz w:val="18"/>
          <w:rFonts w:ascii="Verdana" w:hAnsi="Verdana"/>
        </w:rPr>
        <w:t xml:space="preserve">V tem pododstavku je navedeno, da se prepoved uporabe tega olja v zeliščnih pripravkih ne uporablja v primeru prisotnosti tujona v pijačah na osnovi pelina, če je njegova prisotnost dovoljena na podlagi člena 6(2) Uredbe (ES) št. 1334/2008</w:t>
      </w:r>
      <w:r>
        <w:rPr>
          <w:rStyle w:val="FootnoteReference"/>
          <w:rFonts w:ascii="Verdana" w:hAnsi="Verdana"/>
          <w:kern w:val="2"/>
          <w:sz w:val="18"/>
        </w:rPr>
        <w:footnoteReference w:id="7"/>
      </w:r>
      <w:r>
        <w:rPr>
          <w:sz w:val="18"/>
          <w:rFonts w:ascii="Verdana" w:hAnsi="Verdana"/>
        </w:rPr>
        <w:t xml:space="preserve"> in dela B Priloge III k navedeni uredbi.</w:t>
      </w:r>
    </w:p>
    <w:p w:rsidR="00670294" w:rsidRDefault="00670294" w:rsidP="00E17C57">
      <w:pPr>
        <w:tabs>
          <w:tab w:val="left" w:pos="2268"/>
        </w:tabs>
        <w:ind w:left="2268"/>
        <w:rPr>
          <w:rFonts w:ascii="Verdana" w:hAnsi="Verdana"/>
          <w:kern w:val="2"/>
          <w:sz w:val="18"/>
          <w:szCs w:val="18"/>
        </w:rPr>
      </w:pPr>
    </w:p>
    <w:p w:rsidR="00AD2E4A" w:rsidRPr="00AD2E4A" w:rsidRDefault="00AD2E4A" w:rsidP="00E17C57">
      <w:pPr>
        <w:keepNext/>
        <w:keepLines/>
        <w:tabs>
          <w:tab w:val="left" w:pos="2268"/>
        </w:tabs>
        <w:ind w:left="2268"/>
        <w:rPr>
          <w:i/>
          <w:kern w:val="2"/>
          <w:sz w:val="18"/>
          <w:szCs w:val="18"/>
          <w:rFonts w:ascii="Verdana" w:hAnsi="Verdana"/>
        </w:rPr>
      </w:pPr>
      <w:r>
        <w:rPr>
          <w:i/>
          <w:sz w:val="18"/>
          <w:rFonts w:ascii="Verdana" w:hAnsi="Verdana"/>
        </w:rPr>
        <w:t xml:space="preserve">Točka 3 dela A ter točki 1 in 3 dela D člena I</w:t>
      </w:r>
    </w:p>
    <w:p w:rsidR="00670294" w:rsidRDefault="005D7072" w:rsidP="00E17C57">
      <w:pPr>
        <w:tabs>
          <w:tab w:val="left" w:pos="2268"/>
        </w:tabs>
        <w:ind w:left="2268"/>
        <w:rPr>
          <w:kern w:val="2"/>
          <w:sz w:val="18"/>
          <w:szCs w:val="18"/>
          <w:rFonts w:ascii="Verdana" w:hAnsi="Verdana"/>
        </w:rPr>
      </w:pPr>
      <w:r>
        <w:rPr>
          <w:sz w:val="18"/>
          <w:rFonts w:ascii="Verdana" w:hAnsi="Verdana"/>
        </w:rPr>
        <w:t xml:space="preserve">Ob začetku veljavnosti te uredbe bo Priloga k Uredbi o Zakonu o kakovosti blaga v zvezi z zeliščnimi pripravki vključevala le vsebino prejšnjega dela II, ki je sedaj preimenovan v „Prilogo“.</w:t>
      </w:r>
      <w:r>
        <w:rPr>
          <w:sz w:val="18"/>
          <w:rFonts w:ascii="Verdana" w:hAnsi="Verdana"/>
        </w:rPr>
        <w:t xml:space="preserve"> </w:t>
      </w:r>
      <w:r>
        <w:rPr>
          <w:sz w:val="18"/>
          <w:rFonts w:ascii="Verdana" w:hAnsi="Verdana"/>
        </w:rPr>
        <w:t xml:space="preserve">Sklic na del II Priloge iz člena 4(3) Uredbe o Zakonu o kakovosti blaga v zvezi z zeliščnimi pripravki se torej spremeni v sklic na Prilogo.</w:t>
      </w:r>
    </w:p>
    <w:p w:rsidR="00B561EB" w:rsidRDefault="00B561EB" w:rsidP="00E17C57">
      <w:pPr>
        <w:tabs>
          <w:tab w:val="left" w:pos="2268"/>
        </w:tabs>
        <w:ind w:left="2268"/>
        <w:rPr>
          <w:rFonts w:ascii="Verdana" w:hAnsi="Verdana"/>
          <w:kern w:val="2"/>
          <w:sz w:val="18"/>
          <w:szCs w:val="18"/>
        </w:rPr>
      </w:pPr>
    </w:p>
    <w:p w:rsidR="005059AF" w:rsidRPr="00485F0F" w:rsidRDefault="00485F0F" w:rsidP="00E17C57">
      <w:pPr>
        <w:keepNext/>
        <w:keepLines/>
        <w:tabs>
          <w:tab w:val="left" w:pos="2268"/>
        </w:tabs>
        <w:ind w:left="2268"/>
        <w:rPr>
          <w:i/>
          <w:kern w:val="2"/>
          <w:sz w:val="18"/>
          <w:szCs w:val="18"/>
          <w:rFonts w:ascii="Verdana" w:hAnsi="Verdana"/>
        </w:rPr>
      </w:pPr>
      <w:r>
        <w:rPr>
          <w:i/>
          <w:sz w:val="18"/>
          <w:rFonts w:ascii="Verdana" w:hAnsi="Verdana"/>
        </w:rPr>
        <w:t xml:space="preserve">Točka 4 dela A člena I</w:t>
      </w:r>
    </w:p>
    <w:p w:rsidR="003C006F" w:rsidRPr="00C5642F" w:rsidRDefault="003C006F" w:rsidP="00E17C57">
      <w:pPr>
        <w:tabs>
          <w:tab w:val="left" w:pos="2268"/>
        </w:tabs>
        <w:ind w:left="2268"/>
        <w:rPr>
          <w:kern w:val="2"/>
          <w:sz w:val="18"/>
          <w:szCs w:val="18"/>
          <w:rFonts w:ascii="Verdana" w:hAnsi="Verdana"/>
        </w:rPr>
      </w:pPr>
      <w:r>
        <w:rPr>
          <w:sz w:val="18"/>
          <w:rFonts w:ascii="Verdana" w:hAnsi="Verdana"/>
        </w:rPr>
        <w:t xml:space="preserve">Na podlagi že omenjenega poročila inštituta RIVM in priporočila odbora BuRO glede sinefrina, ki je temeljilo na poročilu, je bilo odločeno, da se dodajanja meta- in orto-sinefrina v zeliščne pripravke prepove.</w:t>
      </w:r>
      <w:r>
        <w:rPr>
          <w:sz w:val="18"/>
          <w:rFonts w:ascii="Verdana" w:hAnsi="Verdana"/>
        </w:rPr>
        <w:t xml:space="preserve"> </w:t>
      </w:r>
      <w:r>
        <w:rPr>
          <w:sz w:val="18"/>
          <w:rFonts w:ascii="Verdana" w:hAnsi="Verdana"/>
        </w:rPr>
        <w:t xml:space="preserve">Največja dnevna količina 27 mg para-sinefrina, ki temelji na vnosu prek hrane, je bila določena na osnovi priporočila odbora BuRO.</w:t>
      </w:r>
      <w:r>
        <w:rPr>
          <w:sz w:val="18"/>
          <w:rFonts w:ascii="Verdana" w:hAnsi="Verdana"/>
        </w:rPr>
        <w:t xml:space="preserve"> </w:t>
      </w:r>
      <w:r>
        <w:rPr>
          <w:sz w:val="18"/>
          <w:rFonts w:ascii="Verdana" w:hAnsi="Verdana"/>
        </w:rPr>
        <w:t xml:space="preserve">Ta največja količina je bila vključena v člen 4(4).</w:t>
      </w:r>
    </w:p>
    <w:p w:rsidR="008250DF" w:rsidRPr="008250DF" w:rsidRDefault="008250DF" w:rsidP="00E17C57">
      <w:pPr>
        <w:tabs>
          <w:tab w:val="left" w:pos="2268"/>
        </w:tabs>
        <w:ind w:left="2268"/>
        <w:rPr>
          <w:kern w:val="2"/>
          <w:sz w:val="18"/>
          <w:szCs w:val="18"/>
          <w:rFonts w:ascii="Verdana" w:hAnsi="Verdana"/>
        </w:rPr>
      </w:pPr>
      <w:r>
        <w:rPr>
          <w:sz w:val="18"/>
          <w:rFonts w:ascii="Verdana" w:hAnsi="Verdana"/>
        </w:rPr>
        <w:t xml:space="preserve">V del II Uredbe o Zakonu o kakovosti blaga v zvezi z zeliščnimi pripravki je bila vključena rastlina Ricinus communis.</w:t>
      </w:r>
      <w:r>
        <w:rPr>
          <w:sz w:val="18"/>
          <w:rFonts w:ascii="Verdana" w:hAnsi="Verdana"/>
        </w:rPr>
        <w:t xml:space="preserve"> </w:t>
      </w:r>
      <w:r>
        <w:rPr>
          <w:sz w:val="18"/>
          <w:rFonts w:ascii="Verdana" w:hAnsi="Verdana"/>
        </w:rPr>
        <w:t xml:space="preserve">V sedanjem členu 4(3) je določeno, da zeliščni pripravki ne smejo vsebovati snovi, ki v celoti ali deloma izhajajo iz rastline Ricinus communis.</w:t>
      </w:r>
      <w:r>
        <w:rPr>
          <w:sz w:val="18"/>
          <w:rFonts w:ascii="Verdana" w:hAnsi="Verdana"/>
        </w:rPr>
        <w:t xml:space="preserve"> </w:t>
      </w:r>
      <w:r>
        <w:rPr>
          <w:sz w:val="18"/>
          <w:rFonts w:ascii="Verdana" w:hAnsi="Verdana"/>
        </w:rPr>
        <w:t xml:space="preserve">V študiji inštituta RIVM</w:t>
      </w:r>
      <w:r>
        <w:rPr>
          <w:rStyle w:val="FootnoteReference"/>
          <w:rFonts w:ascii="Verdana" w:hAnsi="Verdana"/>
          <w:kern w:val="2"/>
          <w:sz w:val="18"/>
        </w:rPr>
        <w:footnoteReference w:id="8"/>
      </w:r>
      <w:r>
        <w:rPr>
          <w:sz w:val="18"/>
          <w:rFonts w:ascii="Verdana" w:hAnsi="Verdana"/>
        </w:rPr>
        <w:t xml:space="preserve"> je poleg tega navedeno, da dnevni vnos do 0,4 g olja iz semen rastline Ricinus communis ne ogroža javnega zdravja.</w:t>
      </w:r>
      <w:r>
        <w:rPr>
          <w:sz w:val="18"/>
          <w:rFonts w:ascii="Verdana" w:hAnsi="Verdana"/>
        </w:rPr>
        <w:t xml:space="preserve"> </w:t>
      </w:r>
      <w:r>
        <w:rPr>
          <w:sz w:val="18"/>
          <w:rFonts w:ascii="Verdana" w:hAnsi="Verdana"/>
        </w:rPr>
        <w:t xml:space="preserve">Zato je bil v Uredbo o Zakonu o kakovosti blaga v zvezi z zeliščnimi pripravki vključen nov člen 4(5), ki omogoča njegovo uporabo v skladu z omejitvijo, navedeno zgoraj.</w:t>
      </w:r>
    </w:p>
    <w:p w:rsidR="00FC5154" w:rsidRDefault="00FC5154" w:rsidP="00E17C57">
      <w:pPr>
        <w:tabs>
          <w:tab w:val="left" w:pos="2268"/>
        </w:tabs>
        <w:ind w:left="2268"/>
        <w:rPr>
          <w:rFonts w:ascii="Verdana" w:hAnsi="Verdana"/>
          <w:kern w:val="2"/>
          <w:sz w:val="18"/>
          <w:szCs w:val="18"/>
        </w:rPr>
      </w:pPr>
    </w:p>
    <w:p w:rsidR="002714CE" w:rsidRPr="002714CE" w:rsidRDefault="002714CE" w:rsidP="00E17C57">
      <w:pPr>
        <w:keepNext/>
        <w:keepLines/>
        <w:tabs>
          <w:tab w:val="left" w:pos="2268"/>
        </w:tabs>
        <w:ind w:left="2268"/>
        <w:rPr>
          <w:i/>
          <w:kern w:val="2"/>
          <w:sz w:val="18"/>
          <w:szCs w:val="18"/>
          <w:rFonts w:ascii="Verdana" w:hAnsi="Verdana"/>
        </w:rPr>
      </w:pPr>
      <w:r>
        <w:rPr>
          <w:i/>
          <w:sz w:val="18"/>
          <w:rFonts w:ascii="Verdana" w:hAnsi="Verdana"/>
        </w:rPr>
        <w:t xml:space="preserve">Del B člena I</w:t>
      </w:r>
    </w:p>
    <w:p w:rsidR="002714CE" w:rsidRPr="003D0C77" w:rsidRDefault="002714CE" w:rsidP="00E17C57">
      <w:pPr>
        <w:tabs>
          <w:tab w:val="left" w:pos="2268"/>
        </w:tabs>
        <w:ind w:left="2268"/>
        <w:rPr>
          <w:kern w:val="2"/>
          <w:sz w:val="18"/>
          <w:szCs w:val="18"/>
          <w:rFonts w:ascii="Verdana" w:hAnsi="Verdana"/>
        </w:rPr>
      </w:pPr>
      <w:r>
        <w:rPr>
          <w:sz w:val="18"/>
          <w:rFonts w:ascii="Verdana" w:hAnsi="Verdana"/>
        </w:rPr>
        <w:t xml:space="preserve">V členu 6 se doda nov odstavek 3.</w:t>
      </w:r>
      <w:r>
        <w:rPr>
          <w:sz w:val="18"/>
          <w:rFonts w:ascii="Verdana" w:hAnsi="Verdana"/>
        </w:rPr>
        <w:t xml:space="preserve"> </w:t>
      </w:r>
      <w:r>
        <w:rPr>
          <w:sz w:val="18"/>
          <w:rFonts w:ascii="Verdana" w:hAnsi="Verdana"/>
        </w:rPr>
        <w:t xml:space="preserve">V njem je določeno, da se lahko izda ministrska odredba, v kateri so določena dodatna pravila o priporočeni uporabi in priporočenih odmerkih iz odstavkov 1 in 2.</w:t>
      </w:r>
      <w:r>
        <w:rPr>
          <w:sz w:val="18"/>
          <w:rFonts w:ascii="Verdana" w:hAnsi="Verdana"/>
        </w:rPr>
        <w:t xml:space="preserve"> </w:t>
      </w:r>
      <w:r>
        <w:rPr>
          <w:sz w:val="18"/>
          <w:rFonts w:ascii="Verdana" w:hAnsi="Verdana"/>
        </w:rPr>
        <w:t xml:space="preserve">To se bo uporabljalo za snovi, ki imajo lahko škodljive učinke na zdravje v določenih pogojih uporabe in določenih odmerkih.</w:t>
      </w:r>
      <w:r>
        <w:rPr>
          <w:sz w:val="18"/>
          <w:rFonts w:ascii="Verdana" w:hAnsi="Verdana"/>
        </w:rPr>
        <w:t xml:space="preserve"> </w:t>
      </w:r>
      <w:r>
        <w:rPr>
          <w:sz w:val="18"/>
          <w:rFonts w:ascii="Verdana" w:hAnsi="Verdana"/>
        </w:rPr>
        <w:t xml:space="preserve">Priporočena uporaba in priporočeni odmerki se lahko uporabljajo za opozarjanje potrošnikov na to dejstvo.</w:t>
      </w:r>
    </w:p>
    <w:p w:rsidR="00FC5154" w:rsidRDefault="00FC5154" w:rsidP="00E17C57">
      <w:pPr>
        <w:tabs>
          <w:tab w:val="left" w:pos="2268"/>
        </w:tabs>
        <w:ind w:left="2268"/>
        <w:rPr>
          <w:rFonts w:ascii="Verdana" w:hAnsi="Verdana"/>
          <w:kern w:val="2"/>
          <w:sz w:val="18"/>
          <w:szCs w:val="18"/>
        </w:rPr>
      </w:pPr>
    </w:p>
    <w:p w:rsidR="003143CD" w:rsidRPr="003143CD" w:rsidRDefault="003143CD" w:rsidP="00E17C57">
      <w:pPr>
        <w:keepNext/>
        <w:keepLines/>
        <w:tabs>
          <w:tab w:val="left" w:pos="2268"/>
        </w:tabs>
        <w:ind w:left="2268"/>
        <w:rPr>
          <w:i/>
          <w:kern w:val="2"/>
          <w:sz w:val="18"/>
          <w:szCs w:val="18"/>
          <w:rFonts w:ascii="Verdana" w:hAnsi="Verdana"/>
        </w:rPr>
      </w:pPr>
      <w:r>
        <w:rPr>
          <w:i/>
          <w:sz w:val="18"/>
          <w:rFonts w:ascii="Verdana" w:hAnsi="Verdana"/>
        </w:rPr>
        <w:t xml:space="preserve">Del C in točka 10 dela D člena I</w:t>
      </w:r>
    </w:p>
    <w:p w:rsidR="003143CD" w:rsidRDefault="003143CD" w:rsidP="00E17C57">
      <w:pPr>
        <w:tabs>
          <w:tab w:val="left" w:pos="2268"/>
        </w:tabs>
        <w:ind w:left="2268"/>
        <w:rPr>
          <w:kern w:val="2"/>
          <w:sz w:val="18"/>
          <w:szCs w:val="18"/>
          <w:rFonts w:ascii="Verdana" w:hAnsi="Verdana"/>
        </w:rPr>
      </w:pPr>
      <w:r>
        <w:rPr>
          <w:sz w:val="18"/>
          <w:rFonts w:ascii="Verdana" w:hAnsi="Verdana"/>
        </w:rPr>
        <w:t xml:space="preserve">Ta sprememba vključuje podrobne prehodne določbe.</w:t>
      </w:r>
    </w:p>
    <w:p w:rsidR="00E17C57" w:rsidRDefault="00E17C57" w:rsidP="00E17C57">
      <w:pPr>
        <w:tabs>
          <w:tab w:val="left" w:pos="2268"/>
        </w:tabs>
        <w:ind w:left="2268"/>
        <w:rPr>
          <w:rFonts w:ascii="Verdana" w:hAnsi="Verdana"/>
          <w:kern w:val="2"/>
          <w:sz w:val="18"/>
          <w:szCs w:val="18"/>
        </w:rPr>
      </w:pPr>
    </w:p>
    <w:p w:rsidR="00DE4D7B" w:rsidRPr="00DE4D7B" w:rsidRDefault="00773541" w:rsidP="00E17C57">
      <w:pPr>
        <w:keepNext/>
        <w:keepLines/>
        <w:tabs>
          <w:tab w:val="left" w:pos="2268"/>
        </w:tabs>
        <w:ind w:left="2268"/>
        <w:rPr>
          <w:i/>
          <w:kern w:val="2"/>
          <w:sz w:val="18"/>
          <w:szCs w:val="18"/>
          <w:rFonts w:ascii="Verdana" w:hAnsi="Verdana"/>
        </w:rPr>
      </w:pPr>
      <w:r>
        <w:rPr>
          <w:i/>
          <w:sz w:val="18"/>
          <w:rFonts w:ascii="Verdana" w:hAnsi="Verdana"/>
        </w:rPr>
        <w:t xml:space="preserve">Točke 4 do 9 dela D člena I</w:t>
      </w:r>
    </w:p>
    <w:p w:rsidR="007C6E9D" w:rsidRDefault="007C6E9D" w:rsidP="00E17C57">
      <w:pPr>
        <w:tabs>
          <w:tab w:val="left" w:pos="2268"/>
        </w:tabs>
        <w:ind w:left="2268"/>
        <w:rPr>
          <w:kern w:val="2"/>
          <w:sz w:val="18"/>
          <w:szCs w:val="18"/>
          <w:rFonts w:ascii="Verdana" w:hAnsi="Verdana"/>
        </w:rPr>
      </w:pPr>
      <w:r>
        <w:rPr>
          <w:sz w:val="18"/>
          <w:rFonts w:ascii="Verdana" w:hAnsi="Verdana"/>
        </w:rPr>
        <w:t xml:space="preserve">V spremenjenem členu 4(3) Uredbe o Zakonu o kakovosti blaga v zvezi z zeliščnimi pripravki je določeno, da zeliščni pripravki ne smejo vsebovati materialov, ki so v celoti ali deloma pridobljeni iz rastlin in gliv, navedenih v Prilogi.</w:t>
      </w:r>
      <w:r>
        <w:rPr>
          <w:sz w:val="18"/>
          <w:rFonts w:ascii="Verdana" w:hAnsi="Verdana"/>
        </w:rPr>
        <w:t xml:space="preserve"> </w:t>
      </w:r>
      <w:r>
        <w:rPr>
          <w:sz w:val="18"/>
          <w:rFonts w:ascii="Verdana" w:hAnsi="Verdana"/>
        </w:rPr>
        <w:t xml:space="preserve">Več rastlin je sedaj vključenih v Prilogo (prej del II Priloge) zaradi njihovega potencialno zelo škodljivega vpliva na zdravje ljudi (točka 4 dela D člena I).</w:t>
      </w:r>
    </w:p>
    <w:p w:rsidR="00DD3086" w:rsidRDefault="00DD3086" w:rsidP="00E17C57">
      <w:pPr>
        <w:tabs>
          <w:tab w:val="left" w:pos="2268"/>
        </w:tabs>
        <w:ind w:left="2268"/>
        <w:rPr>
          <w:rFonts w:ascii="Verdana" w:hAnsi="Verdana"/>
          <w:kern w:val="2"/>
          <w:sz w:val="18"/>
          <w:szCs w:val="18"/>
        </w:rPr>
      </w:pPr>
    </w:p>
    <w:p w:rsidR="007F2C23" w:rsidRDefault="00DD3086" w:rsidP="00E17C57">
      <w:pPr>
        <w:tabs>
          <w:tab w:val="left" w:pos="2268"/>
        </w:tabs>
        <w:ind w:left="2268"/>
        <w:rPr>
          <w:kern w:val="2"/>
          <w:sz w:val="18"/>
          <w:szCs w:val="18"/>
          <w:rFonts w:ascii="Verdana" w:hAnsi="Verdana"/>
        </w:rPr>
      </w:pPr>
      <w:r>
        <w:rPr>
          <w:sz w:val="18"/>
          <w:rFonts w:ascii="Verdana" w:hAnsi="Verdana"/>
        </w:rPr>
        <w:t xml:space="preserve">Točke 5 do 9 dela D člena I odpravljajo več pomanjkljivosti iz prejšnjega dela II Priloge.</w:t>
      </w:r>
      <w:r>
        <w:rPr>
          <w:sz w:val="18"/>
          <w:rFonts w:ascii="Verdana" w:hAnsi="Verdana"/>
        </w:rPr>
        <w:t xml:space="preserve"> </w:t>
      </w:r>
      <w:r>
        <w:rPr>
          <w:sz w:val="18"/>
          <w:rFonts w:ascii="Verdana" w:hAnsi="Verdana"/>
        </w:rPr>
        <w:t xml:space="preserve">Prvič, odpravljenih je več tipkarskih napak.</w:t>
      </w:r>
      <w:r>
        <w:rPr>
          <w:sz w:val="18"/>
          <w:rFonts w:ascii="Verdana" w:hAnsi="Verdana"/>
        </w:rPr>
        <w:t xml:space="preserve"> </w:t>
      </w:r>
      <w:r>
        <w:rPr>
          <w:sz w:val="18"/>
          <w:rFonts w:ascii="Verdana" w:hAnsi="Verdana"/>
        </w:rPr>
        <w:t xml:space="preserve">Drugič, sedaj je pojasnjeno, da nima strupena rastlina Bryonia alba nikakršne povezave z rastlino Brassica nigra (črna gorčica).</w:t>
      </w:r>
      <w:r>
        <w:rPr>
          <w:sz w:val="18"/>
          <w:rFonts w:ascii="Verdana" w:hAnsi="Verdana"/>
        </w:rPr>
        <w:t xml:space="preserve"> </w:t>
      </w:r>
      <w:r>
        <w:rPr>
          <w:sz w:val="18"/>
          <w:rFonts w:ascii="Verdana" w:hAnsi="Verdana"/>
        </w:rPr>
        <w:t xml:space="preserve">Pred tem sta bili v Prilogi nenamerno navedeni ena poleg druge.</w:t>
      </w:r>
      <w:r>
        <w:rPr>
          <w:sz w:val="18"/>
          <w:rFonts w:ascii="Verdana" w:hAnsi="Verdana"/>
        </w:rPr>
        <w:t xml:space="preserve"> </w:t>
      </w:r>
      <w:r>
        <w:rPr>
          <w:sz w:val="18"/>
          <w:rFonts w:ascii="Verdana" w:hAnsi="Verdana"/>
        </w:rPr>
        <w:t xml:space="preserve">Sedaj sta navedeni ena nad drugo, da bi bilo jasno, da gre za dve različni rastlini.</w:t>
      </w:r>
    </w:p>
    <w:p w:rsidR="00E17C57" w:rsidRDefault="00E17C57" w:rsidP="00E17C57">
      <w:pPr>
        <w:tabs>
          <w:tab w:val="left" w:pos="2268"/>
        </w:tabs>
        <w:ind w:left="2268"/>
        <w:rPr>
          <w:rFonts w:ascii="Verdana" w:hAnsi="Verdana"/>
          <w:kern w:val="2"/>
          <w:sz w:val="18"/>
          <w:szCs w:val="18"/>
        </w:rPr>
      </w:pPr>
    </w:p>
    <w:p w:rsidR="007F2C23" w:rsidRPr="00C93CDF" w:rsidRDefault="007F2C23" w:rsidP="00E17C57">
      <w:pPr>
        <w:keepNext/>
        <w:keepLines/>
        <w:tabs>
          <w:tab w:val="left" w:pos="2268"/>
        </w:tabs>
        <w:ind w:left="2268"/>
        <w:rPr>
          <w:i/>
          <w:kern w:val="2"/>
          <w:sz w:val="18"/>
          <w:szCs w:val="18"/>
          <w:rFonts w:ascii="Verdana" w:hAnsi="Verdana"/>
        </w:rPr>
      </w:pPr>
      <w:r>
        <w:rPr>
          <w:i/>
          <w:sz w:val="18"/>
          <w:rFonts w:ascii="Verdana" w:hAnsi="Verdana"/>
        </w:rPr>
        <w:t xml:space="preserve">Člen II</w:t>
      </w:r>
    </w:p>
    <w:p w:rsidR="003143CD" w:rsidRPr="00C93CDF" w:rsidRDefault="00C93CDF" w:rsidP="00E17C57">
      <w:pPr>
        <w:ind w:left="2268"/>
        <w:rPr>
          <w:sz w:val="18"/>
          <w:szCs w:val="18"/>
          <w:rFonts w:ascii="Verdana" w:hAnsi="Verdana"/>
        </w:rPr>
      </w:pPr>
      <w:r>
        <w:rPr>
          <w:sz w:val="18"/>
          <w:rFonts w:ascii="Verdana" w:hAnsi="Verdana"/>
        </w:rPr>
        <w:t xml:space="preserve">V Prilogo k Uredbi o Zakonu o kakovosti blaga v zvezi z upravnimi kaznimi se vstavi člen 4(5) Uredbe o Zakonu o kakovosti blaga v zvezi z zeliščnimi pripravki, da bi bilo mogoče za kršitve slednje naložiti upravno kazen.</w:t>
      </w:r>
    </w:p>
    <w:p w:rsidR="007F2C23" w:rsidRDefault="007F2C23" w:rsidP="00E17C57">
      <w:pPr>
        <w:tabs>
          <w:tab w:val="left" w:pos="2268"/>
        </w:tabs>
        <w:ind w:left="2268"/>
        <w:rPr>
          <w:rFonts w:ascii="Verdana" w:hAnsi="Verdana"/>
          <w:kern w:val="2"/>
          <w:sz w:val="18"/>
          <w:szCs w:val="18"/>
        </w:rPr>
      </w:pPr>
    </w:p>
    <w:p w:rsidR="003143CD" w:rsidRDefault="003143CD" w:rsidP="00E17C57">
      <w:pPr>
        <w:tabs>
          <w:tab w:val="left" w:pos="2268"/>
        </w:tabs>
        <w:ind w:left="2268"/>
        <w:rPr>
          <w:kern w:val="2"/>
          <w:sz w:val="18"/>
          <w:szCs w:val="18"/>
          <w:rFonts w:ascii="Verdana" w:hAnsi="Verdana"/>
        </w:rPr>
      </w:pPr>
      <w:r>
        <w:rPr>
          <w:sz w:val="18"/>
          <w:rFonts w:ascii="Verdana" w:hAnsi="Verdana"/>
        </w:rPr>
        <w:t xml:space="preserve">Minister za zdravstveno oskrbo</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kern w:val="2"/>
          <w:sz w:val="18"/>
          <w:szCs w:val="18"/>
          <w:rFonts w:ascii="Verdana" w:hAnsi="Verdana"/>
        </w:rPr>
      </w:pPr>
      <w:r>
        <w:rPr>
          <w:sz w:val="18"/>
          <w:rFonts w:ascii="Verdana" w:hAnsi="Verdana"/>
        </w:rPr>
        <w:t xml:space="preserve">B. J. Bruins</w:t>
      </w:r>
    </w:p>
    <w:sectPr w:rsidR="003143CD" w:rsidRPr="005B4FAB" w:rsidSect="00E17C57">
      <w:headerReference w:type="default" r:id="rId9"/>
      <w:footerReference w:type="default" r:id="rId10"/>
      <w:headerReference w:type="first" r:id="rId11"/>
      <w:footerReference w:type="first" r:id="rId12"/>
      <w:pgSz w:w="11906" w:h="16838" w:code="9"/>
      <w:pgMar w:top="1763" w:right="1826" w:bottom="1134" w:left="851" w:header="0" w:footer="4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535" w:rsidRDefault="00DE0535">
      <w:r>
        <w:separator/>
      </w:r>
    </w:p>
  </w:endnote>
  <w:endnote w:type="continuationSeparator" w:id="0">
    <w:p w:rsidR="00DE0535" w:rsidRDefault="00DE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380"/>
      <w:docPartObj>
        <w:docPartGallery w:val="Page Numbers (Bottom of Page)"/>
        <w:docPartUnique/>
      </w:docPartObj>
    </w:sdtPr>
    <w:sdtEndPr/>
    <w:sdtContent>
      <w:p w:rsidR="002E5EAB" w:rsidRDefault="00567EE1">
        <w:pPr>
          <w:pStyle w:val="Footer"/>
          <w:jc w:val="right"/>
        </w:pPr>
        <w:r>
          <w:fldChar w:fldCharType="begin"/>
        </w:r>
        <w:r>
          <w:instrText xml:space="preserve"> PAGE   \* MERGEFORMAT </w:instrText>
        </w:r>
        <w:r>
          <w:fldChar w:fldCharType="separate"/>
        </w:r>
        <w:r w:rsidR="00F1392F">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663189"/>
      <w:docPartObj>
        <w:docPartGallery w:val="Page Numbers (Bottom of Page)"/>
        <w:docPartUnique/>
      </w:docPartObj>
    </w:sdtPr>
    <w:sdtEndPr/>
    <w:sdtContent>
      <w:p w:rsidR="002E5EAB" w:rsidRDefault="00567EE1">
        <w:pPr>
          <w:pStyle w:val="Footer"/>
          <w:jc w:val="right"/>
        </w:pPr>
        <w:r>
          <w:fldChar w:fldCharType="begin"/>
        </w:r>
        <w:r>
          <w:instrText xml:space="preserve"> PAGE   \* MERGEFORMAT </w:instrText>
        </w:r>
        <w:r>
          <w:fldChar w:fldCharType="separate"/>
        </w:r>
        <w:r w:rsidR="00F1392F">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535" w:rsidRDefault="00DE0535">
      <w:r>
        <w:separator/>
      </w:r>
    </w:p>
  </w:footnote>
  <w:footnote w:type="continuationSeparator" w:id="0">
    <w:p w:rsidR="00DE0535" w:rsidRDefault="00DE0535">
      <w:r>
        <w:continuationSeparator/>
      </w:r>
    </w:p>
  </w:footnote>
  <w:footnote w:id="1">
    <w:p w:rsidR="002E5EAB" w:rsidRPr="004B6695" w:rsidRDefault="002E5EAB" w:rsidP="00B428D8">
      <w:pPr>
        <w:pStyle w:val="FootnoteText"/>
        <w:rPr>
          <w:sz w:val="16"/>
          <w:szCs w:val="16"/>
          <w:rFonts w:ascii="Verdana" w:hAnsi="Verdana"/>
        </w:rPr>
      </w:pPr>
      <w:r>
        <w:rPr>
          <w:rStyle w:val="FootnoteReference"/>
          <w:rFonts w:ascii="Verdana" w:hAnsi="Verdana"/>
          <w:sz w:val="16"/>
        </w:rPr>
        <w:footnoteRef/>
      </w:r>
      <w:r>
        <w:rPr>
          <w:sz w:val="16"/>
          <w:rFonts w:ascii="Verdana" w:hAnsi="Verdana"/>
        </w:rPr>
        <w:t xml:space="preserve"> </w:t>
      </w:r>
      <w:r>
        <w:rPr>
          <w:sz w:val="16"/>
          <w:rFonts w:ascii="Verdana" w:hAnsi="Verdana"/>
        </w:rPr>
        <w:t xml:space="preserve">Skupino ROW sestavljajo predstavniki poslovne skupnosti (industrije in trgovine), potrošnikov, ministrstev (zlasti Ministrstva za javno zdravje, socialno varnost in šport ter Ministrstva za kmetijstvo, naravo in kakovost hrane) in nizozemskega organa za varnost živil in potrošniških proizvodov [NVWA].</w:t>
      </w:r>
    </w:p>
  </w:footnote>
  <w:footnote w:id="2">
    <w:p w:rsidR="002E5EAB" w:rsidRPr="004B6695" w:rsidRDefault="002E5EAB">
      <w:pPr>
        <w:pStyle w:val="FootnoteText"/>
        <w:rPr>
          <w:sz w:val="16"/>
          <w:szCs w:val="16"/>
          <w:rFonts w:ascii="Verdana" w:hAnsi="Verdana"/>
        </w:rPr>
      </w:pPr>
      <w:r>
        <w:rPr>
          <w:rStyle w:val="FootnoteReference"/>
          <w:rFonts w:ascii="Verdana" w:hAnsi="Verdana"/>
          <w:sz w:val="16"/>
        </w:rPr>
        <w:footnoteRef/>
      </w:r>
      <w:r>
        <w:rPr>
          <w:sz w:val="16"/>
          <w:rFonts w:ascii="Verdana" w:hAnsi="Verdana"/>
        </w:rPr>
        <w:t xml:space="preserve"> </w:t>
      </w:r>
      <w:r>
        <w:rPr>
          <w:sz w:val="16"/>
          <w:rFonts w:ascii="Verdana" w:hAnsi="Verdana"/>
        </w:rPr>
        <w:t xml:space="preserve">Ocena tveganja sinefrina [Risk assessment of synephrine], RIVM, 14. marec 2018, https://www.rivm.nl/Documenten_en_publicaties/Wetenschappelijk/Rapporten/2018/maart/Risk_assessment_of_synephrine</w:t>
      </w:r>
    </w:p>
  </w:footnote>
  <w:footnote w:id="3">
    <w:p w:rsidR="002E5EAB" w:rsidRPr="004B6695" w:rsidRDefault="002E5EAB">
      <w:pPr>
        <w:pStyle w:val="FootnoteText"/>
        <w:rPr>
          <w:sz w:val="16"/>
          <w:szCs w:val="16"/>
          <w:rFonts w:ascii="Verdana" w:hAnsi="Verdana"/>
        </w:rPr>
      </w:pPr>
      <w:r>
        <w:rPr>
          <w:rStyle w:val="FootnoteReference"/>
          <w:rFonts w:ascii="Verdana" w:hAnsi="Verdana"/>
          <w:sz w:val="16"/>
        </w:rPr>
        <w:footnoteRef/>
      </w:r>
      <w:r>
        <w:rPr>
          <w:sz w:val="16"/>
          <w:rFonts w:ascii="Verdana" w:hAnsi="Verdana"/>
        </w:rPr>
        <w:t xml:space="preserve"> </w:t>
      </w:r>
      <w:r>
        <w:rPr>
          <w:sz w:val="16"/>
          <w:rFonts w:ascii="Verdana" w:hAnsi="Verdana"/>
        </w:rPr>
        <w:t xml:space="preserve">Priporočilo urada BuRO glede največjega vnosa sinefrina prek zeliščnih pripravkov z dne 26. marca 2018.</w:t>
      </w:r>
    </w:p>
  </w:footnote>
  <w:footnote w:id="4">
    <w:p w:rsidR="002E5EAB" w:rsidRPr="004B6695" w:rsidRDefault="002E5EAB" w:rsidP="009345F8">
      <w:pPr>
        <w:pStyle w:val="FootnoteText"/>
        <w:rPr>
          <w:sz w:val="16"/>
          <w:szCs w:val="16"/>
          <w:rFonts w:ascii="Verdana" w:hAnsi="Verdana"/>
        </w:rPr>
      </w:pPr>
      <w:r>
        <w:rPr>
          <w:rStyle w:val="FootnoteReference"/>
          <w:rFonts w:ascii="Verdana" w:hAnsi="Verdana"/>
          <w:sz w:val="16"/>
        </w:rPr>
        <w:footnoteRef/>
      </w:r>
      <w:r>
        <w:rPr>
          <w:sz w:val="16"/>
          <w:rFonts w:ascii="Verdana" w:hAnsi="Verdana"/>
        </w:rPr>
        <w:t xml:space="preserve"> </w:t>
      </w:r>
      <w:r>
        <w:rPr>
          <w:sz w:val="16"/>
          <w:rFonts w:ascii="Verdana" w:hAnsi="Verdana"/>
        </w:rPr>
        <w:t xml:space="preserve">Direktiva (EU) 2015/1535 Evropskega parlamenta in Sveta z dne 9. septembra 2015 o določitvi postopka za zbiranje informacij na področju tehničnih predpisov in pravil za storitve informacijske družbe (kodificirano besedilo) (UL L 241, 2015).</w:t>
      </w:r>
    </w:p>
  </w:footnote>
  <w:footnote w:id="5">
    <w:p w:rsidR="00430B87" w:rsidRPr="004B6695" w:rsidRDefault="00430B87" w:rsidP="00430B87">
      <w:pPr>
        <w:pStyle w:val="FootnoteText"/>
        <w:rPr>
          <w:sz w:val="16"/>
          <w:szCs w:val="16"/>
          <w:rFonts w:ascii="Verdana" w:hAnsi="Verdana"/>
        </w:rPr>
      </w:pPr>
      <w:r>
        <w:rPr>
          <w:rStyle w:val="FootnoteReference"/>
          <w:rFonts w:ascii="Verdana" w:hAnsi="Verdana"/>
          <w:sz w:val="16"/>
        </w:rPr>
        <w:footnoteRef/>
      </w:r>
      <w:r>
        <w:rPr>
          <w:sz w:val="16"/>
          <w:rFonts w:ascii="Verdana" w:hAnsi="Verdana"/>
        </w:rPr>
        <w:t xml:space="preserve"> </w:t>
      </w:r>
      <w:r>
        <w:rPr>
          <w:sz w:val="16"/>
          <w:rFonts w:ascii="Verdana" w:hAnsi="Verdana"/>
        </w:rPr>
        <w:t xml:space="preserve">Uredba Komisije (ES) št. 1881/2006 z dne 19. decembra 2006 o določitvi mejnih vrednosti nekaterih onesnaževal v živilih (UL L 364, 2006).</w:t>
      </w:r>
    </w:p>
  </w:footnote>
  <w:footnote w:id="6">
    <w:p w:rsidR="002E5EAB" w:rsidRPr="004B6695" w:rsidRDefault="002E5EAB" w:rsidP="00FC0162">
      <w:pPr>
        <w:pStyle w:val="FootnoteText"/>
        <w:rPr>
          <w:sz w:val="16"/>
          <w:szCs w:val="16"/>
          <w:rFonts w:ascii="Verdana" w:hAnsi="Verdana"/>
        </w:rPr>
      </w:pPr>
      <w:r>
        <w:rPr>
          <w:rStyle w:val="FootnoteReference"/>
          <w:rFonts w:ascii="Verdana" w:hAnsi="Verdana"/>
          <w:sz w:val="16"/>
        </w:rPr>
        <w:footnoteRef/>
      </w:r>
      <w:r>
        <w:rPr>
          <w:sz w:val="16"/>
          <w:rFonts w:ascii="Verdana" w:hAnsi="Verdana"/>
        </w:rPr>
        <w:t xml:space="preserve"> </w:t>
      </w:r>
      <w:r>
        <w:rPr>
          <w:sz w:val="16"/>
          <w:rFonts w:ascii="Verdana" w:hAnsi="Verdana"/>
        </w:rPr>
        <w:t xml:space="preserve">RIVM (2008); Ocena kitajskih vrst akonita [Beoordeling Chinese monnikskapsoorten].</w:t>
      </w:r>
      <w:r>
        <w:rPr>
          <w:sz w:val="16"/>
          <w:rFonts w:ascii="Verdana" w:hAnsi="Verdana"/>
        </w:rPr>
        <w:t xml:space="preserve"> </w:t>
      </w:r>
      <w:r>
        <w:rPr>
          <w:sz w:val="16"/>
          <w:rFonts w:ascii="Verdana" w:hAnsi="Verdana"/>
        </w:rPr>
        <w:t xml:space="preserve">RIVM, Center za snovi in celovito oceno tveganja [SIR], Bilthoven, 5. december 2008.</w:t>
      </w:r>
    </w:p>
    <w:p w:rsidR="002E5EAB" w:rsidRPr="004B6695" w:rsidRDefault="002E5EAB" w:rsidP="00FC0162">
      <w:pPr>
        <w:pStyle w:val="FootnoteText"/>
        <w:rPr>
          <w:sz w:val="16"/>
          <w:szCs w:val="16"/>
          <w:rFonts w:ascii="Verdana" w:hAnsi="Verdana"/>
        </w:rPr>
      </w:pPr>
      <w:r>
        <w:rPr>
          <w:sz w:val="16"/>
          <w:rFonts w:ascii="Verdana" w:hAnsi="Verdana"/>
        </w:rPr>
        <w:t xml:space="preserve">RIVM (2011); Ocena zdravstvenih tveganj določenih snovi v zeliščnih pripravkih [Beoordeling van de gezondheidsrisico’s van een aantal specifieke stoffen in kruidenpreparaten].</w:t>
      </w:r>
      <w:r>
        <w:rPr>
          <w:sz w:val="16"/>
          <w:rFonts w:ascii="Verdana" w:hAnsi="Verdana"/>
        </w:rPr>
        <w:t xml:space="preserve"> </w:t>
      </w:r>
      <w:r>
        <w:rPr>
          <w:sz w:val="16"/>
          <w:rFonts w:ascii="Verdana" w:hAnsi="Verdana"/>
        </w:rPr>
        <w:t xml:space="preserve">RIVM, Center za snovi in celovito oceno tveganja [SIR], Bilthoven, 30. marec 2011.</w:t>
      </w:r>
    </w:p>
    <w:p w:rsidR="002E5EAB" w:rsidRPr="004B6695" w:rsidRDefault="002E5EAB" w:rsidP="00FC0162">
      <w:pPr>
        <w:pStyle w:val="FootnoteText"/>
        <w:rPr>
          <w:sz w:val="16"/>
          <w:szCs w:val="16"/>
          <w:rFonts w:ascii="Verdana" w:hAnsi="Verdana"/>
        </w:rPr>
      </w:pPr>
      <w:r>
        <w:rPr>
          <w:sz w:val="16"/>
          <w:rFonts w:ascii="Verdana" w:hAnsi="Verdana"/>
        </w:rPr>
        <w:t xml:space="preserve">RIVM (2009); Ocena zdravstvenih tveganj „prepovedanih zelišč“ [Beoordeling van de gezondheidsrisico’s van ‘verboden kruiden’]; številka poročila 320011002.</w:t>
      </w:r>
      <w:r>
        <w:rPr>
          <w:sz w:val="16"/>
          <w:rFonts w:ascii="Verdana" w:hAnsi="Verdana"/>
        </w:rPr>
        <w:t xml:space="preserve"> </w:t>
      </w:r>
      <w:r>
        <w:rPr>
          <w:sz w:val="16"/>
          <w:rFonts w:ascii="Verdana" w:hAnsi="Verdana"/>
        </w:rPr>
        <w:t xml:space="preserve">RIVM, Center za snovi in celovito oceno tveganja [SIR], Bilthoven, 15. junij 2009.</w:t>
      </w:r>
    </w:p>
    <w:p w:rsidR="002E5EAB" w:rsidRPr="004B6695" w:rsidRDefault="002E5EAB" w:rsidP="00FC0162">
      <w:pPr>
        <w:pStyle w:val="FootnoteText"/>
        <w:rPr>
          <w:sz w:val="16"/>
          <w:szCs w:val="16"/>
          <w:rFonts w:ascii="Verdana" w:hAnsi="Verdana"/>
        </w:rPr>
      </w:pPr>
      <w:r>
        <w:rPr>
          <w:sz w:val="16"/>
          <w:rFonts w:ascii="Verdana" w:hAnsi="Verdana"/>
        </w:rPr>
        <w:t xml:space="preserve">RIVM (2009); Ocena tveganja rastline Pilocarpus jaborandi [Risicobeoordeling Pilocarpus jaborandi].</w:t>
      </w:r>
      <w:r>
        <w:rPr>
          <w:sz w:val="16"/>
          <w:rFonts w:ascii="Verdana" w:hAnsi="Verdana"/>
        </w:rPr>
        <w:t xml:space="preserve"> </w:t>
      </w:r>
      <w:r>
        <w:rPr>
          <w:sz w:val="16"/>
          <w:rFonts w:ascii="Verdana" w:hAnsi="Verdana"/>
        </w:rPr>
        <w:t xml:space="preserve">RIVM, Center za snovi in celovito oceno tveganja [SIR], Bilthoven, 14. december 2009.</w:t>
      </w:r>
    </w:p>
    <w:p w:rsidR="002E5EAB" w:rsidRPr="004B6695" w:rsidRDefault="002E5EAB" w:rsidP="008E734A">
      <w:pPr>
        <w:pStyle w:val="FootnoteText"/>
        <w:rPr>
          <w:sz w:val="16"/>
          <w:szCs w:val="16"/>
          <w:rFonts w:ascii="Verdana" w:hAnsi="Verdana"/>
        </w:rPr>
      </w:pPr>
      <w:r>
        <w:rPr>
          <w:sz w:val="16"/>
          <w:rFonts w:ascii="Verdana" w:hAnsi="Verdana"/>
        </w:rPr>
        <w:t xml:space="preserve">RIVM (2010); Ocena zahtevka za odobritev odstopanja v skladu z Uredbo o Zakonu o kakovosti blaga v zvezi z ricinusovim oljem [Beoordeling ontheffingsaanvraag Warenwetbesluit Kruidenpreparaten voor ricinusolie].</w:t>
      </w:r>
      <w:r>
        <w:rPr>
          <w:sz w:val="16"/>
          <w:rFonts w:ascii="Verdana" w:hAnsi="Verdana"/>
        </w:rPr>
        <w:t xml:space="preserve"> </w:t>
      </w:r>
      <w:r>
        <w:rPr>
          <w:sz w:val="16"/>
          <w:rFonts w:ascii="Verdana" w:hAnsi="Verdana"/>
        </w:rPr>
        <w:t xml:space="preserve">RIVM, Center za snovi in celovito oceno tveganja [SIR], Bilthoven, 20. december 2010.</w:t>
      </w:r>
    </w:p>
  </w:footnote>
  <w:footnote w:id="7">
    <w:p w:rsidR="002E5EAB" w:rsidRPr="004B6695" w:rsidRDefault="002E5EAB" w:rsidP="008E734A">
      <w:pPr>
        <w:pStyle w:val="FootnoteText"/>
        <w:rPr>
          <w:sz w:val="16"/>
          <w:szCs w:val="16"/>
          <w:rFonts w:ascii="Verdana" w:hAnsi="Verdana"/>
        </w:rPr>
      </w:pPr>
      <w:r>
        <w:rPr>
          <w:rStyle w:val="FootnoteReference"/>
          <w:rFonts w:ascii="Verdana" w:hAnsi="Verdana"/>
          <w:sz w:val="16"/>
        </w:rPr>
        <w:footnoteRef/>
      </w:r>
      <w:r>
        <w:rPr>
          <w:sz w:val="16"/>
          <w:rFonts w:ascii="Verdana" w:hAnsi="Verdana"/>
        </w:rPr>
        <w:t xml:space="preserve"> </w:t>
      </w:r>
      <w:r>
        <w:rPr>
          <w:sz w:val="16"/>
          <w:rFonts w:ascii="Verdana" w:hAnsi="Verdana"/>
        </w:rPr>
        <w:t xml:space="preserve">Uredba (ES) št. 1334/2008 Evropskega parlamenta in Sveta z dne 16. decembra 2008 o aromah in nekaterih sestavinah živil z aromatičnimi lastnostmi za uporabo v in na živilih ter spremembi Uredbe Sveta (EGS) št. 1601/91, uredb (ES) št. 2232/96 in (ES) št. 110/2008 ter Direktive 2000/13/ES (UL L 354, 2008).</w:t>
      </w:r>
    </w:p>
  </w:footnote>
  <w:footnote w:id="8">
    <w:p w:rsidR="002E5EAB" w:rsidRPr="004B6695" w:rsidRDefault="002E5EAB" w:rsidP="008E734A">
      <w:pPr>
        <w:pStyle w:val="FootnoteText"/>
        <w:rPr>
          <w:sz w:val="16"/>
          <w:szCs w:val="16"/>
          <w:rFonts w:ascii="Verdana" w:hAnsi="Verdana"/>
        </w:rPr>
      </w:pPr>
      <w:r>
        <w:rPr>
          <w:rStyle w:val="FootnoteReference"/>
          <w:rFonts w:ascii="Verdana" w:hAnsi="Verdana"/>
          <w:sz w:val="16"/>
        </w:rPr>
        <w:footnoteRef/>
      </w:r>
      <w:r>
        <w:rPr>
          <w:sz w:val="16"/>
          <w:rFonts w:ascii="Verdana" w:hAnsi="Verdana"/>
        </w:rPr>
        <w:t xml:space="preserve"> </w:t>
      </w:r>
      <w:r>
        <w:rPr>
          <w:sz w:val="16"/>
          <w:rFonts w:ascii="Verdana" w:hAnsi="Verdana"/>
        </w:rPr>
        <w:t xml:space="preserve">RIVM (2010); Ocena zahtevka za odobritev odstopanja v skladu z Uredbo o Zakonu o kakovosti blaga v zvezi z ricinusovim oljem [Beoordeling ontheffingsaanvraag Warenwetbesluit Kruidenpreparaten voor ricinusolie].</w:t>
      </w:r>
      <w:r>
        <w:rPr>
          <w:sz w:val="16"/>
          <w:rFonts w:ascii="Verdana" w:hAnsi="Verdana"/>
        </w:rPr>
        <w:t xml:space="preserve"> </w:t>
      </w:r>
      <w:r>
        <w:rPr>
          <w:sz w:val="16"/>
          <w:rFonts w:ascii="Verdana" w:hAnsi="Verdana"/>
        </w:rPr>
        <w:t xml:space="preserve">RIVM, Center za snovi in celovito oceno tveganja [SIR], Bilthoven, 20. december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AB" w:rsidRDefault="002E5EAB">
    <w:pPr>
      <w:pStyle w:val="Header"/>
      <w:spacing w:before="15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AB" w:rsidRDefault="002E5EAB">
    <w:pPr>
      <w:pStyle w:val="Header"/>
      <w:spacing w:before="1762" w:line="2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B0800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BBC7D2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92CD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7D42AF3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B42783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40A25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456266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8E243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C30C614"/>
    <w:lvl w:ilvl="0">
      <w:start w:val="1"/>
      <w:numFmt w:val="decimal"/>
      <w:pStyle w:val="ListNumber"/>
      <w:lvlText w:val="%1."/>
      <w:lvlJc w:val="left"/>
      <w:pPr>
        <w:tabs>
          <w:tab w:val="num" w:pos="360"/>
        </w:tabs>
        <w:ind w:left="360" w:hanging="360"/>
      </w:pPr>
    </w:lvl>
  </w:abstractNum>
  <w:abstractNum w:abstractNumId="9">
    <w:nsid w:val="FFFFFF89"/>
    <w:multiLevelType w:val="singleLevel"/>
    <w:tmpl w:val="114032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64F44"/>
    <w:multiLevelType w:val="hybridMultilevel"/>
    <w:tmpl w:val="A8C2BD74"/>
    <w:lvl w:ilvl="0" w:tplc="C8FE2FB6">
      <w:start w:val="1"/>
      <w:numFmt w:val="decimal"/>
      <w:lvlText w:val="%1."/>
      <w:lvlJc w:val="left"/>
      <w:pPr>
        <w:ind w:left="2628" w:hanging="360"/>
      </w:pPr>
      <w:rPr>
        <w:rFonts w:hint="default"/>
      </w:rPr>
    </w:lvl>
    <w:lvl w:ilvl="1" w:tplc="04130019">
      <w:start w:val="1"/>
      <w:numFmt w:val="lowerLetter"/>
      <w:lvlText w:val="%2."/>
      <w:lvlJc w:val="left"/>
      <w:pPr>
        <w:ind w:left="3621"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1">
    <w:nsid w:val="09C574D1"/>
    <w:multiLevelType w:val="hybridMultilevel"/>
    <w:tmpl w:val="2F88DA6A"/>
    <w:lvl w:ilvl="0" w:tplc="C8FE2FB6">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2">
    <w:nsid w:val="1A1A0FCE"/>
    <w:multiLevelType w:val="hybridMultilevel"/>
    <w:tmpl w:val="4B487D2C"/>
    <w:lvl w:ilvl="0" w:tplc="0413000F">
      <w:start w:val="1"/>
      <w:numFmt w:val="decimal"/>
      <w:lvlText w:val="%1."/>
      <w:lvlJc w:val="left"/>
      <w:pPr>
        <w:ind w:left="2988" w:hanging="360"/>
      </w:pPr>
      <w:rPr>
        <w:rFonts w:hint="default"/>
      </w:rPr>
    </w:lvl>
    <w:lvl w:ilvl="1" w:tplc="04130019">
      <w:start w:val="1"/>
      <w:numFmt w:val="lowerLetter"/>
      <w:lvlText w:val="%2."/>
      <w:lvlJc w:val="left"/>
      <w:pPr>
        <w:ind w:left="3708" w:hanging="360"/>
      </w:pPr>
    </w:lvl>
    <w:lvl w:ilvl="2" w:tplc="0413001B" w:tentative="1">
      <w:start w:val="1"/>
      <w:numFmt w:val="lowerRoman"/>
      <w:lvlText w:val="%3."/>
      <w:lvlJc w:val="right"/>
      <w:pPr>
        <w:ind w:left="4428" w:hanging="180"/>
      </w:pPr>
    </w:lvl>
    <w:lvl w:ilvl="3" w:tplc="0413000F" w:tentative="1">
      <w:start w:val="1"/>
      <w:numFmt w:val="decimal"/>
      <w:lvlText w:val="%4."/>
      <w:lvlJc w:val="left"/>
      <w:pPr>
        <w:ind w:left="5148" w:hanging="360"/>
      </w:pPr>
    </w:lvl>
    <w:lvl w:ilvl="4" w:tplc="04130019" w:tentative="1">
      <w:start w:val="1"/>
      <w:numFmt w:val="lowerLetter"/>
      <w:lvlText w:val="%5."/>
      <w:lvlJc w:val="left"/>
      <w:pPr>
        <w:ind w:left="5868" w:hanging="360"/>
      </w:pPr>
    </w:lvl>
    <w:lvl w:ilvl="5" w:tplc="0413001B" w:tentative="1">
      <w:start w:val="1"/>
      <w:numFmt w:val="lowerRoman"/>
      <w:lvlText w:val="%6."/>
      <w:lvlJc w:val="right"/>
      <w:pPr>
        <w:ind w:left="6588" w:hanging="180"/>
      </w:pPr>
    </w:lvl>
    <w:lvl w:ilvl="6" w:tplc="0413000F" w:tentative="1">
      <w:start w:val="1"/>
      <w:numFmt w:val="decimal"/>
      <w:lvlText w:val="%7."/>
      <w:lvlJc w:val="left"/>
      <w:pPr>
        <w:ind w:left="7308" w:hanging="360"/>
      </w:pPr>
    </w:lvl>
    <w:lvl w:ilvl="7" w:tplc="04130019" w:tentative="1">
      <w:start w:val="1"/>
      <w:numFmt w:val="lowerLetter"/>
      <w:lvlText w:val="%8."/>
      <w:lvlJc w:val="left"/>
      <w:pPr>
        <w:ind w:left="8028" w:hanging="360"/>
      </w:pPr>
    </w:lvl>
    <w:lvl w:ilvl="8" w:tplc="0413001B" w:tentative="1">
      <w:start w:val="1"/>
      <w:numFmt w:val="lowerRoman"/>
      <w:lvlText w:val="%9."/>
      <w:lvlJc w:val="right"/>
      <w:pPr>
        <w:ind w:left="8748" w:hanging="180"/>
      </w:pPr>
    </w:lvl>
  </w:abstractNum>
  <w:abstractNum w:abstractNumId="13">
    <w:nsid w:val="26AA06D4"/>
    <w:multiLevelType w:val="hybridMultilevel"/>
    <w:tmpl w:val="FF7CE7A2"/>
    <w:lvl w:ilvl="0" w:tplc="04130019">
      <w:start w:val="1"/>
      <w:numFmt w:val="decimal"/>
      <w:lvlText w:val="%1."/>
      <w:lvlJc w:val="left"/>
      <w:pPr>
        <w:ind w:left="2628" w:hanging="360"/>
      </w:p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4">
    <w:nsid w:val="3D5A72BB"/>
    <w:multiLevelType w:val="hybridMultilevel"/>
    <w:tmpl w:val="9BC67F08"/>
    <w:lvl w:ilvl="0" w:tplc="0413000F">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5">
    <w:nsid w:val="46F72CB3"/>
    <w:multiLevelType w:val="hybridMultilevel"/>
    <w:tmpl w:val="26FCFD12"/>
    <w:lvl w:ilvl="0" w:tplc="2BEA3D76">
      <w:numFmt w:val="bullet"/>
      <w:lvlText w:val="-"/>
      <w:lvlJc w:val="left"/>
      <w:pPr>
        <w:ind w:left="2628" w:hanging="360"/>
      </w:pPr>
      <w:rPr>
        <w:rFonts w:ascii="Verdana" w:eastAsia="Times New Roman" w:hAnsi="Verdana" w:cs="Times New Roman"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6">
    <w:nsid w:val="4B0679D7"/>
    <w:multiLevelType w:val="hybridMultilevel"/>
    <w:tmpl w:val="147C4076"/>
    <w:lvl w:ilvl="0" w:tplc="C8FE2FB6">
      <w:start w:val="1"/>
      <w:numFmt w:val="decimal"/>
      <w:lvlText w:val="%1."/>
      <w:lvlJc w:val="left"/>
      <w:pPr>
        <w:ind w:left="2628" w:hanging="360"/>
      </w:pPr>
      <w:rPr>
        <w:rFonts w:hint="default"/>
      </w:rPr>
    </w:lvl>
    <w:lvl w:ilvl="1" w:tplc="04130019">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7">
    <w:nsid w:val="4C8852E2"/>
    <w:multiLevelType w:val="hybridMultilevel"/>
    <w:tmpl w:val="D4F8BAFA"/>
    <w:lvl w:ilvl="0" w:tplc="04130019">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8">
    <w:nsid w:val="507B3795"/>
    <w:multiLevelType w:val="hybridMultilevel"/>
    <w:tmpl w:val="FF46A524"/>
    <w:lvl w:ilvl="0" w:tplc="A148D6C0">
      <w:start w:val="1"/>
      <w:numFmt w:val="decimal"/>
      <w:lvlText w:val="%1."/>
      <w:lvlJc w:val="left"/>
      <w:pPr>
        <w:ind w:left="2838" w:hanging="57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9">
    <w:nsid w:val="568E4EC0"/>
    <w:multiLevelType w:val="hybridMultilevel"/>
    <w:tmpl w:val="F878D528"/>
    <w:lvl w:ilvl="0" w:tplc="C02E45FA">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20">
    <w:nsid w:val="7DAE4CB9"/>
    <w:multiLevelType w:val="hybridMultilevel"/>
    <w:tmpl w:val="F85A4AF2"/>
    <w:lvl w:ilvl="0" w:tplc="E8C447CE">
      <w:start w:val="1"/>
      <w:numFmt w:val="decimal"/>
      <w:lvlText w:val="%1."/>
      <w:lvlJc w:val="left"/>
      <w:pPr>
        <w:ind w:left="3198" w:hanging="360"/>
      </w:pPr>
      <w:rPr>
        <w:rFonts w:hint="default"/>
      </w:rPr>
    </w:lvl>
    <w:lvl w:ilvl="1" w:tplc="04130019" w:tentative="1">
      <w:start w:val="1"/>
      <w:numFmt w:val="lowerLetter"/>
      <w:lvlText w:val="%2."/>
      <w:lvlJc w:val="left"/>
      <w:pPr>
        <w:ind w:left="3918" w:hanging="360"/>
      </w:pPr>
    </w:lvl>
    <w:lvl w:ilvl="2" w:tplc="0413001B" w:tentative="1">
      <w:start w:val="1"/>
      <w:numFmt w:val="lowerRoman"/>
      <w:lvlText w:val="%3."/>
      <w:lvlJc w:val="right"/>
      <w:pPr>
        <w:ind w:left="4638" w:hanging="180"/>
      </w:pPr>
    </w:lvl>
    <w:lvl w:ilvl="3" w:tplc="0413000F" w:tentative="1">
      <w:start w:val="1"/>
      <w:numFmt w:val="decimal"/>
      <w:lvlText w:val="%4."/>
      <w:lvlJc w:val="left"/>
      <w:pPr>
        <w:ind w:left="5358" w:hanging="360"/>
      </w:pPr>
    </w:lvl>
    <w:lvl w:ilvl="4" w:tplc="04130019" w:tentative="1">
      <w:start w:val="1"/>
      <w:numFmt w:val="lowerLetter"/>
      <w:lvlText w:val="%5."/>
      <w:lvlJc w:val="left"/>
      <w:pPr>
        <w:ind w:left="6078" w:hanging="360"/>
      </w:pPr>
    </w:lvl>
    <w:lvl w:ilvl="5" w:tplc="0413001B" w:tentative="1">
      <w:start w:val="1"/>
      <w:numFmt w:val="lowerRoman"/>
      <w:lvlText w:val="%6."/>
      <w:lvlJc w:val="right"/>
      <w:pPr>
        <w:ind w:left="6798" w:hanging="180"/>
      </w:pPr>
    </w:lvl>
    <w:lvl w:ilvl="6" w:tplc="0413000F" w:tentative="1">
      <w:start w:val="1"/>
      <w:numFmt w:val="decimal"/>
      <w:lvlText w:val="%7."/>
      <w:lvlJc w:val="left"/>
      <w:pPr>
        <w:ind w:left="7518" w:hanging="360"/>
      </w:pPr>
    </w:lvl>
    <w:lvl w:ilvl="7" w:tplc="04130019" w:tentative="1">
      <w:start w:val="1"/>
      <w:numFmt w:val="lowerLetter"/>
      <w:lvlText w:val="%8."/>
      <w:lvlJc w:val="left"/>
      <w:pPr>
        <w:ind w:left="8238" w:hanging="360"/>
      </w:pPr>
    </w:lvl>
    <w:lvl w:ilvl="8" w:tplc="0413001B" w:tentative="1">
      <w:start w:val="1"/>
      <w:numFmt w:val="lowerRoman"/>
      <w:lvlText w:val="%9."/>
      <w:lvlJc w:val="right"/>
      <w:pPr>
        <w:ind w:left="895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0"/>
  </w:num>
  <w:num w:numId="24">
    <w:abstractNumId w:val="11"/>
  </w:num>
  <w:num w:numId="25">
    <w:abstractNumId w:val="15"/>
  </w:num>
  <w:num w:numId="26">
    <w:abstractNumId w:val="13"/>
  </w:num>
  <w:num w:numId="27">
    <w:abstractNumId w:val="14"/>
  </w:num>
  <w:num w:numId="28">
    <w:abstractNumId w:val="17"/>
  </w:num>
  <w:num w:numId="29">
    <w:abstractNumId w:val="18"/>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activeWritingStyle w:appName="MSWord" w:lang="nl-NL" w:vendorID="9" w:dllVersion="512" w:checkStyle="1"/>
  <w:activeWritingStyle w:appName="MSWord" w:lang="nl-NL" w:vendorID="1" w:dllVersion="512" w:checkStyle="1"/>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62"/>
    <w:rsid w:val="000306A1"/>
    <w:rsid w:val="000414C9"/>
    <w:rsid w:val="000446F2"/>
    <w:rsid w:val="0004538B"/>
    <w:rsid w:val="000478B3"/>
    <w:rsid w:val="000552D8"/>
    <w:rsid w:val="00060A6E"/>
    <w:rsid w:val="00060CB2"/>
    <w:rsid w:val="00063390"/>
    <w:rsid w:val="000634DB"/>
    <w:rsid w:val="00093369"/>
    <w:rsid w:val="000A1E70"/>
    <w:rsid w:val="000B2822"/>
    <w:rsid w:val="000C18E4"/>
    <w:rsid w:val="000C37A0"/>
    <w:rsid w:val="000E0515"/>
    <w:rsid w:val="000E23EB"/>
    <w:rsid w:val="000E2EAB"/>
    <w:rsid w:val="001037E8"/>
    <w:rsid w:val="00117420"/>
    <w:rsid w:val="001231D7"/>
    <w:rsid w:val="00145ED0"/>
    <w:rsid w:val="00176336"/>
    <w:rsid w:val="00183469"/>
    <w:rsid w:val="001960C4"/>
    <w:rsid w:val="00196262"/>
    <w:rsid w:val="00196781"/>
    <w:rsid w:val="001C0010"/>
    <w:rsid w:val="001C64DD"/>
    <w:rsid w:val="001E0693"/>
    <w:rsid w:val="001E1936"/>
    <w:rsid w:val="001E6005"/>
    <w:rsid w:val="00223B57"/>
    <w:rsid w:val="00225092"/>
    <w:rsid w:val="002308EC"/>
    <w:rsid w:val="0024053D"/>
    <w:rsid w:val="002476F5"/>
    <w:rsid w:val="00250BDB"/>
    <w:rsid w:val="00256C2B"/>
    <w:rsid w:val="0025703A"/>
    <w:rsid w:val="002708AB"/>
    <w:rsid w:val="002714CE"/>
    <w:rsid w:val="0029085E"/>
    <w:rsid w:val="00292028"/>
    <w:rsid w:val="002921B4"/>
    <w:rsid w:val="00294AEA"/>
    <w:rsid w:val="002A288B"/>
    <w:rsid w:val="002B54FD"/>
    <w:rsid w:val="002C2B74"/>
    <w:rsid w:val="002C445B"/>
    <w:rsid w:val="002D5C67"/>
    <w:rsid w:val="002D79B3"/>
    <w:rsid w:val="002E5EAB"/>
    <w:rsid w:val="002F64D5"/>
    <w:rsid w:val="002F7B3A"/>
    <w:rsid w:val="00305B8E"/>
    <w:rsid w:val="0031322B"/>
    <w:rsid w:val="003143CD"/>
    <w:rsid w:val="00317515"/>
    <w:rsid w:val="0032057A"/>
    <w:rsid w:val="003345ED"/>
    <w:rsid w:val="00345C53"/>
    <w:rsid w:val="003545C4"/>
    <w:rsid w:val="00355E9B"/>
    <w:rsid w:val="00370E07"/>
    <w:rsid w:val="003825F1"/>
    <w:rsid w:val="00392359"/>
    <w:rsid w:val="0039728D"/>
    <w:rsid w:val="003B442C"/>
    <w:rsid w:val="003B5162"/>
    <w:rsid w:val="003C006F"/>
    <w:rsid w:val="003C3169"/>
    <w:rsid w:val="003C7364"/>
    <w:rsid w:val="003D0C77"/>
    <w:rsid w:val="0040189C"/>
    <w:rsid w:val="00401912"/>
    <w:rsid w:val="004165B5"/>
    <w:rsid w:val="00420744"/>
    <w:rsid w:val="00421AAD"/>
    <w:rsid w:val="0042448A"/>
    <w:rsid w:val="0043098B"/>
    <w:rsid w:val="00430B87"/>
    <w:rsid w:val="0044067E"/>
    <w:rsid w:val="00443563"/>
    <w:rsid w:val="0045127A"/>
    <w:rsid w:val="00482F98"/>
    <w:rsid w:val="00485F0F"/>
    <w:rsid w:val="00497A92"/>
    <w:rsid w:val="004B6695"/>
    <w:rsid w:val="004C2327"/>
    <w:rsid w:val="004C3496"/>
    <w:rsid w:val="004E3FE4"/>
    <w:rsid w:val="004E4918"/>
    <w:rsid w:val="00500044"/>
    <w:rsid w:val="005016F0"/>
    <w:rsid w:val="005059AF"/>
    <w:rsid w:val="00510BBD"/>
    <w:rsid w:val="0051720D"/>
    <w:rsid w:val="005333BE"/>
    <w:rsid w:val="005441BF"/>
    <w:rsid w:val="00550AD8"/>
    <w:rsid w:val="00551657"/>
    <w:rsid w:val="00557876"/>
    <w:rsid w:val="0055791C"/>
    <w:rsid w:val="005600DD"/>
    <w:rsid w:val="005621C2"/>
    <w:rsid w:val="00567EE1"/>
    <w:rsid w:val="00583D07"/>
    <w:rsid w:val="00586978"/>
    <w:rsid w:val="00587945"/>
    <w:rsid w:val="00591598"/>
    <w:rsid w:val="00592E9C"/>
    <w:rsid w:val="005A1A2C"/>
    <w:rsid w:val="005A65F6"/>
    <w:rsid w:val="005A7F79"/>
    <w:rsid w:val="005B43ED"/>
    <w:rsid w:val="005B4FAB"/>
    <w:rsid w:val="005C6A30"/>
    <w:rsid w:val="005C714F"/>
    <w:rsid w:val="005D7072"/>
    <w:rsid w:val="005E47AF"/>
    <w:rsid w:val="005E4D39"/>
    <w:rsid w:val="005E52AB"/>
    <w:rsid w:val="005E7B28"/>
    <w:rsid w:val="005F32CF"/>
    <w:rsid w:val="005F794F"/>
    <w:rsid w:val="0060213F"/>
    <w:rsid w:val="00610A2C"/>
    <w:rsid w:val="00615E9D"/>
    <w:rsid w:val="00624543"/>
    <w:rsid w:val="00643157"/>
    <w:rsid w:val="0064439B"/>
    <w:rsid w:val="00646A87"/>
    <w:rsid w:val="00652AEA"/>
    <w:rsid w:val="006636BC"/>
    <w:rsid w:val="00670294"/>
    <w:rsid w:val="0067749E"/>
    <w:rsid w:val="006A4A7D"/>
    <w:rsid w:val="006B479D"/>
    <w:rsid w:val="006E531C"/>
    <w:rsid w:val="006F5217"/>
    <w:rsid w:val="00712DF2"/>
    <w:rsid w:val="00715CA8"/>
    <w:rsid w:val="00727080"/>
    <w:rsid w:val="00730004"/>
    <w:rsid w:val="00731C2B"/>
    <w:rsid w:val="00732703"/>
    <w:rsid w:val="00732DEB"/>
    <w:rsid w:val="00735C87"/>
    <w:rsid w:val="00737E1C"/>
    <w:rsid w:val="00740EC3"/>
    <w:rsid w:val="00757FD1"/>
    <w:rsid w:val="00761835"/>
    <w:rsid w:val="007640A4"/>
    <w:rsid w:val="00773541"/>
    <w:rsid w:val="007747CE"/>
    <w:rsid w:val="00775921"/>
    <w:rsid w:val="00787FE4"/>
    <w:rsid w:val="007A400F"/>
    <w:rsid w:val="007A7A68"/>
    <w:rsid w:val="007C1DC6"/>
    <w:rsid w:val="007C6E9D"/>
    <w:rsid w:val="007C792C"/>
    <w:rsid w:val="007D0DFA"/>
    <w:rsid w:val="007D3727"/>
    <w:rsid w:val="007E2295"/>
    <w:rsid w:val="007E7D62"/>
    <w:rsid w:val="007F08F8"/>
    <w:rsid w:val="007F2C23"/>
    <w:rsid w:val="00811562"/>
    <w:rsid w:val="00816861"/>
    <w:rsid w:val="00817257"/>
    <w:rsid w:val="008179B7"/>
    <w:rsid w:val="008250DF"/>
    <w:rsid w:val="00835F89"/>
    <w:rsid w:val="00837AE7"/>
    <w:rsid w:val="00843D1D"/>
    <w:rsid w:val="008534C5"/>
    <w:rsid w:val="00861CD2"/>
    <w:rsid w:val="008952DA"/>
    <w:rsid w:val="008A041C"/>
    <w:rsid w:val="008A18AA"/>
    <w:rsid w:val="008B033B"/>
    <w:rsid w:val="008B2C8B"/>
    <w:rsid w:val="008C22D4"/>
    <w:rsid w:val="008D0CAF"/>
    <w:rsid w:val="008D38B6"/>
    <w:rsid w:val="008D69EA"/>
    <w:rsid w:val="008E734A"/>
    <w:rsid w:val="008F0589"/>
    <w:rsid w:val="009016D1"/>
    <w:rsid w:val="00932A51"/>
    <w:rsid w:val="009345F8"/>
    <w:rsid w:val="0093487E"/>
    <w:rsid w:val="0095665C"/>
    <w:rsid w:val="00967BB6"/>
    <w:rsid w:val="00967D68"/>
    <w:rsid w:val="009737E5"/>
    <w:rsid w:val="00973FE4"/>
    <w:rsid w:val="009806E1"/>
    <w:rsid w:val="0098275F"/>
    <w:rsid w:val="0098725C"/>
    <w:rsid w:val="009E455E"/>
    <w:rsid w:val="009F3CE5"/>
    <w:rsid w:val="00A04453"/>
    <w:rsid w:val="00A27E62"/>
    <w:rsid w:val="00A31DC6"/>
    <w:rsid w:val="00A33B8D"/>
    <w:rsid w:val="00A351C9"/>
    <w:rsid w:val="00A46CDA"/>
    <w:rsid w:val="00A47007"/>
    <w:rsid w:val="00A5016D"/>
    <w:rsid w:val="00A53898"/>
    <w:rsid w:val="00A67444"/>
    <w:rsid w:val="00A74EF0"/>
    <w:rsid w:val="00A76E98"/>
    <w:rsid w:val="00A82C01"/>
    <w:rsid w:val="00A82D46"/>
    <w:rsid w:val="00A82F87"/>
    <w:rsid w:val="00A97A54"/>
    <w:rsid w:val="00AA7461"/>
    <w:rsid w:val="00AB3B66"/>
    <w:rsid w:val="00AB4972"/>
    <w:rsid w:val="00AB497F"/>
    <w:rsid w:val="00AD2912"/>
    <w:rsid w:val="00AD2E4A"/>
    <w:rsid w:val="00AE02B0"/>
    <w:rsid w:val="00AF5E53"/>
    <w:rsid w:val="00B01382"/>
    <w:rsid w:val="00B01BA3"/>
    <w:rsid w:val="00B02BEE"/>
    <w:rsid w:val="00B207F7"/>
    <w:rsid w:val="00B24606"/>
    <w:rsid w:val="00B32311"/>
    <w:rsid w:val="00B34ABB"/>
    <w:rsid w:val="00B41683"/>
    <w:rsid w:val="00B41BE2"/>
    <w:rsid w:val="00B428D8"/>
    <w:rsid w:val="00B44ECE"/>
    <w:rsid w:val="00B46E21"/>
    <w:rsid w:val="00B5019B"/>
    <w:rsid w:val="00B556CF"/>
    <w:rsid w:val="00B56093"/>
    <w:rsid w:val="00B561EB"/>
    <w:rsid w:val="00B64698"/>
    <w:rsid w:val="00B67E83"/>
    <w:rsid w:val="00B71129"/>
    <w:rsid w:val="00B72FAF"/>
    <w:rsid w:val="00B80666"/>
    <w:rsid w:val="00B874E0"/>
    <w:rsid w:val="00BB02A9"/>
    <w:rsid w:val="00BB07D4"/>
    <w:rsid w:val="00BB11AA"/>
    <w:rsid w:val="00BB551C"/>
    <w:rsid w:val="00BB70CC"/>
    <w:rsid w:val="00BB7CCF"/>
    <w:rsid w:val="00BC6861"/>
    <w:rsid w:val="00BD2594"/>
    <w:rsid w:val="00BF3143"/>
    <w:rsid w:val="00BF3F64"/>
    <w:rsid w:val="00C4141A"/>
    <w:rsid w:val="00C4350A"/>
    <w:rsid w:val="00C50FE3"/>
    <w:rsid w:val="00C53758"/>
    <w:rsid w:val="00C5642F"/>
    <w:rsid w:val="00C61D5C"/>
    <w:rsid w:val="00C778A3"/>
    <w:rsid w:val="00C82775"/>
    <w:rsid w:val="00C93CDF"/>
    <w:rsid w:val="00CA2E3C"/>
    <w:rsid w:val="00CB5A04"/>
    <w:rsid w:val="00CC5BEA"/>
    <w:rsid w:val="00CD5C43"/>
    <w:rsid w:val="00CE5084"/>
    <w:rsid w:val="00CE52C4"/>
    <w:rsid w:val="00D107D4"/>
    <w:rsid w:val="00D4549F"/>
    <w:rsid w:val="00D50F33"/>
    <w:rsid w:val="00D62430"/>
    <w:rsid w:val="00D65AD6"/>
    <w:rsid w:val="00D8580E"/>
    <w:rsid w:val="00D91AE4"/>
    <w:rsid w:val="00D9610F"/>
    <w:rsid w:val="00DA0E75"/>
    <w:rsid w:val="00DA4178"/>
    <w:rsid w:val="00DB2C45"/>
    <w:rsid w:val="00DC2C4E"/>
    <w:rsid w:val="00DD3086"/>
    <w:rsid w:val="00DE0535"/>
    <w:rsid w:val="00DE3374"/>
    <w:rsid w:val="00DE4D7B"/>
    <w:rsid w:val="00E14DAF"/>
    <w:rsid w:val="00E17C57"/>
    <w:rsid w:val="00E22A5E"/>
    <w:rsid w:val="00E24A62"/>
    <w:rsid w:val="00E26DBD"/>
    <w:rsid w:val="00E27C82"/>
    <w:rsid w:val="00E33217"/>
    <w:rsid w:val="00E35889"/>
    <w:rsid w:val="00E42020"/>
    <w:rsid w:val="00E44D04"/>
    <w:rsid w:val="00E8182F"/>
    <w:rsid w:val="00E836EA"/>
    <w:rsid w:val="00EA51D7"/>
    <w:rsid w:val="00EA722D"/>
    <w:rsid w:val="00EC553A"/>
    <w:rsid w:val="00ED086C"/>
    <w:rsid w:val="00ED310D"/>
    <w:rsid w:val="00EE2253"/>
    <w:rsid w:val="00EE6914"/>
    <w:rsid w:val="00F01BC0"/>
    <w:rsid w:val="00F07731"/>
    <w:rsid w:val="00F120A1"/>
    <w:rsid w:val="00F1392F"/>
    <w:rsid w:val="00F276AE"/>
    <w:rsid w:val="00F30DC4"/>
    <w:rsid w:val="00F332A7"/>
    <w:rsid w:val="00F517C1"/>
    <w:rsid w:val="00F51F89"/>
    <w:rsid w:val="00F6533C"/>
    <w:rsid w:val="00F804F7"/>
    <w:rsid w:val="00F80EF2"/>
    <w:rsid w:val="00F82ADF"/>
    <w:rsid w:val="00F9308D"/>
    <w:rsid w:val="00F9721E"/>
    <w:rsid w:val="00FA1BC4"/>
    <w:rsid w:val="00FA61EF"/>
    <w:rsid w:val="00FC0162"/>
    <w:rsid w:val="00FC20CC"/>
    <w:rsid w:val="00FC5154"/>
    <w:rsid w:val="00FC6EAD"/>
    <w:rsid w:val="00FE3678"/>
    <w:rsid w:val="00FF6A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3D"/>
    <w:pPr>
      <w:spacing w:line="260" w:lineRule="exact"/>
    </w:pPr>
    <w:rPr>
      <w:rFonts w:ascii="Univers" w:hAnsi="Univers"/>
    </w:rPr>
  </w:style>
  <w:style w:type="paragraph" w:styleId="Heading1">
    <w:name w:val="heading 1"/>
    <w:basedOn w:val="Normal"/>
    <w:next w:val="Normal"/>
    <w:qFormat/>
    <w:rsid w:val="0024053D"/>
    <w:pPr>
      <w:keepNext/>
      <w:spacing w:before="240" w:after="60" w:line="240" w:lineRule="auto"/>
      <w:outlineLvl w:val="0"/>
    </w:pPr>
    <w:rPr>
      <w:b/>
      <w:kern w:val="28"/>
      <w:sz w:val="28"/>
    </w:rPr>
  </w:style>
  <w:style w:type="paragraph" w:styleId="Heading2">
    <w:name w:val="heading 2"/>
    <w:basedOn w:val="Normal"/>
    <w:next w:val="Normal"/>
    <w:qFormat/>
    <w:rsid w:val="0024053D"/>
    <w:pPr>
      <w:keepNext/>
      <w:spacing w:before="240" w:after="60" w:line="240" w:lineRule="auto"/>
      <w:outlineLvl w:val="1"/>
    </w:pPr>
    <w:rPr>
      <w:rFonts w:ascii="Arial" w:hAnsi="Arial"/>
      <w:b/>
      <w:i/>
      <w:sz w:val="24"/>
    </w:rPr>
  </w:style>
  <w:style w:type="paragraph" w:styleId="Heading3">
    <w:name w:val="heading 3"/>
    <w:basedOn w:val="Normal"/>
    <w:next w:val="Normal"/>
    <w:qFormat/>
    <w:rsid w:val="0024053D"/>
    <w:pPr>
      <w:keepNext/>
      <w:spacing w:before="240" w:after="60" w:line="240" w:lineRule="auto"/>
      <w:outlineLvl w:val="2"/>
    </w:pPr>
    <w:rPr>
      <w:rFonts w:ascii="Arial" w:hAnsi="Arial"/>
      <w:sz w:val="24"/>
    </w:rPr>
  </w:style>
  <w:style w:type="paragraph" w:styleId="Heading4">
    <w:name w:val="heading 4"/>
    <w:basedOn w:val="Normal"/>
    <w:next w:val="Normal"/>
    <w:qFormat/>
    <w:rsid w:val="0024053D"/>
    <w:pPr>
      <w:keepNext/>
      <w:spacing w:before="240" w:after="60" w:line="240" w:lineRule="auto"/>
      <w:outlineLvl w:val="3"/>
    </w:pPr>
    <w:rPr>
      <w:rFonts w:ascii="Arial" w:hAnsi="Arial"/>
      <w:b/>
      <w:sz w:val="24"/>
    </w:rPr>
  </w:style>
  <w:style w:type="paragraph" w:styleId="Heading5">
    <w:name w:val="heading 5"/>
    <w:basedOn w:val="Normal"/>
    <w:next w:val="Normal"/>
    <w:qFormat/>
    <w:rsid w:val="0024053D"/>
    <w:pPr>
      <w:spacing w:before="240" w:after="60" w:line="240" w:lineRule="auto"/>
      <w:outlineLvl w:val="4"/>
    </w:pPr>
    <w:rPr>
      <w:sz w:val="22"/>
    </w:rPr>
  </w:style>
  <w:style w:type="paragraph" w:styleId="Heading6">
    <w:name w:val="heading 6"/>
    <w:basedOn w:val="Normal"/>
    <w:next w:val="Normal"/>
    <w:qFormat/>
    <w:rsid w:val="0024053D"/>
    <w:pPr>
      <w:spacing w:before="240" w:after="60" w:line="240" w:lineRule="auto"/>
      <w:outlineLvl w:val="5"/>
    </w:pPr>
    <w:rPr>
      <w:rFonts w:ascii="Times New Roman" w:hAnsi="Times New Roman"/>
      <w:i/>
      <w:sz w:val="22"/>
    </w:rPr>
  </w:style>
  <w:style w:type="paragraph" w:styleId="Heading7">
    <w:name w:val="heading 7"/>
    <w:basedOn w:val="Normal"/>
    <w:next w:val="Normal"/>
    <w:qFormat/>
    <w:rsid w:val="0024053D"/>
    <w:pPr>
      <w:spacing w:before="240" w:after="60" w:line="240" w:lineRule="auto"/>
      <w:outlineLvl w:val="6"/>
    </w:pPr>
    <w:rPr>
      <w:rFonts w:ascii="Arial" w:hAnsi="Arial"/>
    </w:rPr>
  </w:style>
  <w:style w:type="paragraph" w:styleId="Heading8">
    <w:name w:val="heading 8"/>
    <w:basedOn w:val="Normal"/>
    <w:next w:val="Normal"/>
    <w:qFormat/>
    <w:rsid w:val="0024053D"/>
    <w:pPr>
      <w:spacing w:before="240" w:after="60" w:line="240" w:lineRule="auto"/>
      <w:outlineLvl w:val="7"/>
    </w:pPr>
    <w:rPr>
      <w:rFonts w:ascii="Arial" w:hAnsi="Arial"/>
      <w:i/>
    </w:rPr>
  </w:style>
  <w:style w:type="paragraph" w:styleId="Heading9">
    <w:name w:val="heading 9"/>
    <w:basedOn w:val="Normal"/>
    <w:next w:val="Normal"/>
    <w:qFormat/>
    <w:rsid w:val="0024053D"/>
    <w:p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053D"/>
    <w:pPr>
      <w:tabs>
        <w:tab w:val="center" w:pos="4536"/>
        <w:tab w:val="right" w:pos="9072"/>
      </w:tabs>
      <w:spacing w:line="240" w:lineRule="auto"/>
    </w:pPr>
    <w:rPr>
      <w:spacing w:val="6"/>
      <w:sz w:val="16"/>
    </w:rPr>
  </w:style>
  <w:style w:type="paragraph" w:customStyle="1" w:styleId="Ondertekening">
    <w:name w:val="Ondertekening"/>
    <w:basedOn w:val="Normal"/>
    <w:next w:val="Normal"/>
    <w:rsid w:val="0024053D"/>
    <w:pPr>
      <w:spacing w:before="810" w:line="240" w:lineRule="auto"/>
    </w:pPr>
  </w:style>
  <w:style w:type="paragraph" w:styleId="Footer">
    <w:name w:val="footer"/>
    <w:basedOn w:val="Normal"/>
    <w:link w:val="FooterChar"/>
    <w:uiPriority w:val="99"/>
    <w:rsid w:val="0024053D"/>
    <w:pPr>
      <w:tabs>
        <w:tab w:val="center" w:pos="4536"/>
        <w:tab w:val="right" w:pos="9072"/>
      </w:tabs>
      <w:spacing w:line="240" w:lineRule="auto"/>
    </w:pPr>
  </w:style>
  <w:style w:type="character" w:styleId="PageNumber">
    <w:name w:val="page number"/>
    <w:basedOn w:val="DefaultParagraphFont"/>
    <w:rsid w:val="0024053D"/>
  </w:style>
  <w:style w:type="paragraph" w:styleId="Salutation">
    <w:name w:val="Salutation"/>
    <w:basedOn w:val="Normal"/>
    <w:next w:val="Normal"/>
    <w:rsid w:val="0024053D"/>
    <w:pPr>
      <w:spacing w:line="240" w:lineRule="auto"/>
    </w:pPr>
  </w:style>
  <w:style w:type="paragraph" w:styleId="EnvelopeAddress">
    <w:name w:val="envelope address"/>
    <w:basedOn w:val="Normal"/>
    <w:rsid w:val="0024053D"/>
    <w:pPr>
      <w:framePr w:w="7920" w:h="1980" w:hRule="exact" w:hSpace="141" w:wrap="auto" w:hAnchor="page" w:xAlign="center" w:yAlign="bottom"/>
      <w:spacing w:line="240" w:lineRule="auto"/>
      <w:ind w:left="2880"/>
    </w:pPr>
    <w:rPr>
      <w:rFonts w:ascii="Arial" w:hAnsi="Arial"/>
      <w:sz w:val="24"/>
    </w:rPr>
  </w:style>
  <w:style w:type="paragraph" w:styleId="Closing">
    <w:name w:val="Closing"/>
    <w:basedOn w:val="Normal"/>
    <w:rsid w:val="0024053D"/>
    <w:pPr>
      <w:spacing w:line="240" w:lineRule="auto"/>
      <w:ind w:left="4252"/>
    </w:pPr>
  </w:style>
  <w:style w:type="paragraph" w:styleId="EnvelopeReturn">
    <w:name w:val="envelope return"/>
    <w:basedOn w:val="Normal"/>
    <w:rsid w:val="0024053D"/>
    <w:pPr>
      <w:spacing w:line="240" w:lineRule="auto"/>
    </w:pPr>
    <w:rPr>
      <w:rFonts w:ascii="Arial" w:hAnsi="Arial"/>
    </w:rPr>
  </w:style>
  <w:style w:type="paragraph" w:styleId="MessageHeader">
    <w:name w:val="Message Header"/>
    <w:basedOn w:val="Normal"/>
    <w:rsid w:val="002405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Caption">
    <w:name w:val="caption"/>
    <w:basedOn w:val="Normal"/>
    <w:next w:val="Normal"/>
    <w:qFormat/>
    <w:rsid w:val="0024053D"/>
    <w:pPr>
      <w:spacing w:before="120" w:after="120" w:line="240" w:lineRule="auto"/>
    </w:pPr>
    <w:rPr>
      <w:b/>
    </w:rPr>
  </w:style>
  <w:style w:type="paragraph" w:styleId="BlockText">
    <w:name w:val="Block Text"/>
    <w:basedOn w:val="Normal"/>
    <w:rsid w:val="0024053D"/>
    <w:pPr>
      <w:spacing w:after="120" w:line="240" w:lineRule="auto"/>
      <w:ind w:left="1440" w:right="1440"/>
    </w:pPr>
  </w:style>
  <w:style w:type="paragraph" w:styleId="TableofAuthorities">
    <w:name w:val="table of authorities"/>
    <w:basedOn w:val="Normal"/>
    <w:next w:val="Normal"/>
    <w:semiHidden/>
    <w:rsid w:val="0024053D"/>
    <w:pPr>
      <w:spacing w:line="240" w:lineRule="auto"/>
      <w:ind w:left="200" w:hanging="200"/>
    </w:pPr>
  </w:style>
  <w:style w:type="paragraph" w:styleId="Date">
    <w:name w:val="Date"/>
    <w:basedOn w:val="Normal"/>
    <w:next w:val="Normal"/>
    <w:rsid w:val="0024053D"/>
    <w:pPr>
      <w:spacing w:line="240" w:lineRule="auto"/>
    </w:pPr>
  </w:style>
  <w:style w:type="paragraph" w:styleId="DocumentMap">
    <w:name w:val="Document Map"/>
    <w:basedOn w:val="Normal"/>
    <w:semiHidden/>
    <w:rsid w:val="0024053D"/>
    <w:pPr>
      <w:shd w:val="clear" w:color="auto" w:fill="000080"/>
      <w:spacing w:line="240" w:lineRule="auto"/>
    </w:pPr>
    <w:rPr>
      <w:rFonts w:ascii="Tahoma" w:hAnsi="Tahoma"/>
    </w:rPr>
  </w:style>
  <w:style w:type="paragraph" w:styleId="EndnoteText">
    <w:name w:val="endnote text"/>
    <w:basedOn w:val="Normal"/>
    <w:semiHidden/>
    <w:rsid w:val="0024053D"/>
    <w:pPr>
      <w:spacing w:line="240" w:lineRule="auto"/>
    </w:pPr>
  </w:style>
  <w:style w:type="paragraph" w:styleId="Signature">
    <w:name w:val="Signature"/>
    <w:basedOn w:val="Normal"/>
    <w:rsid w:val="0024053D"/>
    <w:pPr>
      <w:spacing w:line="240" w:lineRule="auto"/>
      <w:ind w:left="4252"/>
    </w:pPr>
  </w:style>
  <w:style w:type="paragraph" w:styleId="Index1">
    <w:name w:val="index 1"/>
    <w:basedOn w:val="Normal"/>
    <w:next w:val="Normal"/>
    <w:semiHidden/>
    <w:rsid w:val="0024053D"/>
    <w:pPr>
      <w:spacing w:line="240" w:lineRule="auto"/>
      <w:ind w:left="200" w:hanging="200"/>
    </w:pPr>
  </w:style>
  <w:style w:type="paragraph" w:styleId="Index2">
    <w:name w:val="index 2"/>
    <w:basedOn w:val="Normal"/>
    <w:next w:val="Normal"/>
    <w:semiHidden/>
    <w:rsid w:val="0024053D"/>
    <w:pPr>
      <w:spacing w:line="240" w:lineRule="auto"/>
      <w:ind w:left="400" w:hanging="200"/>
    </w:pPr>
  </w:style>
  <w:style w:type="paragraph" w:styleId="Index3">
    <w:name w:val="index 3"/>
    <w:basedOn w:val="Normal"/>
    <w:next w:val="Normal"/>
    <w:semiHidden/>
    <w:rsid w:val="0024053D"/>
    <w:pPr>
      <w:spacing w:line="240" w:lineRule="auto"/>
      <w:ind w:left="600" w:hanging="200"/>
    </w:pPr>
  </w:style>
  <w:style w:type="paragraph" w:styleId="Index4">
    <w:name w:val="index 4"/>
    <w:basedOn w:val="Normal"/>
    <w:next w:val="Normal"/>
    <w:semiHidden/>
    <w:rsid w:val="0024053D"/>
    <w:pPr>
      <w:spacing w:line="240" w:lineRule="auto"/>
      <w:ind w:left="800" w:hanging="200"/>
    </w:pPr>
  </w:style>
  <w:style w:type="paragraph" w:styleId="Index5">
    <w:name w:val="index 5"/>
    <w:basedOn w:val="Normal"/>
    <w:next w:val="Normal"/>
    <w:semiHidden/>
    <w:rsid w:val="0024053D"/>
    <w:pPr>
      <w:spacing w:line="240" w:lineRule="auto"/>
      <w:ind w:left="1000" w:hanging="200"/>
    </w:pPr>
  </w:style>
  <w:style w:type="paragraph" w:styleId="Index6">
    <w:name w:val="index 6"/>
    <w:basedOn w:val="Normal"/>
    <w:next w:val="Normal"/>
    <w:semiHidden/>
    <w:rsid w:val="0024053D"/>
    <w:pPr>
      <w:spacing w:line="240" w:lineRule="auto"/>
      <w:ind w:left="1200" w:hanging="200"/>
    </w:pPr>
  </w:style>
  <w:style w:type="paragraph" w:styleId="Index7">
    <w:name w:val="index 7"/>
    <w:basedOn w:val="Normal"/>
    <w:next w:val="Normal"/>
    <w:semiHidden/>
    <w:rsid w:val="0024053D"/>
    <w:pPr>
      <w:spacing w:line="240" w:lineRule="auto"/>
      <w:ind w:left="1400" w:hanging="200"/>
    </w:pPr>
  </w:style>
  <w:style w:type="paragraph" w:styleId="Index8">
    <w:name w:val="index 8"/>
    <w:basedOn w:val="Normal"/>
    <w:next w:val="Normal"/>
    <w:semiHidden/>
    <w:rsid w:val="0024053D"/>
    <w:pPr>
      <w:spacing w:line="240" w:lineRule="auto"/>
      <w:ind w:left="1600" w:hanging="200"/>
    </w:pPr>
  </w:style>
  <w:style w:type="paragraph" w:styleId="Index9">
    <w:name w:val="index 9"/>
    <w:basedOn w:val="Normal"/>
    <w:next w:val="Normal"/>
    <w:semiHidden/>
    <w:rsid w:val="0024053D"/>
    <w:pPr>
      <w:spacing w:line="240" w:lineRule="auto"/>
      <w:ind w:left="1800" w:hanging="200"/>
    </w:pPr>
  </w:style>
  <w:style w:type="paragraph" w:styleId="IndexHeading">
    <w:name w:val="index heading"/>
    <w:basedOn w:val="Normal"/>
    <w:next w:val="Index1"/>
    <w:semiHidden/>
    <w:rsid w:val="0024053D"/>
    <w:pPr>
      <w:spacing w:line="240" w:lineRule="auto"/>
    </w:pPr>
    <w:rPr>
      <w:rFonts w:ascii="Arial" w:hAnsi="Arial"/>
      <w:b/>
    </w:rPr>
  </w:style>
  <w:style w:type="paragraph" w:styleId="TOC1">
    <w:name w:val="toc 1"/>
    <w:basedOn w:val="Normal"/>
    <w:next w:val="Normal"/>
    <w:semiHidden/>
    <w:rsid w:val="0024053D"/>
    <w:pPr>
      <w:spacing w:line="240" w:lineRule="auto"/>
    </w:pPr>
  </w:style>
  <w:style w:type="paragraph" w:styleId="TOC2">
    <w:name w:val="toc 2"/>
    <w:basedOn w:val="Normal"/>
    <w:next w:val="Normal"/>
    <w:semiHidden/>
    <w:rsid w:val="0024053D"/>
    <w:pPr>
      <w:spacing w:line="240" w:lineRule="auto"/>
      <w:ind w:left="200"/>
    </w:pPr>
  </w:style>
  <w:style w:type="paragraph" w:styleId="TOC3">
    <w:name w:val="toc 3"/>
    <w:basedOn w:val="Normal"/>
    <w:next w:val="Normal"/>
    <w:semiHidden/>
    <w:rsid w:val="0024053D"/>
    <w:pPr>
      <w:spacing w:line="240" w:lineRule="auto"/>
      <w:ind w:left="400"/>
    </w:pPr>
  </w:style>
  <w:style w:type="paragraph" w:styleId="TOC4">
    <w:name w:val="toc 4"/>
    <w:basedOn w:val="Normal"/>
    <w:next w:val="Normal"/>
    <w:semiHidden/>
    <w:rsid w:val="0024053D"/>
    <w:pPr>
      <w:spacing w:line="240" w:lineRule="auto"/>
      <w:ind w:left="600"/>
    </w:pPr>
  </w:style>
  <w:style w:type="paragraph" w:styleId="TOC5">
    <w:name w:val="toc 5"/>
    <w:basedOn w:val="Normal"/>
    <w:next w:val="Normal"/>
    <w:semiHidden/>
    <w:rsid w:val="0024053D"/>
    <w:pPr>
      <w:spacing w:line="240" w:lineRule="auto"/>
      <w:ind w:left="800"/>
    </w:pPr>
  </w:style>
  <w:style w:type="paragraph" w:styleId="TOC6">
    <w:name w:val="toc 6"/>
    <w:basedOn w:val="Normal"/>
    <w:next w:val="Normal"/>
    <w:semiHidden/>
    <w:rsid w:val="0024053D"/>
    <w:pPr>
      <w:spacing w:line="240" w:lineRule="auto"/>
      <w:ind w:left="1000"/>
    </w:pPr>
  </w:style>
  <w:style w:type="paragraph" w:styleId="TOC7">
    <w:name w:val="toc 7"/>
    <w:basedOn w:val="Normal"/>
    <w:next w:val="Normal"/>
    <w:semiHidden/>
    <w:rsid w:val="0024053D"/>
    <w:pPr>
      <w:spacing w:line="240" w:lineRule="auto"/>
      <w:ind w:left="1200"/>
    </w:pPr>
  </w:style>
  <w:style w:type="paragraph" w:styleId="TOC8">
    <w:name w:val="toc 8"/>
    <w:basedOn w:val="Normal"/>
    <w:next w:val="Normal"/>
    <w:semiHidden/>
    <w:rsid w:val="0024053D"/>
    <w:pPr>
      <w:spacing w:line="240" w:lineRule="auto"/>
      <w:ind w:left="1400"/>
    </w:pPr>
  </w:style>
  <w:style w:type="paragraph" w:styleId="TOC9">
    <w:name w:val="toc 9"/>
    <w:basedOn w:val="Normal"/>
    <w:next w:val="Normal"/>
    <w:semiHidden/>
    <w:rsid w:val="0024053D"/>
    <w:pPr>
      <w:spacing w:line="240" w:lineRule="auto"/>
      <w:ind w:left="1600"/>
    </w:pPr>
  </w:style>
  <w:style w:type="paragraph" w:styleId="TOAHeading">
    <w:name w:val="toa heading"/>
    <w:basedOn w:val="Normal"/>
    <w:next w:val="Normal"/>
    <w:semiHidden/>
    <w:rsid w:val="0024053D"/>
    <w:pPr>
      <w:spacing w:before="120" w:line="240" w:lineRule="auto"/>
    </w:pPr>
    <w:rPr>
      <w:rFonts w:ascii="Arial" w:hAnsi="Arial"/>
      <w:b/>
      <w:sz w:val="24"/>
    </w:rPr>
  </w:style>
  <w:style w:type="paragraph" w:styleId="List">
    <w:name w:val="List"/>
    <w:basedOn w:val="Normal"/>
    <w:rsid w:val="0024053D"/>
    <w:pPr>
      <w:spacing w:line="240" w:lineRule="auto"/>
      <w:ind w:left="283" w:hanging="283"/>
    </w:pPr>
  </w:style>
  <w:style w:type="paragraph" w:styleId="List2">
    <w:name w:val="List 2"/>
    <w:basedOn w:val="Normal"/>
    <w:rsid w:val="0024053D"/>
    <w:pPr>
      <w:spacing w:line="240" w:lineRule="auto"/>
      <w:ind w:left="566" w:hanging="283"/>
    </w:pPr>
  </w:style>
  <w:style w:type="paragraph" w:styleId="List3">
    <w:name w:val="List 3"/>
    <w:basedOn w:val="Normal"/>
    <w:rsid w:val="0024053D"/>
    <w:pPr>
      <w:spacing w:line="240" w:lineRule="auto"/>
      <w:ind w:left="849" w:hanging="283"/>
    </w:pPr>
  </w:style>
  <w:style w:type="paragraph" w:styleId="List4">
    <w:name w:val="List 4"/>
    <w:basedOn w:val="Normal"/>
    <w:rsid w:val="0024053D"/>
    <w:pPr>
      <w:spacing w:line="240" w:lineRule="auto"/>
      <w:ind w:left="1132" w:hanging="283"/>
    </w:pPr>
  </w:style>
  <w:style w:type="paragraph" w:styleId="List5">
    <w:name w:val="List 5"/>
    <w:basedOn w:val="Normal"/>
    <w:rsid w:val="0024053D"/>
    <w:pPr>
      <w:spacing w:line="240" w:lineRule="auto"/>
      <w:ind w:left="1415" w:hanging="283"/>
    </w:pPr>
  </w:style>
  <w:style w:type="paragraph" w:styleId="TableofFigures">
    <w:name w:val="table of figures"/>
    <w:basedOn w:val="Normal"/>
    <w:next w:val="Normal"/>
    <w:semiHidden/>
    <w:rsid w:val="0024053D"/>
    <w:pPr>
      <w:spacing w:line="240" w:lineRule="auto"/>
      <w:ind w:left="400" w:hanging="400"/>
    </w:pPr>
  </w:style>
  <w:style w:type="paragraph" w:styleId="ListBullet">
    <w:name w:val="List Bullet"/>
    <w:basedOn w:val="Normal"/>
    <w:rsid w:val="0024053D"/>
    <w:pPr>
      <w:numPr>
        <w:numId w:val="11"/>
      </w:numPr>
      <w:spacing w:line="240" w:lineRule="auto"/>
    </w:pPr>
  </w:style>
  <w:style w:type="paragraph" w:styleId="ListBullet2">
    <w:name w:val="List Bullet 2"/>
    <w:basedOn w:val="Normal"/>
    <w:rsid w:val="0024053D"/>
    <w:pPr>
      <w:numPr>
        <w:numId w:val="12"/>
      </w:numPr>
      <w:spacing w:line="240" w:lineRule="auto"/>
    </w:pPr>
  </w:style>
  <w:style w:type="paragraph" w:styleId="ListBullet3">
    <w:name w:val="List Bullet 3"/>
    <w:basedOn w:val="Normal"/>
    <w:rsid w:val="0024053D"/>
    <w:pPr>
      <w:numPr>
        <w:numId w:val="13"/>
      </w:numPr>
      <w:spacing w:line="240" w:lineRule="auto"/>
    </w:pPr>
  </w:style>
  <w:style w:type="paragraph" w:styleId="ListBullet4">
    <w:name w:val="List Bullet 4"/>
    <w:basedOn w:val="Normal"/>
    <w:rsid w:val="0024053D"/>
    <w:pPr>
      <w:numPr>
        <w:numId w:val="14"/>
      </w:numPr>
      <w:spacing w:line="240" w:lineRule="auto"/>
    </w:pPr>
  </w:style>
  <w:style w:type="paragraph" w:styleId="ListBullet5">
    <w:name w:val="List Bullet 5"/>
    <w:basedOn w:val="Normal"/>
    <w:rsid w:val="0024053D"/>
    <w:pPr>
      <w:numPr>
        <w:numId w:val="15"/>
      </w:numPr>
      <w:spacing w:line="240" w:lineRule="auto"/>
    </w:pPr>
  </w:style>
  <w:style w:type="paragraph" w:styleId="ListNumber">
    <w:name w:val="List Number"/>
    <w:basedOn w:val="Normal"/>
    <w:rsid w:val="0024053D"/>
    <w:pPr>
      <w:numPr>
        <w:numId w:val="16"/>
      </w:numPr>
      <w:spacing w:line="240" w:lineRule="auto"/>
    </w:pPr>
  </w:style>
  <w:style w:type="paragraph" w:styleId="ListNumber2">
    <w:name w:val="List Number 2"/>
    <w:basedOn w:val="Normal"/>
    <w:rsid w:val="0024053D"/>
    <w:pPr>
      <w:numPr>
        <w:numId w:val="17"/>
      </w:numPr>
      <w:spacing w:line="240" w:lineRule="auto"/>
    </w:pPr>
  </w:style>
  <w:style w:type="paragraph" w:styleId="ListNumber3">
    <w:name w:val="List Number 3"/>
    <w:basedOn w:val="Normal"/>
    <w:rsid w:val="0024053D"/>
    <w:pPr>
      <w:numPr>
        <w:numId w:val="18"/>
      </w:numPr>
      <w:spacing w:line="240" w:lineRule="auto"/>
    </w:pPr>
  </w:style>
  <w:style w:type="paragraph" w:styleId="ListNumber4">
    <w:name w:val="List Number 4"/>
    <w:basedOn w:val="Normal"/>
    <w:rsid w:val="0024053D"/>
    <w:pPr>
      <w:numPr>
        <w:numId w:val="19"/>
      </w:numPr>
      <w:spacing w:line="240" w:lineRule="auto"/>
    </w:pPr>
  </w:style>
  <w:style w:type="paragraph" w:styleId="ListNumber5">
    <w:name w:val="List Number 5"/>
    <w:basedOn w:val="Normal"/>
    <w:rsid w:val="0024053D"/>
    <w:pPr>
      <w:numPr>
        <w:numId w:val="20"/>
      </w:numPr>
      <w:spacing w:line="240" w:lineRule="auto"/>
    </w:pPr>
  </w:style>
  <w:style w:type="paragraph" w:styleId="ListContinue">
    <w:name w:val="List Continue"/>
    <w:basedOn w:val="Normal"/>
    <w:rsid w:val="0024053D"/>
    <w:pPr>
      <w:spacing w:after="120" w:line="240" w:lineRule="auto"/>
      <w:ind w:left="283"/>
    </w:pPr>
  </w:style>
  <w:style w:type="paragraph" w:styleId="ListContinue2">
    <w:name w:val="List Continue 2"/>
    <w:basedOn w:val="Normal"/>
    <w:rsid w:val="0024053D"/>
    <w:pPr>
      <w:spacing w:after="120" w:line="240" w:lineRule="auto"/>
      <w:ind w:left="566"/>
    </w:pPr>
  </w:style>
  <w:style w:type="paragraph" w:styleId="ListContinue3">
    <w:name w:val="List Continue 3"/>
    <w:basedOn w:val="Normal"/>
    <w:rsid w:val="0024053D"/>
    <w:pPr>
      <w:spacing w:after="120" w:line="240" w:lineRule="auto"/>
      <w:ind w:left="849"/>
    </w:pPr>
  </w:style>
  <w:style w:type="paragraph" w:styleId="ListContinue4">
    <w:name w:val="List Continue 4"/>
    <w:basedOn w:val="Normal"/>
    <w:rsid w:val="0024053D"/>
    <w:pPr>
      <w:spacing w:after="120" w:line="240" w:lineRule="auto"/>
      <w:ind w:left="1132"/>
    </w:pPr>
  </w:style>
  <w:style w:type="paragraph" w:styleId="ListContinue5">
    <w:name w:val="List Continue 5"/>
    <w:basedOn w:val="Normal"/>
    <w:rsid w:val="0024053D"/>
    <w:pPr>
      <w:spacing w:after="120" w:line="240" w:lineRule="auto"/>
      <w:ind w:left="1415"/>
    </w:pPr>
  </w:style>
  <w:style w:type="paragraph" w:styleId="MacroText">
    <w:name w:val="macro"/>
    <w:semiHidden/>
    <w:rsid w:val="0024053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eHeading">
    <w:name w:val="Note Heading"/>
    <w:basedOn w:val="Normal"/>
    <w:next w:val="Normal"/>
    <w:rsid w:val="0024053D"/>
    <w:pPr>
      <w:spacing w:line="240" w:lineRule="auto"/>
    </w:pPr>
  </w:style>
  <w:style w:type="paragraph" w:styleId="PlainText">
    <w:name w:val="Plain Text"/>
    <w:basedOn w:val="Normal"/>
    <w:rsid w:val="0024053D"/>
    <w:pPr>
      <w:spacing w:line="240" w:lineRule="auto"/>
    </w:pPr>
    <w:rPr>
      <w:rFonts w:ascii="Courier New" w:hAnsi="Courier New"/>
    </w:rPr>
  </w:style>
  <w:style w:type="paragraph" w:styleId="BodyText">
    <w:name w:val="Body Text"/>
    <w:basedOn w:val="Normal"/>
    <w:rsid w:val="0024053D"/>
    <w:pPr>
      <w:spacing w:after="120" w:line="240" w:lineRule="auto"/>
    </w:pPr>
  </w:style>
  <w:style w:type="paragraph" w:styleId="BodyText2">
    <w:name w:val="Body Text 2"/>
    <w:basedOn w:val="Normal"/>
    <w:rsid w:val="0024053D"/>
    <w:pPr>
      <w:spacing w:after="120" w:line="480" w:lineRule="auto"/>
    </w:pPr>
  </w:style>
  <w:style w:type="paragraph" w:styleId="BodyText3">
    <w:name w:val="Body Text 3"/>
    <w:basedOn w:val="Normal"/>
    <w:rsid w:val="0024053D"/>
    <w:pPr>
      <w:spacing w:after="120" w:line="240" w:lineRule="auto"/>
    </w:pPr>
    <w:rPr>
      <w:sz w:val="16"/>
    </w:rPr>
  </w:style>
  <w:style w:type="paragraph" w:styleId="BodyTextFirstIndent">
    <w:name w:val="Body Text First Indent"/>
    <w:basedOn w:val="BodyText"/>
    <w:rsid w:val="0024053D"/>
    <w:pPr>
      <w:ind w:firstLine="210"/>
    </w:pPr>
  </w:style>
  <w:style w:type="paragraph" w:styleId="BodyTextIndent">
    <w:name w:val="Body Text Indent"/>
    <w:basedOn w:val="Normal"/>
    <w:rsid w:val="0024053D"/>
    <w:pPr>
      <w:spacing w:after="120" w:line="240" w:lineRule="auto"/>
      <w:ind w:left="283"/>
    </w:pPr>
  </w:style>
  <w:style w:type="paragraph" w:styleId="BodyTextFirstIndent2">
    <w:name w:val="Body Text First Indent 2"/>
    <w:basedOn w:val="BodyTextIndent"/>
    <w:rsid w:val="0024053D"/>
    <w:pPr>
      <w:ind w:firstLine="210"/>
    </w:pPr>
  </w:style>
  <w:style w:type="paragraph" w:styleId="BodyTextIndent2">
    <w:name w:val="Body Text Indent 2"/>
    <w:basedOn w:val="Normal"/>
    <w:rsid w:val="0024053D"/>
    <w:pPr>
      <w:spacing w:after="120" w:line="480" w:lineRule="auto"/>
      <w:ind w:left="283"/>
    </w:pPr>
  </w:style>
  <w:style w:type="paragraph" w:styleId="BodyTextIndent3">
    <w:name w:val="Body Text Indent 3"/>
    <w:basedOn w:val="Normal"/>
    <w:rsid w:val="0024053D"/>
    <w:pPr>
      <w:spacing w:after="120" w:line="240" w:lineRule="auto"/>
      <w:ind w:left="283"/>
    </w:pPr>
    <w:rPr>
      <w:sz w:val="16"/>
    </w:rPr>
  </w:style>
  <w:style w:type="paragraph" w:styleId="NormalIndent">
    <w:name w:val="Normal Indent"/>
    <w:basedOn w:val="Normal"/>
    <w:rsid w:val="0024053D"/>
    <w:pPr>
      <w:spacing w:line="240" w:lineRule="auto"/>
      <w:ind w:left="709"/>
    </w:pPr>
  </w:style>
  <w:style w:type="paragraph" w:styleId="Subtitle">
    <w:name w:val="Subtitle"/>
    <w:basedOn w:val="Normal"/>
    <w:qFormat/>
    <w:rsid w:val="0024053D"/>
    <w:pPr>
      <w:spacing w:after="60" w:line="240" w:lineRule="auto"/>
      <w:jc w:val="center"/>
      <w:outlineLvl w:val="1"/>
    </w:pPr>
    <w:rPr>
      <w:rFonts w:ascii="Arial" w:hAnsi="Arial"/>
      <w:sz w:val="24"/>
    </w:rPr>
  </w:style>
  <w:style w:type="paragraph" w:styleId="CommentText">
    <w:name w:val="annotation text"/>
    <w:basedOn w:val="Normal"/>
    <w:link w:val="CommentTextChar"/>
    <w:uiPriority w:val="99"/>
    <w:semiHidden/>
    <w:rsid w:val="0024053D"/>
    <w:pPr>
      <w:spacing w:line="240" w:lineRule="auto"/>
    </w:pPr>
  </w:style>
  <w:style w:type="paragraph" w:styleId="Title">
    <w:name w:val="Title"/>
    <w:basedOn w:val="Normal"/>
    <w:qFormat/>
    <w:rsid w:val="0024053D"/>
    <w:pPr>
      <w:spacing w:line="240" w:lineRule="auto"/>
    </w:pPr>
    <w:rPr>
      <w:b/>
      <w:sz w:val="36"/>
    </w:rPr>
  </w:style>
  <w:style w:type="paragraph" w:styleId="FootnoteText">
    <w:name w:val="footnote text"/>
    <w:basedOn w:val="Normal"/>
    <w:link w:val="FootnoteTextChar"/>
    <w:uiPriority w:val="99"/>
    <w:semiHidden/>
    <w:rsid w:val="0024053D"/>
    <w:pPr>
      <w:spacing w:line="240" w:lineRule="auto"/>
    </w:pPr>
  </w:style>
  <w:style w:type="paragraph" w:customStyle="1" w:styleId="Hoofdjes">
    <w:name w:val="Hoofdjes"/>
    <w:basedOn w:val="Normal"/>
    <w:rsid w:val="0024053D"/>
    <w:pPr>
      <w:spacing w:line="190" w:lineRule="exact"/>
    </w:pPr>
    <w:rPr>
      <w:spacing w:val="6"/>
      <w:sz w:val="14"/>
    </w:rPr>
  </w:style>
  <w:style w:type="paragraph" w:customStyle="1" w:styleId="Hoofdjesregel13pt">
    <w:name w:val="Hoofdjes regel 13 pt"/>
    <w:basedOn w:val="Hoofdjes"/>
    <w:rsid w:val="0024053D"/>
    <w:pPr>
      <w:spacing w:line="260" w:lineRule="exact"/>
    </w:pPr>
  </w:style>
  <w:style w:type="paragraph" w:customStyle="1" w:styleId="HoofdjesZwart">
    <w:name w:val="HoofdjesZwart"/>
    <w:basedOn w:val="Normal"/>
    <w:rsid w:val="0024053D"/>
    <w:pPr>
      <w:spacing w:line="240" w:lineRule="auto"/>
    </w:pPr>
    <w:rPr>
      <w:spacing w:val="6"/>
      <w:sz w:val="14"/>
    </w:rPr>
  </w:style>
  <w:style w:type="paragraph" w:customStyle="1" w:styleId="Kleinetekst">
    <w:name w:val="Kleine tekst"/>
    <w:basedOn w:val="Normal"/>
    <w:rsid w:val="0024053D"/>
    <w:pPr>
      <w:spacing w:before="57" w:after="57" w:line="240" w:lineRule="auto"/>
    </w:pPr>
    <w:rPr>
      <w:spacing w:val="10"/>
      <w:sz w:val="14"/>
    </w:rPr>
  </w:style>
  <w:style w:type="paragraph" w:customStyle="1" w:styleId="Memohoofd">
    <w:name w:val="Memohoofd"/>
    <w:basedOn w:val="Normal"/>
    <w:rsid w:val="0024053D"/>
    <w:pPr>
      <w:spacing w:line="240" w:lineRule="exact"/>
    </w:pPr>
  </w:style>
  <w:style w:type="paragraph" w:customStyle="1" w:styleId="GroteLetters">
    <w:name w:val="Grote Letters"/>
    <w:basedOn w:val="Normal"/>
    <w:rsid w:val="0024053D"/>
    <w:pPr>
      <w:spacing w:line="364" w:lineRule="exact"/>
    </w:pPr>
    <w:rPr>
      <w:sz w:val="28"/>
    </w:rPr>
  </w:style>
  <w:style w:type="character" w:styleId="FootnoteReference">
    <w:name w:val="footnote reference"/>
    <w:basedOn w:val="DefaultParagraphFont"/>
    <w:uiPriority w:val="99"/>
    <w:semiHidden/>
    <w:rsid w:val="00BB7CCF"/>
    <w:rPr>
      <w:vertAlign w:val="superscript"/>
    </w:rPr>
  </w:style>
  <w:style w:type="character" w:customStyle="1" w:styleId="FooterChar">
    <w:name w:val="Footer Char"/>
    <w:basedOn w:val="DefaultParagraphFont"/>
    <w:link w:val="Footer"/>
    <w:uiPriority w:val="99"/>
    <w:rsid w:val="00BF3F64"/>
    <w:rPr>
      <w:rFonts w:ascii="Univers" w:hAnsi="Univers"/>
    </w:rPr>
  </w:style>
  <w:style w:type="paragraph" w:styleId="ListParagraph">
    <w:name w:val="List Paragraph"/>
    <w:basedOn w:val="Normal"/>
    <w:uiPriority w:val="34"/>
    <w:qFormat/>
    <w:rsid w:val="00225092"/>
    <w:pPr>
      <w:ind w:left="720"/>
      <w:contextualSpacing/>
    </w:pPr>
  </w:style>
  <w:style w:type="character" w:styleId="Hyperlink">
    <w:name w:val="Hyperlink"/>
    <w:basedOn w:val="DefaultParagraphFont"/>
    <w:rsid w:val="00DD3086"/>
    <w:rPr>
      <w:color w:val="0000FF" w:themeColor="hyperlink"/>
      <w:u w:val="single"/>
    </w:rPr>
  </w:style>
  <w:style w:type="character" w:styleId="CommentReference">
    <w:name w:val="annotation reference"/>
    <w:basedOn w:val="DefaultParagraphFont"/>
    <w:uiPriority w:val="99"/>
    <w:rsid w:val="00FA1BC4"/>
    <w:rPr>
      <w:sz w:val="16"/>
      <w:szCs w:val="16"/>
    </w:rPr>
  </w:style>
  <w:style w:type="paragraph" w:styleId="CommentSubject">
    <w:name w:val="annotation subject"/>
    <w:basedOn w:val="CommentText"/>
    <w:next w:val="CommentText"/>
    <w:link w:val="CommentSubjectChar"/>
    <w:rsid w:val="00FA1BC4"/>
    <w:rPr>
      <w:b/>
      <w:bCs/>
    </w:rPr>
  </w:style>
  <w:style w:type="character" w:customStyle="1" w:styleId="CommentTextChar">
    <w:name w:val="Comment Text Char"/>
    <w:basedOn w:val="DefaultParagraphFont"/>
    <w:link w:val="CommentText"/>
    <w:uiPriority w:val="99"/>
    <w:semiHidden/>
    <w:rsid w:val="00FA1BC4"/>
    <w:rPr>
      <w:rFonts w:ascii="Univers" w:hAnsi="Univers"/>
    </w:rPr>
  </w:style>
  <w:style w:type="character" w:customStyle="1" w:styleId="CommentSubjectChar">
    <w:name w:val="Comment Subject Char"/>
    <w:basedOn w:val="CommentTextChar"/>
    <w:link w:val="CommentSubject"/>
    <w:rsid w:val="00FA1BC4"/>
    <w:rPr>
      <w:rFonts w:ascii="Univers" w:hAnsi="Univers"/>
    </w:rPr>
  </w:style>
  <w:style w:type="paragraph" w:styleId="BalloonText">
    <w:name w:val="Balloon Text"/>
    <w:basedOn w:val="Normal"/>
    <w:link w:val="BalloonTextChar"/>
    <w:rsid w:val="00FA1BC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1BC4"/>
    <w:rPr>
      <w:rFonts w:ascii="Tahoma" w:hAnsi="Tahoma" w:cs="Tahoma"/>
      <w:sz w:val="16"/>
      <w:szCs w:val="16"/>
    </w:rPr>
  </w:style>
  <w:style w:type="paragraph" w:styleId="Revision">
    <w:name w:val="Revision"/>
    <w:hidden/>
    <w:uiPriority w:val="99"/>
    <w:semiHidden/>
    <w:rsid w:val="00F80EF2"/>
    <w:rPr>
      <w:rFonts w:ascii="Univers" w:hAnsi="Univers"/>
    </w:rPr>
  </w:style>
  <w:style w:type="character" w:customStyle="1" w:styleId="FootnoteTextChar">
    <w:name w:val="Footnote Text Char"/>
    <w:basedOn w:val="DefaultParagraphFont"/>
    <w:link w:val="FootnoteText"/>
    <w:uiPriority w:val="99"/>
    <w:semiHidden/>
    <w:rsid w:val="009345F8"/>
    <w:rPr>
      <w:rFonts w:ascii="Univers" w:hAnsi="Univers"/>
    </w:rPr>
  </w:style>
  <w:style w:type="paragraph" w:customStyle="1" w:styleId="Huisstijl-Aanhef">
    <w:name w:val="Huisstijl - Aanhef"/>
    <w:basedOn w:val="Normal"/>
    <w:rsid w:val="00B56093"/>
    <w:pPr>
      <w:widowControl w:val="0"/>
      <w:suppressAutoHyphens/>
      <w:autoSpaceDN w:val="0"/>
      <w:spacing w:before="100" w:after="240" w:line="240" w:lineRule="exact"/>
      <w:textAlignment w:val="baseline"/>
    </w:pPr>
    <w:rPr>
      <w:rFonts w:ascii="Verdana" w:eastAsia="DejaVu Sans" w:hAnsi="Verdana" w:cs="Lohit Hindi"/>
      <w:kern w:val="3"/>
      <w:sz w:val="18"/>
      <w:szCs w:val="24"/>
    </w:rPr>
  </w:style>
  <w:style w:type="table" w:styleId="TableGrid">
    <w:name w:val="Table Grid"/>
    <w:basedOn w:val="TableNormal"/>
    <w:uiPriority w:val="59"/>
    <w:rsid w:val="00B67E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3D"/>
    <w:pPr>
      <w:spacing w:line="260" w:lineRule="exact"/>
    </w:pPr>
    <w:rPr>
      <w:rFonts w:ascii="Univers" w:hAnsi="Univers"/>
    </w:rPr>
  </w:style>
  <w:style w:type="paragraph" w:styleId="Heading1">
    <w:name w:val="heading 1"/>
    <w:basedOn w:val="Normal"/>
    <w:next w:val="Normal"/>
    <w:qFormat/>
    <w:rsid w:val="0024053D"/>
    <w:pPr>
      <w:keepNext/>
      <w:spacing w:before="240" w:after="60" w:line="240" w:lineRule="auto"/>
      <w:outlineLvl w:val="0"/>
    </w:pPr>
    <w:rPr>
      <w:b/>
      <w:kern w:val="28"/>
      <w:sz w:val="28"/>
    </w:rPr>
  </w:style>
  <w:style w:type="paragraph" w:styleId="Heading2">
    <w:name w:val="heading 2"/>
    <w:basedOn w:val="Normal"/>
    <w:next w:val="Normal"/>
    <w:qFormat/>
    <w:rsid w:val="0024053D"/>
    <w:pPr>
      <w:keepNext/>
      <w:spacing w:before="240" w:after="60" w:line="240" w:lineRule="auto"/>
      <w:outlineLvl w:val="1"/>
    </w:pPr>
    <w:rPr>
      <w:rFonts w:ascii="Arial" w:hAnsi="Arial"/>
      <w:b/>
      <w:i/>
      <w:sz w:val="24"/>
    </w:rPr>
  </w:style>
  <w:style w:type="paragraph" w:styleId="Heading3">
    <w:name w:val="heading 3"/>
    <w:basedOn w:val="Normal"/>
    <w:next w:val="Normal"/>
    <w:qFormat/>
    <w:rsid w:val="0024053D"/>
    <w:pPr>
      <w:keepNext/>
      <w:spacing w:before="240" w:after="60" w:line="240" w:lineRule="auto"/>
      <w:outlineLvl w:val="2"/>
    </w:pPr>
    <w:rPr>
      <w:rFonts w:ascii="Arial" w:hAnsi="Arial"/>
      <w:sz w:val="24"/>
    </w:rPr>
  </w:style>
  <w:style w:type="paragraph" w:styleId="Heading4">
    <w:name w:val="heading 4"/>
    <w:basedOn w:val="Normal"/>
    <w:next w:val="Normal"/>
    <w:qFormat/>
    <w:rsid w:val="0024053D"/>
    <w:pPr>
      <w:keepNext/>
      <w:spacing w:before="240" w:after="60" w:line="240" w:lineRule="auto"/>
      <w:outlineLvl w:val="3"/>
    </w:pPr>
    <w:rPr>
      <w:rFonts w:ascii="Arial" w:hAnsi="Arial"/>
      <w:b/>
      <w:sz w:val="24"/>
    </w:rPr>
  </w:style>
  <w:style w:type="paragraph" w:styleId="Heading5">
    <w:name w:val="heading 5"/>
    <w:basedOn w:val="Normal"/>
    <w:next w:val="Normal"/>
    <w:qFormat/>
    <w:rsid w:val="0024053D"/>
    <w:pPr>
      <w:spacing w:before="240" w:after="60" w:line="240" w:lineRule="auto"/>
      <w:outlineLvl w:val="4"/>
    </w:pPr>
    <w:rPr>
      <w:sz w:val="22"/>
    </w:rPr>
  </w:style>
  <w:style w:type="paragraph" w:styleId="Heading6">
    <w:name w:val="heading 6"/>
    <w:basedOn w:val="Normal"/>
    <w:next w:val="Normal"/>
    <w:qFormat/>
    <w:rsid w:val="0024053D"/>
    <w:pPr>
      <w:spacing w:before="240" w:after="60" w:line="240" w:lineRule="auto"/>
      <w:outlineLvl w:val="5"/>
    </w:pPr>
    <w:rPr>
      <w:rFonts w:ascii="Times New Roman" w:hAnsi="Times New Roman"/>
      <w:i/>
      <w:sz w:val="22"/>
    </w:rPr>
  </w:style>
  <w:style w:type="paragraph" w:styleId="Heading7">
    <w:name w:val="heading 7"/>
    <w:basedOn w:val="Normal"/>
    <w:next w:val="Normal"/>
    <w:qFormat/>
    <w:rsid w:val="0024053D"/>
    <w:pPr>
      <w:spacing w:before="240" w:after="60" w:line="240" w:lineRule="auto"/>
      <w:outlineLvl w:val="6"/>
    </w:pPr>
    <w:rPr>
      <w:rFonts w:ascii="Arial" w:hAnsi="Arial"/>
    </w:rPr>
  </w:style>
  <w:style w:type="paragraph" w:styleId="Heading8">
    <w:name w:val="heading 8"/>
    <w:basedOn w:val="Normal"/>
    <w:next w:val="Normal"/>
    <w:qFormat/>
    <w:rsid w:val="0024053D"/>
    <w:pPr>
      <w:spacing w:before="240" w:after="60" w:line="240" w:lineRule="auto"/>
      <w:outlineLvl w:val="7"/>
    </w:pPr>
    <w:rPr>
      <w:rFonts w:ascii="Arial" w:hAnsi="Arial"/>
      <w:i/>
    </w:rPr>
  </w:style>
  <w:style w:type="paragraph" w:styleId="Heading9">
    <w:name w:val="heading 9"/>
    <w:basedOn w:val="Normal"/>
    <w:next w:val="Normal"/>
    <w:qFormat/>
    <w:rsid w:val="0024053D"/>
    <w:p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053D"/>
    <w:pPr>
      <w:tabs>
        <w:tab w:val="center" w:pos="4536"/>
        <w:tab w:val="right" w:pos="9072"/>
      </w:tabs>
      <w:spacing w:line="240" w:lineRule="auto"/>
    </w:pPr>
    <w:rPr>
      <w:spacing w:val="6"/>
      <w:sz w:val="16"/>
    </w:rPr>
  </w:style>
  <w:style w:type="paragraph" w:customStyle="1" w:styleId="Ondertekening">
    <w:name w:val="Ondertekening"/>
    <w:basedOn w:val="Normal"/>
    <w:next w:val="Normal"/>
    <w:rsid w:val="0024053D"/>
    <w:pPr>
      <w:spacing w:before="810" w:line="240" w:lineRule="auto"/>
    </w:pPr>
  </w:style>
  <w:style w:type="paragraph" w:styleId="Footer">
    <w:name w:val="footer"/>
    <w:basedOn w:val="Normal"/>
    <w:link w:val="FooterChar"/>
    <w:uiPriority w:val="99"/>
    <w:rsid w:val="0024053D"/>
    <w:pPr>
      <w:tabs>
        <w:tab w:val="center" w:pos="4536"/>
        <w:tab w:val="right" w:pos="9072"/>
      </w:tabs>
      <w:spacing w:line="240" w:lineRule="auto"/>
    </w:pPr>
  </w:style>
  <w:style w:type="character" w:styleId="PageNumber">
    <w:name w:val="page number"/>
    <w:basedOn w:val="DefaultParagraphFont"/>
    <w:rsid w:val="0024053D"/>
  </w:style>
  <w:style w:type="paragraph" w:styleId="Salutation">
    <w:name w:val="Salutation"/>
    <w:basedOn w:val="Normal"/>
    <w:next w:val="Normal"/>
    <w:rsid w:val="0024053D"/>
    <w:pPr>
      <w:spacing w:line="240" w:lineRule="auto"/>
    </w:pPr>
  </w:style>
  <w:style w:type="paragraph" w:styleId="EnvelopeAddress">
    <w:name w:val="envelope address"/>
    <w:basedOn w:val="Normal"/>
    <w:rsid w:val="0024053D"/>
    <w:pPr>
      <w:framePr w:w="7920" w:h="1980" w:hRule="exact" w:hSpace="141" w:wrap="auto" w:hAnchor="page" w:xAlign="center" w:yAlign="bottom"/>
      <w:spacing w:line="240" w:lineRule="auto"/>
      <w:ind w:left="2880"/>
    </w:pPr>
    <w:rPr>
      <w:rFonts w:ascii="Arial" w:hAnsi="Arial"/>
      <w:sz w:val="24"/>
    </w:rPr>
  </w:style>
  <w:style w:type="paragraph" w:styleId="Closing">
    <w:name w:val="Closing"/>
    <w:basedOn w:val="Normal"/>
    <w:rsid w:val="0024053D"/>
    <w:pPr>
      <w:spacing w:line="240" w:lineRule="auto"/>
      <w:ind w:left="4252"/>
    </w:pPr>
  </w:style>
  <w:style w:type="paragraph" w:styleId="EnvelopeReturn">
    <w:name w:val="envelope return"/>
    <w:basedOn w:val="Normal"/>
    <w:rsid w:val="0024053D"/>
    <w:pPr>
      <w:spacing w:line="240" w:lineRule="auto"/>
    </w:pPr>
    <w:rPr>
      <w:rFonts w:ascii="Arial" w:hAnsi="Arial"/>
    </w:rPr>
  </w:style>
  <w:style w:type="paragraph" w:styleId="MessageHeader">
    <w:name w:val="Message Header"/>
    <w:basedOn w:val="Normal"/>
    <w:rsid w:val="002405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Caption">
    <w:name w:val="caption"/>
    <w:basedOn w:val="Normal"/>
    <w:next w:val="Normal"/>
    <w:qFormat/>
    <w:rsid w:val="0024053D"/>
    <w:pPr>
      <w:spacing w:before="120" w:after="120" w:line="240" w:lineRule="auto"/>
    </w:pPr>
    <w:rPr>
      <w:b/>
    </w:rPr>
  </w:style>
  <w:style w:type="paragraph" w:styleId="BlockText">
    <w:name w:val="Block Text"/>
    <w:basedOn w:val="Normal"/>
    <w:rsid w:val="0024053D"/>
    <w:pPr>
      <w:spacing w:after="120" w:line="240" w:lineRule="auto"/>
      <w:ind w:left="1440" w:right="1440"/>
    </w:pPr>
  </w:style>
  <w:style w:type="paragraph" w:styleId="TableofAuthorities">
    <w:name w:val="table of authorities"/>
    <w:basedOn w:val="Normal"/>
    <w:next w:val="Normal"/>
    <w:semiHidden/>
    <w:rsid w:val="0024053D"/>
    <w:pPr>
      <w:spacing w:line="240" w:lineRule="auto"/>
      <w:ind w:left="200" w:hanging="200"/>
    </w:pPr>
  </w:style>
  <w:style w:type="paragraph" w:styleId="Date">
    <w:name w:val="Date"/>
    <w:basedOn w:val="Normal"/>
    <w:next w:val="Normal"/>
    <w:rsid w:val="0024053D"/>
    <w:pPr>
      <w:spacing w:line="240" w:lineRule="auto"/>
    </w:pPr>
  </w:style>
  <w:style w:type="paragraph" w:styleId="DocumentMap">
    <w:name w:val="Document Map"/>
    <w:basedOn w:val="Normal"/>
    <w:semiHidden/>
    <w:rsid w:val="0024053D"/>
    <w:pPr>
      <w:shd w:val="clear" w:color="auto" w:fill="000080"/>
      <w:spacing w:line="240" w:lineRule="auto"/>
    </w:pPr>
    <w:rPr>
      <w:rFonts w:ascii="Tahoma" w:hAnsi="Tahoma"/>
    </w:rPr>
  </w:style>
  <w:style w:type="paragraph" w:styleId="EndnoteText">
    <w:name w:val="endnote text"/>
    <w:basedOn w:val="Normal"/>
    <w:semiHidden/>
    <w:rsid w:val="0024053D"/>
    <w:pPr>
      <w:spacing w:line="240" w:lineRule="auto"/>
    </w:pPr>
  </w:style>
  <w:style w:type="paragraph" w:styleId="Signature">
    <w:name w:val="Signature"/>
    <w:basedOn w:val="Normal"/>
    <w:rsid w:val="0024053D"/>
    <w:pPr>
      <w:spacing w:line="240" w:lineRule="auto"/>
      <w:ind w:left="4252"/>
    </w:pPr>
  </w:style>
  <w:style w:type="paragraph" w:styleId="Index1">
    <w:name w:val="index 1"/>
    <w:basedOn w:val="Normal"/>
    <w:next w:val="Normal"/>
    <w:semiHidden/>
    <w:rsid w:val="0024053D"/>
    <w:pPr>
      <w:spacing w:line="240" w:lineRule="auto"/>
      <w:ind w:left="200" w:hanging="200"/>
    </w:pPr>
  </w:style>
  <w:style w:type="paragraph" w:styleId="Index2">
    <w:name w:val="index 2"/>
    <w:basedOn w:val="Normal"/>
    <w:next w:val="Normal"/>
    <w:semiHidden/>
    <w:rsid w:val="0024053D"/>
    <w:pPr>
      <w:spacing w:line="240" w:lineRule="auto"/>
      <w:ind w:left="400" w:hanging="200"/>
    </w:pPr>
  </w:style>
  <w:style w:type="paragraph" w:styleId="Index3">
    <w:name w:val="index 3"/>
    <w:basedOn w:val="Normal"/>
    <w:next w:val="Normal"/>
    <w:semiHidden/>
    <w:rsid w:val="0024053D"/>
    <w:pPr>
      <w:spacing w:line="240" w:lineRule="auto"/>
      <w:ind w:left="600" w:hanging="200"/>
    </w:pPr>
  </w:style>
  <w:style w:type="paragraph" w:styleId="Index4">
    <w:name w:val="index 4"/>
    <w:basedOn w:val="Normal"/>
    <w:next w:val="Normal"/>
    <w:semiHidden/>
    <w:rsid w:val="0024053D"/>
    <w:pPr>
      <w:spacing w:line="240" w:lineRule="auto"/>
      <w:ind w:left="800" w:hanging="200"/>
    </w:pPr>
  </w:style>
  <w:style w:type="paragraph" w:styleId="Index5">
    <w:name w:val="index 5"/>
    <w:basedOn w:val="Normal"/>
    <w:next w:val="Normal"/>
    <w:semiHidden/>
    <w:rsid w:val="0024053D"/>
    <w:pPr>
      <w:spacing w:line="240" w:lineRule="auto"/>
      <w:ind w:left="1000" w:hanging="200"/>
    </w:pPr>
  </w:style>
  <w:style w:type="paragraph" w:styleId="Index6">
    <w:name w:val="index 6"/>
    <w:basedOn w:val="Normal"/>
    <w:next w:val="Normal"/>
    <w:semiHidden/>
    <w:rsid w:val="0024053D"/>
    <w:pPr>
      <w:spacing w:line="240" w:lineRule="auto"/>
      <w:ind w:left="1200" w:hanging="200"/>
    </w:pPr>
  </w:style>
  <w:style w:type="paragraph" w:styleId="Index7">
    <w:name w:val="index 7"/>
    <w:basedOn w:val="Normal"/>
    <w:next w:val="Normal"/>
    <w:semiHidden/>
    <w:rsid w:val="0024053D"/>
    <w:pPr>
      <w:spacing w:line="240" w:lineRule="auto"/>
      <w:ind w:left="1400" w:hanging="200"/>
    </w:pPr>
  </w:style>
  <w:style w:type="paragraph" w:styleId="Index8">
    <w:name w:val="index 8"/>
    <w:basedOn w:val="Normal"/>
    <w:next w:val="Normal"/>
    <w:semiHidden/>
    <w:rsid w:val="0024053D"/>
    <w:pPr>
      <w:spacing w:line="240" w:lineRule="auto"/>
      <w:ind w:left="1600" w:hanging="200"/>
    </w:pPr>
  </w:style>
  <w:style w:type="paragraph" w:styleId="Index9">
    <w:name w:val="index 9"/>
    <w:basedOn w:val="Normal"/>
    <w:next w:val="Normal"/>
    <w:semiHidden/>
    <w:rsid w:val="0024053D"/>
    <w:pPr>
      <w:spacing w:line="240" w:lineRule="auto"/>
      <w:ind w:left="1800" w:hanging="200"/>
    </w:pPr>
  </w:style>
  <w:style w:type="paragraph" w:styleId="IndexHeading">
    <w:name w:val="index heading"/>
    <w:basedOn w:val="Normal"/>
    <w:next w:val="Index1"/>
    <w:semiHidden/>
    <w:rsid w:val="0024053D"/>
    <w:pPr>
      <w:spacing w:line="240" w:lineRule="auto"/>
    </w:pPr>
    <w:rPr>
      <w:rFonts w:ascii="Arial" w:hAnsi="Arial"/>
      <w:b/>
    </w:rPr>
  </w:style>
  <w:style w:type="paragraph" w:styleId="TOC1">
    <w:name w:val="toc 1"/>
    <w:basedOn w:val="Normal"/>
    <w:next w:val="Normal"/>
    <w:semiHidden/>
    <w:rsid w:val="0024053D"/>
    <w:pPr>
      <w:spacing w:line="240" w:lineRule="auto"/>
    </w:pPr>
  </w:style>
  <w:style w:type="paragraph" w:styleId="TOC2">
    <w:name w:val="toc 2"/>
    <w:basedOn w:val="Normal"/>
    <w:next w:val="Normal"/>
    <w:semiHidden/>
    <w:rsid w:val="0024053D"/>
    <w:pPr>
      <w:spacing w:line="240" w:lineRule="auto"/>
      <w:ind w:left="200"/>
    </w:pPr>
  </w:style>
  <w:style w:type="paragraph" w:styleId="TOC3">
    <w:name w:val="toc 3"/>
    <w:basedOn w:val="Normal"/>
    <w:next w:val="Normal"/>
    <w:semiHidden/>
    <w:rsid w:val="0024053D"/>
    <w:pPr>
      <w:spacing w:line="240" w:lineRule="auto"/>
      <w:ind w:left="400"/>
    </w:pPr>
  </w:style>
  <w:style w:type="paragraph" w:styleId="TOC4">
    <w:name w:val="toc 4"/>
    <w:basedOn w:val="Normal"/>
    <w:next w:val="Normal"/>
    <w:semiHidden/>
    <w:rsid w:val="0024053D"/>
    <w:pPr>
      <w:spacing w:line="240" w:lineRule="auto"/>
      <w:ind w:left="600"/>
    </w:pPr>
  </w:style>
  <w:style w:type="paragraph" w:styleId="TOC5">
    <w:name w:val="toc 5"/>
    <w:basedOn w:val="Normal"/>
    <w:next w:val="Normal"/>
    <w:semiHidden/>
    <w:rsid w:val="0024053D"/>
    <w:pPr>
      <w:spacing w:line="240" w:lineRule="auto"/>
      <w:ind w:left="800"/>
    </w:pPr>
  </w:style>
  <w:style w:type="paragraph" w:styleId="TOC6">
    <w:name w:val="toc 6"/>
    <w:basedOn w:val="Normal"/>
    <w:next w:val="Normal"/>
    <w:semiHidden/>
    <w:rsid w:val="0024053D"/>
    <w:pPr>
      <w:spacing w:line="240" w:lineRule="auto"/>
      <w:ind w:left="1000"/>
    </w:pPr>
  </w:style>
  <w:style w:type="paragraph" w:styleId="TOC7">
    <w:name w:val="toc 7"/>
    <w:basedOn w:val="Normal"/>
    <w:next w:val="Normal"/>
    <w:semiHidden/>
    <w:rsid w:val="0024053D"/>
    <w:pPr>
      <w:spacing w:line="240" w:lineRule="auto"/>
      <w:ind w:left="1200"/>
    </w:pPr>
  </w:style>
  <w:style w:type="paragraph" w:styleId="TOC8">
    <w:name w:val="toc 8"/>
    <w:basedOn w:val="Normal"/>
    <w:next w:val="Normal"/>
    <w:semiHidden/>
    <w:rsid w:val="0024053D"/>
    <w:pPr>
      <w:spacing w:line="240" w:lineRule="auto"/>
      <w:ind w:left="1400"/>
    </w:pPr>
  </w:style>
  <w:style w:type="paragraph" w:styleId="TOC9">
    <w:name w:val="toc 9"/>
    <w:basedOn w:val="Normal"/>
    <w:next w:val="Normal"/>
    <w:semiHidden/>
    <w:rsid w:val="0024053D"/>
    <w:pPr>
      <w:spacing w:line="240" w:lineRule="auto"/>
      <w:ind w:left="1600"/>
    </w:pPr>
  </w:style>
  <w:style w:type="paragraph" w:styleId="TOAHeading">
    <w:name w:val="toa heading"/>
    <w:basedOn w:val="Normal"/>
    <w:next w:val="Normal"/>
    <w:semiHidden/>
    <w:rsid w:val="0024053D"/>
    <w:pPr>
      <w:spacing w:before="120" w:line="240" w:lineRule="auto"/>
    </w:pPr>
    <w:rPr>
      <w:rFonts w:ascii="Arial" w:hAnsi="Arial"/>
      <w:b/>
      <w:sz w:val="24"/>
    </w:rPr>
  </w:style>
  <w:style w:type="paragraph" w:styleId="List">
    <w:name w:val="List"/>
    <w:basedOn w:val="Normal"/>
    <w:rsid w:val="0024053D"/>
    <w:pPr>
      <w:spacing w:line="240" w:lineRule="auto"/>
      <w:ind w:left="283" w:hanging="283"/>
    </w:pPr>
  </w:style>
  <w:style w:type="paragraph" w:styleId="List2">
    <w:name w:val="List 2"/>
    <w:basedOn w:val="Normal"/>
    <w:rsid w:val="0024053D"/>
    <w:pPr>
      <w:spacing w:line="240" w:lineRule="auto"/>
      <w:ind w:left="566" w:hanging="283"/>
    </w:pPr>
  </w:style>
  <w:style w:type="paragraph" w:styleId="List3">
    <w:name w:val="List 3"/>
    <w:basedOn w:val="Normal"/>
    <w:rsid w:val="0024053D"/>
    <w:pPr>
      <w:spacing w:line="240" w:lineRule="auto"/>
      <w:ind w:left="849" w:hanging="283"/>
    </w:pPr>
  </w:style>
  <w:style w:type="paragraph" w:styleId="List4">
    <w:name w:val="List 4"/>
    <w:basedOn w:val="Normal"/>
    <w:rsid w:val="0024053D"/>
    <w:pPr>
      <w:spacing w:line="240" w:lineRule="auto"/>
      <w:ind w:left="1132" w:hanging="283"/>
    </w:pPr>
  </w:style>
  <w:style w:type="paragraph" w:styleId="List5">
    <w:name w:val="List 5"/>
    <w:basedOn w:val="Normal"/>
    <w:rsid w:val="0024053D"/>
    <w:pPr>
      <w:spacing w:line="240" w:lineRule="auto"/>
      <w:ind w:left="1415" w:hanging="283"/>
    </w:pPr>
  </w:style>
  <w:style w:type="paragraph" w:styleId="TableofFigures">
    <w:name w:val="table of figures"/>
    <w:basedOn w:val="Normal"/>
    <w:next w:val="Normal"/>
    <w:semiHidden/>
    <w:rsid w:val="0024053D"/>
    <w:pPr>
      <w:spacing w:line="240" w:lineRule="auto"/>
      <w:ind w:left="400" w:hanging="400"/>
    </w:pPr>
  </w:style>
  <w:style w:type="paragraph" w:styleId="ListBullet">
    <w:name w:val="List Bullet"/>
    <w:basedOn w:val="Normal"/>
    <w:rsid w:val="0024053D"/>
    <w:pPr>
      <w:numPr>
        <w:numId w:val="11"/>
      </w:numPr>
      <w:spacing w:line="240" w:lineRule="auto"/>
    </w:pPr>
  </w:style>
  <w:style w:type="paragraph" w:styleId="ListBullet2">
    <w:name w:val="List Bullet 2"/>
    <w:basedOn w:val="Normal"/>
    <w:rsid w:val="0024053D"/>
    <w:pPr>
      <w:numPr>
        <w:numId w:val="12"/>
      </w:numPr>
      <w:spacing w:line="240" w:lineRule="auto"/>
    </w:pPr>
  </w:style>
  <w:style w:type="paragraph" w:styleId="ListBullet3">
    <w:name w:val="List Bullet 3"/>
    <w:basedOn w:val="Normal"/>
    <w:rsid w:val="0024053D"/>
    <w:pPr>
      <w:numPr>
        <w:numId w:val="13"/>
      </w:numPr>
      <w:spacing w:line="240" w:lineRule="auto"/>
    </w:pPr>
  </w:style>
  <w:style w:type="paragraph" w:styleId="ListBullet4">
    <w:name w:val="List Bullet 4"/>
    <w:basedOn w:val="Normal"/>
    <w:rsid w:val="0024053D"/>
    <w:pPr>
      <w:numPr>
        <w:numId w:val="14"/>
      </w:numPr>
      <w:spacing w:line="240" w:lineRule="auto"/>
    </w:pPr>
  </w:style>
  <w:style w:type="paragraph" w:styleId="ListBullet5">
    <w:name w:val="List Bullet 5"/>
    <w:basedOn w:val="Normal"/>
    <w:rsid w:val="0024053D"/>
    <w:pPr>
      <w:numPr>
        <w:numId w:val="15"/>
      </w:numPr>
      <w:spacing w:line="240" w:lineRule="auto"/>
    </w:pPr>
  </w:style>
  <w:style w:type="paragraph" w:styleId="ListNumber">
    <w:name w:val="List Number"/>
    <w:basedOn w:val="Normal"/>
    <w:rsid w:val="0024053D"/>
    <w:pPr>
      <w:numPr>
        <w:numId w:val="16"/>
      </w:numPr>
      <w:spacing w:line="240" w:lineRule="auto"/>
    </w:pPr>
  </w:style>
  <w:style w:type="paragraph" w:styleId="ListNumber2">
    <w:name w:val="List Number 2"/>
    <w:basedOn w:val="Normal"/>
    <w:rsid w:val="0024053D"/>
    <w:pPr>
      <w:numPr>
        <w:numId w:val="17"/>
      </w:numPr>
      <w:spacing w:line="240" w:lineRule="auto"/>
    </w:pPr>
  </w:style>
  <w:style w:type="paragraph" w:styleId="ListNumber3">
    <w:name w:val="List Number 3"/>
    <w:basedOn w:val="Normal"/>
    <w:rsid w:val="0024053D"/>
    <w:pPr>
      <w:numPr>
        <w:numId w:val="18"/>
      </w:numPr>
      <w:spacing w:line="240" w:lineRule="auto"/>
    </w:pPr>
  </w:style>
  <w:style w:type="paragraph" w:styleId="ListNumber4">
    <w:name w:val="List Number 4"/>
    <w:basedOn w:val="Normal"/>
    <w:rsid w:val="0024053D"/>
    <w:pPr>
      <w:numPr>
        <w:numId w:val="19"/>
      </w:numPr>
      <w:spacing w:line="240" w:lineRule="auto"/>
    </w:pPr>
  </w:style>
  <w:style w:type="paragraph" w:styleId="ListNumber5">
    <w:name w:val="List Number 5"/>
    <w:basedOn w:val="Normal"/>
    <w:rsid w:val="0024053D"/>
    <w:pPr>
      <w:numPr>
        <w:numId w:val="20"/>
      </w:numPr>
      <w:spacing w:line="240" w:lineRule="auto"/>
    </w:pPr>
  </w:style>
  <w:style w:type="paragraph" w:styleId="ListContinue">
    <w:name w:val="List Continue"/>
    <w:basedOn w:val="Normal"/>
    <w:rsid w:val="0024053D"/>
    <w:pPr>
      <w:spacing w:after="120" w:line="240" w:lineRule="auto"/>
      <w:ind w:left="283"/>
    </w:pPr>
  </w:style>
  <w:style w:type="paragraph" w:styleId="ListContinue2">
    <w:name w:val="List Continue 2"/>
    <w:basedOn w:val="Normal"/>
    <w:rsid w:val="0024053D"/>
    <w:pPr>
      <w:spacing w:after="120" w:line="240" w:lineRule="auto"/>
      <w:ind w:left="566"/>
    </w:pPr>
  </w:style>
  <w:style w:type="paragraph" w:styleId="ListContinue3">
    <w:name w:val="List Continue 3"/>
    <w:basedOn w:val="Normal"/>
    <w:rsid w:val="0024053D"/>
    <w:pPr>
      <w:spacing w:after="120" w:line="240" w:lineRule="auto"/>
      <w:ind w:left="849"/>
    </w:pPr>
  </w:style>
  <w:style w:type="paragraph" w:styleId="ListContinue4">
    <w:name w:val="List Continue 4"/>
    <w:basedOn w:val="Normal"/>
    <w:rsid w:val="0024053D"/>
    <w:pPr>
      <w:spacing w:after="120" w:line="240" w:lineRule="auto"/>
      <w:ind w:left="1132"/>
    </w:pPr>
  </w:style>
  <w:style w:type="paragraph" w:styleId="ListContinue5">
    <w:name w:val="List Continue 5"/>
    <w:basedOn w:val="Normal"/>
    <w:rsid w:val="0024053D"/>
    <w:pPr>
      <w:spacing w:after="120" w:line="240" w:lineRule="auto"/>
      <w:ind w:left="1415"/>
    </w:pPr>
  </w:style>
  <w:style w:type="paragraph" w:styleId="MacroText">
    <w:name w:val="macro"/>
    <w:semiHidden/>
    <w:rsid w:val="0024053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eHeading">
    <w:name w:val="Note Heading"/>
    <w:basedOn w:val="Normal"/>
    <w:next w:val="Normal"/>
    <w:rsid w:val="0024053D"/>
    <w:pPr>
      <w:spacing w:line="240" w:lineRule="auto"/>
    </w:pPr>
  </w:style>
  <w:style w:type="paragraph" w:styleId="PlainText">
    <w:name w:val="Plain Text"/>
    <w:basedOn w:val="Normal"/>
    <w:rsid w:val="0024053D"/>
    <w:pPr>
      <w:spacing w:line="240" w:lineRule="auto"/>
    </w:pPr>
    <w:rPr>
      <w:rFonts w:ascii="Courier New" w:hAnsi="Courier New"/>
    </w:rPr>
  </w:style>
  <w:style w:type="paragraph" w:styleId="BodyText">
    <w:name w:val="Body Text"/>
    <w:basedOn w:val="Normal"/>
    <w:rsid w:val="0024053D"/>
    <w:pPr>
      <w:spacing w:after="120" w:line="240" w:lineRule="auto"/>
    </w:pPr>
  </w:style>
  <w:style w:type="paragraph" w:styleId="BodyText2">
    <w:name w:val="Body Text 2"/>
    <w:basedOn w:val="Normal"/>
    <w:rsid w:val="0024053D"/>
    <w:pPr>
      <w:spacing w:after="120" w:line="480" w:lineRule="auto"/>
    </w:pPr>
  </w:style>
  <w:style w:type="paragraph" w:styleId="BodyText3">
    <w:name w:val="Body Text 3"/>
    <w:basedOn w:val="Normal"/>
    <w:rsid w:val="0024053D"/>
    <w:pPr>
      <w:spacing w:after="120" w:line="240" w:lineRule="auto"/>
    </w:pPr>
    <w:rPr>
      <w:sz w:val="16"/>
    </w:rPr>
  </w:style>
  <w:style w:type="paragraph" w:styleId="BodyTextFirstIndent">
    <w:name w:val="Body Text First Indent"/>
    <w:basedOn w:val="BodyText"/>
    <w:rsid w:val="0024053D"/>
    <w:pPr>
      <w:ind w:firstLine="210"/>
    </w:pPr>
  </w:style>
  <w:style w:type="paragraph" w:styleId="BodyTextIndent">
    <w:name w:val="Body Text Indent"/>
    <w:basedOn w:val="Normal"/>
    <w:rsid w:val="0024053D"/>
    <w:pPr>
      <w:spacing w:after="120" w:line="240" w:lineRule="auto"/>
      <w:ind w:left="283"/>
    </w:pPr>
  </w:style>
  <w:style w:type="paragraph" w:styleId="BodyTextFirstIndent2">
    <w:name w:val="Body Text First Indent 2"/>
    <w:basedOn w:val="BodyTextIndent"/>
    <w:rsid w:val="0024053D"/>
    <w:pPr>
      <w:ind w:firstLine="210"/>
    </w:pPr>
  </w:style>
  <w:style w:type="paragraph" w:styleId="BodyTextIndent2">
    <w:name w:val="Body Text Indent 2"/>
    <w:basedOn w:val="Normal"/>
    <w:rsid w:val="0024053D"/>
    <w:pPr>
      <w:spacing w:after="120" w:line="480" w:lineRule="auto"/>
      <w:ind w:left="283"/>
    </w:pPr>
  </w:style>
  <w:style w:type="paragraph" w:styleId="BodyTextIndent3">
    <w:name w:val="Body Text Indent 3"/>
    <w:basedOn w:val="Normal"/>
    <w:rsid w:val="0024053D"/>
    <w:pPr>
      <w:spacing w:after="120" w:line="240" w:lineRule="auto"/>
      <w:ind w:left="283"/>
    </w:pPr>
    <w:rPr>
      <w:sz w:val="16"/>
    </w:rPr>
  </w:style>
  <w:style w:type="paragraph" w:styleId="NormalIndent">
    <w:name w:val="Normal Indent"/>
    <w:basedOn w:val="Normal"/>
    <w:rsid w:val="0024053D"/>
    <w:pPr>
      <w:spacing w:line="240" w:lineRule="auto"/>
      <w:ind w:left="709"/>
    </w:pPr>
  </w:style>
  <w:style w:type="paragraph" w:styleId="Subtitle">
    <w:name w:val="Subtitle"/>
    <w:basedOn w:val="Normal"/>
    <w:qFormat/>
    <w:rsid w:val="0024053D"/>
    <w:pPr>
      <w:spacing w:after="60" w:line="240" w:lineRule="auto"/>
      <w:jc w:val="center"/>
      <w:outlineLvl w:val="1"/>
    </w:pPr>
    <w:rPr>
      <w:rFonts w:ascii="Arial" w:hAnsi="Arial"/>
      <w:sz w:val="24"/>
    </w:rPr>
  </w:style>
  <w:style w:type="paragraph" w:styleId="CommentText">
    <w:name w:val="annotation text"/>
    <w:basedOn w:val="Normal"/>
    <w:link w:val="CommentTextChar"/>
    <w:uiPriority w:val="99"/>
    <w:semiHidden/>
    <w:rsid w:val="0024053D"/>
    <w:pPr>
      <w:spacing w:line="240" w:lineRule="auto"/>
    </w:pPr>
  </w:style>
  <w:style w:type="paragraph" w:styleId="Title">
    <w:name w:val="Title"/>
    <w:basedOn w:val="Normal"/>
    <w:qFormat/>
    <w:rsid w:val="0024053D"/>
    <w:pPr>
      <w:spacing w:line="240" w:lineRule="auto"/>
    </w:pPr>
    <w:rPr>
      <w:b/>
      <w:sz w:val="36"/>
    </w:rPr>
  </w:style>
  <w:style w:type="paragraph" w:styleId="FootnoteText">
    <w:name w:val="footnote text"/>
    <w:basedOn w:val="Normal"/>
    <w:link w:val="FootnoteTextChar"/>
    <w:uiPriority w:val="99"/>
    <w:semiHidden/>
    <w:rsid w:val="0024053D"/>
    <w:pPr>
      <w:spacing w:line="240" w:lineRule="auto"/>
    </w:pPr>
  </w:style>
  <w:style w:type="paragraph" w:customStyle="1" w:styleId="Hoofdjes">
    <w:name w:val="Hoofdjes"/>
    <w:basedOn w:val="Normal"/>
    <w:rsid w:val="0024053D"/>
    <w:pPr>
      <w:spacing w:line="190" w:lineRule="exact"/>
    </w:pPr>
    <w:rPr>
      <w:spacing w:val="6"/>
      <w:sz w:val="14"/>
    </w:rPr>
  </w:style>
  <w:style w:type="paragraph" w:customStyle="1" w:styleId="Hoofdjesregel13pt">
    <w:name w:val="Hoofdjes regel 13 pt"/>
    <w:basedOn w:val="Hoofdjes"/>
    <w:rsid w:val="0024053D"/>
    <w:pPr>
      <w:spacing w:line="260" w:lineRule="exact"/>
    </w:pPr>
  </w:style>
  <w:style w:type="paragraph" w:customStyle="1" w:styleId="HoofdjesZwart">
    <w:name w:val="HoofdjesZwart"/>
    <w:basedOn w:val="Normal"/>
    <w:rsid w:val="0024053D"/>
    <w:pPr>
      <w:spacing w:line="240" w:lineRule="auto"/>
    </w:pPr>
    <w:rPr>
      <w:spacing w:val="6"/>
      <w:sz w:val="14"/>
    </w:rPr>
  </w:style>
  <w:style w:type="paragraph" w:customStyle="1" w:styleId="Kleinetekst">
    <w:name w:val="Kleine tekst"/>
    <w:basedOn w:val="Normal"/>
    <w:rsid w:val="0024053D"/>
    <w:pPr>
      <w:spacing w:before="57" w:after="57" w:line="240" w:lineRule="auto"/>
    </w:pPr>
    <w:rPr>
      <w:spacing w:val="10"/>
      <w:sz w:val="14"/>
    </w:rPr>
  </w:style>
  <w:style w:type="paragraph" w:customStyle="1" w:styleId="Memohoofd">
    <w:name w:val="Memohoofd"/>
    <w:basedOn w:val="Normal"/>
    <w:rsid w:val="0024053D"/>
    <w:pPr>
      <w:spacing w:line="240" w:lineRule="exact"/>
    </w:pPr>
  </w:style>
  <w:style w:type="paragraph" w:customStyle="1" w:styleId="GroteLetters">
    <w:name w:val="Grote Letters"/>
    <w:basedOn w:val="Normal"/>
    <w:rsid w:val="0024053D"/>
    <w:pPr>
      <w:spacing w:line="364" w:lineRule="exact"/>
    </w:pPr>
    <w:rPr>
      <w:sz w:val="28"/>
    </w:rPr>
  </w:style>
  <w:style w:type="character" w:styleId="FootnoteReference">
    <w:name w:val="footnote reference"/>
    <w:basedOn w:val="DefaultParagraphFont"/>
    <w:uiPriority w:val="99"/>
    <w:semiHidden/>
    <w:rsid w:val="00BB7CCF"/>
    <w:rPr>
      <w:vertAlign w:val="superscript"/>
    </w:rPr>
  </w:style>
  <w:style w:type="character" w:customStyle="1" w:styleId="FooterChar">
    <w:name w:val="Footer Char"/>
    <w:basedOn w:val="DefaultParagraphFont"/>
    <w:link w:val="Footer"/>
    <w:uiPriority w:val="99"/>
    <w:rsid w:val="00BF3F64"/>
    <w:rPr>
      <w:rFonts w:ascii="Univers" w:hAnsi="Univers"/>
    </w:rPr>
  </w:style>
  <w:style w:type="paragraph" w:styleId="ListParagraph">
    <w:name w:val="List Paragraph"/>
    <w:basedOn w:val="Normal"/>
    <w:uiPriority w:val="34"/>
    <w:qFormat/>
    <w:rsid w:val="00225092"/>
    <w:pPr>
      <w:ind w:left="720"/>
      <w:contextualSpacing/>
    </w:pPr>
  </w:style>
  <w:style w:type="character" w:styleId="Hyperlink">
    <w:name w:val="Hyperlink"/>
    <w:basedOn w:val="DefaultParagraphFont"/>
    <w:rsid w:val="00DD3086"/>
    <w:rPr>
      <w:color w:val="0000FF" w:themeColor="hyperlink"/>
      <w:u w:val="single"/>
    </w:rPr>
  </w:style>
  <w:style w:type="character" w:styleId="CommentReference">
    <w:name w:val="annotation reference"/>
    <w:basedOn w:val="DefaultParagraphFont"/>
    <w:uiPriority w:val="99"/>
    <w:rsid w:val="00FA1BC4"/>
    <w:rPr>
      <w:sz w:val="16"/>
      <w:szCs w:val="16"/>
    </w:rPr>
  </w:style>
  <w:style w:type="paragraph" w:styleId="CommentSubject">
    <w:name w:val="annotation subject"/>
    <w:basedOn w:val="CommentText"/>
    <w:next w:val="CommentText"/>
    <w:link w:val="CommentSubjectChar"/>
    <w:rsid w:val="00FA1BC4"/>
    <w:rPr>
      <w:b/>
      <w:bCs/>
    </w:rPr>
  </w:style>
  <w:style w:type="character" w:customStyle="1" w:styleId="CommentTextChar">
    <w:name w:val="Comment Text Char"/>
    <w:basedOn w:val="DefaultParagraphFont"/>
    <w:link w:val="CommentText"/>
    <w:uiPriority w:val="99"/>
    <w:semiHidden/>
    <w:rsid w:val="00FA1BC4"/>
    <w:rPr>
      <w:rFonts w:ascii="Univers" w:hAnsi="Univers"/>
    </w:rPr>
  </w:style>
  <w:style w:type="character" w:customStyle="1" w:styleId="CommentSubjectChar">
    <w:name w:val="Comment Subject Char"/>
    <w:basedOn w:val="CommentTextChar"/>
    <w:link w:val="CommentSubject"/>
    <w:rsid w:val="00FA1BC4"/>
    <w:rPr>
      <w:rFonts w:ascii="Univers" w:hAnsi="Univers"/>
    </w:rPr>
  </w:style>
  <w:style w:type="paragraph" w:styleId="BalloonText">
    <w:name w:val="Balloon Text"/>
    <w:basedOn w:val="Normal"/>
    <w:link w:val="BalloonTextChar"/>
    <w:rsid w:val="00FA1BC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1BC4"/>
    <w:rPr>
      <w:rFonts w:ascii="Tahoma" w:hAnsi="Tahoma" w:cs="Tahoma"/>
      <w:sz w:val="16"/>
      <w:szCs w:val="16"/>
    </w:rPr>
  </w:style>
  <w:style w:type="paragraph" w:styleId="Revision">
    <w:name w:val="Revision"/>
    <w:hidden/>
    <w:uiPriority w:val="99"/>
    <w:semiHidden/>
    <w:rsid w:val="00F80EF2"/>
    <w:rPr>
      <w:rFonts w:ascii="Univers" w:hAnsi="Univers"/>
    </w:rPr>
  </w:style>
  <w:style w:type="character" w:customStyle="1" w:styleId="FootnoteTextChar">
    <w:name w:val="Footnote Text Char"/>
    <w:basedOn w:val="DefaultParagraphFont"/>
    <w:link w:val="FootnoteText"/>
    <w:uiPriority w:val="99"/>
    <w:semiHidden/>
    <w:rsid w:val="009345F8"/>
    <w:rPr>
      <w:rFonts w:ascii="Univers" w:hAnsi="Univers"/>
    </w:rPr>
  </w:style>
  <w:style w:type="paragraph" w:customStyle="1" w:styleId="Huisstijl-Aanhef">
    <w:name w:val="Huisstijl - Aanhef"/>
    <w:basedOn w:val="Normal"/>
    <w:rsid w:val="00B56093"/>
    <w:pPr>
      <w:widowControl w:val="0"/>
      <w:suppressAutoHyphens/>
      <w:autoSpaceDN w:val="0"/>
      <w:spacing w:before="100" w:after="240" w:line="240" w:lineRule="exact"/>
      <w:textAlignment w:val="baseline"/>
    </w:pPr>
    <w:rPr>
      <w:rFonts w:ascii="Verdana" w:eastAsia="DejaVu Sans" w:hAnsi="Verdana" w:cs="Lohit Hindi"/>
      <w:kern w:val="3"/>
      <w:sz w:val="18"/>
      <w:szCs w:val="24"/>
    </w:rPr>
  </w:style>
  <w:style w:type="table" w:styleId="TableGrid">
    <w:name w:val="Table Grid"/>
    <w:basedOn w:val="TableNormal"/>
    <w:uiPriority w:val="59"/>
    <w:rsid w:val="00B67E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41476">
      <w:bodyDiv w:val="1"/>
      <w:marLeft w:val="0"/>
      <w:marRight w:val="0"/>
      <w:marTop w:val="0"/>
      <w:marBottom w:val="0"/>
      <w:divBdr>
        <w:top w:val="none" w:sz="0" w:space="0" w:color="auto"/>
        <w:left w:val="none" w:sz="0" w:space="0" w:color="auto"/>
        <w:bottom w:val="none" w:sz="0" w:space="0" w:color="auto"/>
        <w:right w:val="none" w:sz="0" w:space="0" w:color="auto"/>
      </w:divBdr>
    </w:div>
    <w:div w:id="1425371885">
      <w:bodyDiv w:val="1"/>
      <w:marLeft w:val="0"/>
      <w:marRight w:val="0"/>
      <w:marTop w:val="0"/>
      <w:marBottom w:val="0"/>
      <w:divBdr>
        <w:top w:val="none" w:sz="0" w:space="0" w:color="auto"/>
        <w:left w:val="none" w:sz="0" w:space="0" w:color="auto"/>
        <w:bottom w:val="none" w:sz="0" w:space="0" w:color="auto"/>
        <w:right w:val="none" w:sz="0" w:space="0" w:color="auto"/>
      </w:divBdr>
    </w:div>
    <w:div w:id="17501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VOORDRACHT%20TBV%20RAAD%20VAN%20STATE.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2EBF2-9828-42AB-A2EB-9FCF0795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VOORDRACHT TBV RAAD VAN STATE.DOT</Template>
  <TotalTime>13</TotalTime>
  <Pages>8</Pages>
  <Words>2207</Words>
  <Characters>12582</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Centric Training - (020) 523 04 00</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Beheerder</dc:creator>
  <cp:lastModifiedBy>DA</cp:lastModifiedBy>
  <cp:revision>3</cp:revision>
  <cp:lastPrinted>2019-05-29T13:48:00Z</cp:lastPrinted>
  <dcterms:created xsi:type="dcterms:W3CDTF">2019-07-08T12:56:00Z</dcterms:created>
  <dcterms:modified xsi:type="dcterms:W3CDTF">2019-07-16T07:39:00Z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Origineel</vt:lpwstr>
  </property>
</Properties>
</file>