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B92" w:rsidRPr="00094C65" w:rsidRDefault="006B2B92" w:rsidP="006B2B92">
      <w:pPr>
        <w:pStyle w:val="PlainText"/>
        <w:rPr>
          <w:rFonts w:ascii="Courier New" w:hAnsi="Courier New" w:cs="Courier New"/>
          <w:sz w:val="20"/>
          <w:szCs w:val="20"/>
          <w:lang w:val="en-US"/>
        </w:rPr>
      </w:pPr>
      <w:r w:rsidRPr="00094C65">
        <w:rPr>
          <w:rFonts w:ascii="Courier New" w:hAnsi="Courier New"/>
          <w:sz w:val="20"/>
          <w:szCs w:val="20"/>
          <w:lang w:val="en-US"/>
        </w:rPr>
        <w:t xml:space="preserve">1. ------IND- 2019 0518 F-- IT- ------ 20200930 --- --- FINAL </w:t>
      </w:r>
    </w:p>
    <w:p w:rsidR="00D8408E" w:rsidRPr="00094C65" w:rsidRDefault="00DD2A33">
      <w:pPr>
        <w:widowControl w:val="0"/>
        <w:autoSpaceDE w:val="0"/>
        <w:autoSpaceDN w:val="0"/>
        <w:adjustRightInd w:val="0"/>
        <w:spacing w:after="0" w:line="240" w:lineRule="auto"/>
        <w:jc w:val="right"/>
        <w:rPr>
          <w:rFonts w:ascii="Arial" w:hAnsi="Arial" w:cs="Arial"/>
          <w:sz w:val="24"/>
          <w:szCs w:val="24"/>
          <w:lang w:val="en-US"/>
        </w:rPr>
      </w:pPr>
      <w:r w:rsidRPr="00094C65">
        <w:rPr>
          <w:rFonts w:ascii="Arial" w:hAnsi="Arial"/>
          <w:sz w:val="24"/>
          <w:szCs w:val="24"/>
          <w:lang w:val="en-US"/>
        </w:rPr>
        <w:t>10 aprile 2020</w:t>
      </w:r>
    </w:p>
    <w:p w:rsidR="00621B9B" w:rsidRPr="00094C65" w:rsidRDefault="00621B9B">
      <w:pPr>
        <w:widowControl w:val="0"/>
        <w:autoSpaceDE w:val="0"/>
        <w:autoSpaceDN w:val="0"/>
        <w:adjustRightInd w:val="0"/>
        <w:spacing w:after="0" w:line="240" w:lineRule="auto"/>
        <w:rPr>
          <w:rFonts w:ascii="Arial" w:hAnsi="Arial" w:cs="Arial"/>
          <w:sz w:val="24"/>
          <w:szCs w:val="24"/>
          <w:lang w:val="en-US"/>
        </w:rPr>
      </w:pPr>
    </w:p>
    <w:p w:rsidR="00621B9B" w:rsidRPr="00094C65" w:rsidRDefault="00621B9B">
      <w:pPr>
        <w:widowControl w:val="0"/>
        <w:autoSpaceDE w:val="0"/>
        <w:autoSpaceDN w:val="0"/>
        <w:adjustRightInd w:val="0"/>
        <w:spacing w:after="0" w:line="240" w:lineRule="auto"/>
        <w:rPr>
          <w:rFonts w:ascii="Arial" w:hAnsi="Arial" w:cs="Arial"/>
          <w:sz w:val="24"/>
          <w:szCs w:val="24"/>
          <w:lang w:val="en-US"/>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Gazzetta ufficiale della Repubblica francese n. 0085 del 7 aprile 2020</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Testo n.11</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b/>
          <w:bCs/>
          <w:sz w:val="24"/>
          <w:szCs w:val="24"/>
        </w:rPr>
        <w:t>Decreto del 1° aprile 2020 che fissa la composizione dei fascicoli di domande relative alle autorizzazioni di immissione sul mercato e ai permessi di fertilizzanti, coadiuvanti per fertilizzanti e substrati di coltivazione e i criteri da prendere in considerazione nella preparazione degli elementi richiesti per la valutazione</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094C65" w:rsidRDefault="00DD2A33">
      <w:pPr>
        <w:widowControl w:val="0"/>
        <w:autoSpaceDE w:val="0"/>
        <w:autoSpaceDN w:val="0"/>
        <w:adjustRightInd w:val="0"/>
        <w:spacing w:after="0" w:line="240" w:lineRule="auto"/>
        <w:jc w:val="center"/>
        <w:rPr>
          <w:rFonts w:ascii="Arial" w:hAnsi="Arial" w:cs="Arial"/>
          <w:sz w:val="24"/>
          <w:szCs w:val="24"/>
          <w:lang w:val="en-US"/>
        </w:rPr>
      </w:pPr>
      <w:r w:rsidRPr="00094C65">
        <w:rPr>
          <w:rFonts w:ascii="Arial" w:hAnsi="Arial"/>
          <w:sz w:val="24"/>
          <w:szCs w:val="24"/>
          <w:lang w:val="en-US"/>
        </w:rPr>
        <w:t>NOR: AGRG2008998A</w:t>
      </w:r>
    </w:p>
    <w:p w:rsidR="00621B9B" w:rsidRPr="006B2B92" w:rsidRDefault="00621B9B">
      <w:pPr>
        <w:widowControl w:val="0"/>
        <w:autoSpaceDE w:val="0"/>
        <w:autoSpaceDN w:val="0"/>
        <w:adjustRightInd w:val="0"/>
        <w:spacing w:after="0" w:line="240" w:lineRule="auto"/>
        <w:rPr>
          <w:rFonts w:ascii="Arial" w:hAnsi="Arial" w:cs="Arial"/>
          <w:sz w:val="24"/>
          <w:szCs w:val="24"/>
          <w:lang w:val="en-US"/>
        </w:rPr>
      </w:pPr>
    </w:p>
    <w:p w:rsidR="00621B9B" w:rsidRPr="006B2B92" w:rsidRDefault="00621B9B">
      <w:pPr>
        <w:widowControl w:val="0"/>
        <w:autoSpaceDE w:val="0"/>
        <w:autoSpaceDN w:val="0"/>
        <w:adjustRightInd w:val="0"/>
        <w:spacing w:after="0" w:line="240" w:lineRule="auto"/>
        <w:rPr>
          <w:rFonts w:ascii="Arial" w:hAnsi="Arial" w:cs="Arial"/>
          <w:sz w:val="24"/>
          <w:szCs w:val="24"/>
          <w:lang w:val="en-US"/>
        </w:rPr>
      </w:pPr>
    </w:p>
    <w:p w:rsidR="00D8408E" w:rsidRPr="00094C65" w:rsidRDefault="00DD2A33">
      <w:pPr>
        <w:widowControl w:val="0"/>
        <w:autoSpaceDE w:val="0"/>
        <w:autoSpaceDN w:val="0"/>
        <w:adjustRightInd w:val="0"/>
        <w:spacing w:after="0" w:line="240" w:lineRule="auto"/>
        <w:jc w:val="center"/>
        <w:rPr>
          <w:rFonts w:ascii="Arial" w:hAnsi="Arial" w:cs="Arial"/>
          <w:sz w:val="24"/>
          <w:szCs w:val="24"/>
          <w:lang w:val="en-US"/>
        </w:rPr>
      </w:pPr>
      <w:r w:rsidRPr="00094C65">
        <w:rPr>
          <w:rFonts w:ascii="Arial" w:hAnsi="Arial"/>
          <w:sz w:val="20"/>
          <w:szCs w:val="20"/>
          <w:lang w:val="en-US"/>
        </w:rPr>
        <w:t>ELI:https://www.legifrance.gouv.fr/eli/arrete/2020/4/1/AGRG2008998A/jo/texte</w:t>
      </w:r>
    </w:p>
    <w:p w:rsidR="00621B9B" w:rsidRPr="006B2B92" w:rsidRDefault="00621B9B">
      <w:pPr>
        <w:widowControl w:val="0"/>
        <w:autoSpaceDE w:val="0"/>
        <w:autoSpaceDN w:val="0"/>
        <w:adjustRightInd w:val="0"/>
        <w:spacing w:after="0" w:line="240" w:lineRule="auto"/>
        <w:rPr>
          <w:rFonts w:ascii="Arial" w:hAnsi="Arial" w:cs="Arial"/>
          <w:sz w:val="24"/>
          <w:szCs w:val="24"/>
          <w:lang w:val="en-US"/>
        </w:rPr>
      </w:pPr>
    </w:p>
    <w:p w:rsidR="00621B9B" w:rsidRPr="006B2B92" w:rsidRDefault="00621B9B">
      <w:pPr>
        <w:widowControl w:val="0"/>
        <w:autoSpaceDE w:val="0"/>
        <w:autoSpaceDN w:val="0"/>
        <w:adjustRightInd w:val="0"/>
        <w:spacing w:after="0" w:line="240" w:lineRule="auto"/>
        <w:rPr>
          <w:rFonts w:ascii="Arial" w:hAnsi="Arial" w:cs="Arial"/>
          <w:sz w:val="24"/>
          <w:szCs w:val="24"/>
          <w:lang w:val="en-US"/>
        </w:rPr>
      </w:pPr>
    </w:p>
    <w:p w:rsidR="00621B9B" w:rsidRPr="006B2B92" w:rsidRDefault="00621B9B">
      <w:pPr>
        <w:widowControl w:val="0"/>
        <w:autoSpaceDE w:val="0"/>
        <w:autoSpaceDN w:val="0"/>
        <w:adjustRightInd w:val="0"/>
        <w:spacing w:after="0" w:line="240" w:lineRule="auto"/>
        <w:rPr>
          <w:rFonts w:ascii="Arial" w:hAnsi="Arial" w:cs="Arial"/>
          <w:sz w:val="24"/>
          <w:szCs w:val="24"/>
          <w:lang w:val="en-US"/>
        </w:rPr>
      </w:pPr>
    </w:p>
    <w:p w:rsidR="00621B9B" w:rsidRPr="006B2B92" w:rsidRDefault="00621B9B">
      <w:pPr>
        <w:widowControl w:val="0"/>
        <w:autoSpaceDE w:val="0"/>
        <w:autoSpaceDN w:val="0"/>
        <w:adjustRightInd w:val="0"/>
        <w:spacing w:after="0" w:line="240" w:lineRule="auto"/>
        <w:rPr>
          <w:rFonts w:ascii="Arial" w:hAnsi="Arial" w:cs="Arial"/>
          <w:sz w:val="24"/>
          <w:szCs w:val="24"/>
          <w:lang w:val="en-US"/>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Categorie di soggetti interessati: titolari e richiedenti di autorizzazione di immissione sul mercato o di permessi di fertilizzanti, coadiuvanti per fertilizzanti e substrati di coltivazione.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Oggetto: composizione dei fascicoli di domande di autorizzazione di immissione sul mercato, di permessi di sperimentazione e di permessi di introduzione per fertilizzanti, loro coadiuvanti e substrati di coltivazione, contenuto delle notifiche e delle dichiarazioni relative a tali prodotti.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Entrata in vigore: il testo entra in vigore il giorno successivo alla sua pubblicazione.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Nota informativa: il decreto fissa, per ogni tipo di domanda, di notifica e di dichiarazione relativa a un'autorizzazione o a un permesso per fertilizzanti, coadiuvanti per fertilizzanti o substrati di coltivazione, la composizione del fascicolo da sottoporre all'Agenzia nazionale per la sicurezza sanitaria dell'alimentazione, dell'ambiente e del lavoro.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Riferimenti: il presente decreto è adottato in applicazione degli articoli R. 255-13 e R. 255-14 del codice rurale e della pesca marittima. Può essere consultato sul sito Internet di Légifrance (https://www.legifrance.gouv.fr).</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Il ministro dell'Agricoltura e dell'alimentazione,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visto il regolamento (CE) n. 1907/2006 del Parlamento europeo e del Consiglio, del 18 dicembre 2006, concernente la registrazione, la valutazione, l'autorizzazione e la restrizione delle sostanze chimiche (REACH), che istituisce un'Agenzia europea per le sostanze chimiche;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visto il codice rurale e della pesca marittima, in particolare gli articoli R. 255-13 e R. 255-14 dello stesso;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visto il decreto n. 80-478, del 16 giugno 1980, recante applicazione dell'articolo L. 412-1 del </w:t>
      </w:r>
      <w:r>
        <w:rPr>
          <w:rFonts w:ascii="Arial" w:hAnsi="Arial"/>
          <w:sz w:val="24"/>
          <w:szCs w:val="24"/>
        </w:rPr>
        <w:lastRenderedPageBreak/>
        <w:t>codice del consumo per quanto concerne i fertilizzanti e i substrati di coltivazione;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vista la proposta del direttore generale dell'Agenzia nazionale per la sicurezza sanitaria dell'alimentazione, dell'ambiente e del lavoro, del 2 agosto 2019;</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decreta:</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Articolo 1</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Campo di applicazione.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Le disposizioni del presente decreto si applicano ai fertilizzanti, ai coadiuvanti per fertilizzanti e ai substrati di coltivazione, designati in prosieguo con il termine "prodotto" e intesi come "prodotto o insieme di prodotti" ai sensi dell'articolo R. 255-1 del codice rurale e della pesca marittima.</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Articolo 2</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Disposizioni comuni.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Ogni domanda di autorizzazione di immissione sul mercato, di permesso di sperimentazione o di permesso di introduzione di un prodotto, ogni domanda di modifica, di rinnovo o di ritiro di tali autorizzazioni o permessi, nonché ogni trasmissione di informazioni, notifica o dichiarazione relativa a tali prodotti, è sottoposta all'Agenzia nazionale per la sicurezza sanitaria dell'alimentazione, dell'ambiente e del lavoro [</w:t>
      </w:r>
      <w:r>
        <w:rPr>
          <w:rFonts w:ascii="Arial" w:hAnsi="Arial"/>
          <w:i/>
          <w:iCs/>
          <w:sz w:val="24"/>
          <w:szCs w:val="24"/>
        </w:rPr>
        <w:t>Agence nationale de sécurité sanitaire de l'alimentation, de l'environnement et du travail</w:t>
      </w:r>
      <w:r>
        <w:rPr>
          <w:rFonts w:ascii="Arial" w:hAnsi="Arial"/>
          <w:sz w:val="24"/>
          <w:szCs w:val="24"/>
        </w:rPr>
        <w:t xml:space="preserve"> (Anses)]. È costituita sotto forma di un fascicolo redatto in francese, salvo disposizioni specifiche previste all'articolo 3.</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Tale fascicolo comprende:</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1° una lettera in relazione alla domanda, la trasmissione di informazioni, la notifica o la dichiarazione;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2° un formulario debitamente completato conformemente alle istruzioni corrispondenti, datato e firmato. Il formulario e le istruzioni sono disponibili sul sito Internet dell'Anses;</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3° se del caso, gli elementi complementari necessari all'istruzione e alla valutazione della domanda o alla registrazione della notifica o della dichiarazione previsti dagli articoli da 3 a 6 del presente decreto.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Ogni fascicolo è presentato sotto forma di una versione digitale trasmessa su un supporto di memorizzazione dei dati. Inoltre, può comprendere una versione cartacea, fornita in duplice copia e accompagnata da un'attestazione di identità dei documenti in formato cartaceo e dei documenti in formato elettronico.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Il fascicolo viene presentato conformemente alle istruzioni che accompagnano il formulario di presentazione.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 prodotti che costituiscono l'oggetto della domanda sono caratterizzati conformemente all'allegato del presente decreto e alla "guida relativa alla valutazione dei fascicoli di domanda relativa a un'autorizzazione di immissione sul mercato o a un permesso per fertilizzanti, coadiuvanti per fertilizzanti e substrati di coltivazione", disponibile sul sito Internet dell'Anses.</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Articolo 3</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Autorizzazione di immissione sul mercato.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w:t>
      </w:r>
      <w:r w:rsidR="00094C65">
        <w:rPr>
          <w:rFonts w:ascii="Arial" w:hAnsi="Arial"/>
          <w:sz w:val="24"/>
          <w:szCs w:val="24"/>
        </w:rPr>
        <w:t xml:space="preserve"> </w:t>
      </w:r>
      <w:r>
        <w:rPr>
          <w:rFonts w:ascii="Arial" w:hAnsi="Arial"/>
          <w:sz w:val="24"/>
          <w:szCs w:val="24"/>
        </w:rPr>
        <w:t>- La domanda di autorizzazione di immissione sul mercato di un prodotto, di rinnovo o di modifica di un'autorizzazione di immissione sul mercato di un prodotto, a eccezione delle domande di cui ai paragrafi III e IV, comprende gli elementi complementari seguenti ai fini della valutazione di cui all'articolo L. 255-7 del codice rurale e della pesca marittima:</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i dati di tracciabilità del prodotto e delle relative materie prime, a livello dei siti di produzione e dei siti di fabbricazione, quando sono diversi;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composizione totale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le relazioni di indagini di caratterizzazione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le informazioni relative alla coerenza della composizione del prodotto rispetto ai parametri e ai valori garantiti, quali l'omogeneità, l'invariabilità e la stabilità, nonché le relazioni di indagini corrispondenti;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le informazioni relative alla fabbricazione del prodotto, in particolare la descrizione delle materie prime e dei coadiuvanti tecnologici utilizzati, i dettagli del procedimento di fabbricazione, le procedure di gestione della qualità, del controllo e dell'autocontrollo, la definizione dei lotti e la gestione delle inosservanze;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relazione di sintesi agronomica e le relazioni di prova che stabiliscono, nelle condizioni d'impiego prescritte, l'efficacia del prodotto rispetto agli effetti specificamente attribuiti. Nel caso di una domanda di rinnovo dell'autorizzazione di immissione sul mercato, il richiedente giustifica l'eventuale assenza di trasmissione di tali relazioni di sintesi e di prova;</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relazione di sintesi e le relazioni di studi che stabiliscono, nelle condizioni d'impiego prescritte, l'assenza di effetti nocivi del prodotto sulla salute umana, sulla salute animale e sull'ambiente. Nel caso di una domanda di rinnovo dell'autorizzazione di immissione sul mercato, il richiedente giustifica l'eventuale assenza di trasmissione di tali relazioni;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nel caso di una domanda di rinnovo dell'autorizzazione di immissione sul mercato, i risultati delle indagini di controllo della produzione nonché i dati complementari dopo l'autorizzazione richiesti, se del caso, nella decisione iniziale;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bozza di etichetta o di scheda di informazione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scheda di dati di sicurezza del prodotto e dell'insieme delle materie prime, prevista dall'articolo 31 del regolamento (CE) n. 1907/2006 di cui sopra.</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Le relazioni di sintesi, di studi e di prova possono essere redatte in inglese.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II. - La domanda di autorizzazione di immissione sul mercato di un prodotto mediante riconoscimento reciproco, di cui all'articolo R. 255-17 del codice rurale e della pesca marittima, comprende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un'attestazione di identità del prodotto che costituisce l'oggetto della domanda, con il prodotto legalmente immesso sul mercato nello Stato membro di riferimento;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composizione totale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copia della decisione amministrativa, della norma o del testo regolamentare in virtù del quale l'immissione sul mercato nello Stato membro di riferimento è autorizzata, nonché la relativa traduzione in francese o in inglese;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il modello dell'etichetta del prodotto immesso sul mercato nello Stato membro di riferimento, nonché la relativa traduzione in francese o in inglese;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l'elenco delle colture destinate a ricevere il prodotto, nonché le condizioni di utilizzo. Per ciascuna delle colture o ciascun tipo di suolo, il richiedente precisa in particolare la modalità di applicazione del prodotto, le dosi di apporto minime e massime per applicazione e per ettaro, il numero annuale di applicazioni, il periodo e/o la fase colturale di applicazione. Possono essere proposte misure di gestione dei rischi;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bozza di etichetta o di scheda di informazione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scheda di dati di sicurezza del prodotto e dell'insieme delle materie prime, prevista dall'articolo 31 del regolamento (CE) n. 1907/2006 di cui sopra.</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III. - La domanda di autorizzazione di immissione sul mercato di un prodotto identico a un prodotto già autorizzato comprende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i dati di tracciabilità del prodotto a livello dei siti di produzione e dei siti di fabbricazione, quando sono diversi;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un'attestazione di identità fra il prodotto di riferimento e il prodotto oggetto della domanda;</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bozza di etichetta o di scheda di informazione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IV. - La domanda di modifica di un'autorizzazione di immissione sul mercato di un prodotto per autorizzare uno o diversi utilizzi o modalità supplementari comprende, per ciascuno di essi,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relazione di sintesi agronomica e le relazioni di prova che stabiliscono, nelle condizioni d'impiego prescritte, l'efficacia del prodotto rispetto agli effetti specificamente attribuiti;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relazione di sintesi e le relazioni di studi che stabiliscono, nelle condizioni d'impiego prescritte, l'assenza di effetti nocivi del prodotto sulla salute umana, sulla salute animale e sull'ambiente;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bozza di etichetta o di scheda di informazione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Le relazioni di sintesi, di studi e di prova possono essere redatte in inglese.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Articolo 4</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Permesso di sperimentazione.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w:t>
      </w:r>
      <w:r w:rsidR="00094C65">
        <w:rPr>
          <w:rFonts w:ascii="Arial" w:hAnsi="Arial"/>
          <w:sz w:val="24"/>
          <w:szCs w:val="24"/>
        </w:rPr>
        <w:t xml:space="preserve"> </w:t>
      </w:r>
      <w:r>
        <w:rPr>
          <w:rFonts w:ascii="Arial" w:hAnsi="Arial"/>
          <w:sz w:val="24"/>
          <w:szCs w:val="24"/>
        </w:rPr>
        <w:t>- La domanda di permesso di sperimentazione di un prodotto o di rinnovo di tale permesso comprende gli elementi complementari seguenti ai fini della valutazione di cui all'articolo L. 255-8 del codice rurale e della pesca marittima:</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i dati di tracciabilità del prodotto e delle relative materie prime, a livello dei siti di produzione e dei siti di fabbricazione, quando sono diversi;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composizione totale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le relazioni di indagini di caratterizzazione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scheda di dati di sicurezza del prodotto e dell'insieme delle materie prime, prevista dall'articolo 31 del regolamento (CE) n. 1907/2006.</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II. - La notifica della modifica delle condizioni di sperimentazione comprende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una copia del permesso di sperimentazione;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gli elementi giustificativi corrispondenti.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Articolo 5</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Permesso di introduzione.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La domanda di permesso di introduzione di un prodotto, di modifica o di rinnovo di tale permesso comprende gli elementi complementari seguenti ai fini della valutazione di cui all'articolo L. 255-7 del codice rurale e della pesca marittima:</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qualsiasi informazione che consenta di valutare l'identità dei prodotti conformemente all'articolo R. 255-20 del codice rurale e della pesca marittima;</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l'etichetta originale del prodotto di cui è prevista l'introduzione;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bozza di etichetta o di scheda di informazione in francese.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Articolo 6</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Altre domande o dichiarazioni.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w:t>
      </w:r>
      <w:r w:rsidR="00094C65">
        <w:rPr>
          <w:rFonts w:ascii="Arial" w:hAnsi="Arial"/>
          <w:sz w:val="24"/>
          <w:szCs w:val="24"/>
        </w:rPr>
        <w:t xml:space="preserve"> </w:t>
      </w:r>
      <w:r>
        <w:rPr>
          <w:rFonts w:ascii="Arial" w:hAnsi="Arial"/>
          <w:sz w:val="24"/>
          <w:szCs w:val="24"/>
        </w:rPr>
        <w:t>- La domanda di trasferimento di un'autorizzazione di immissione sul mercato o di un permesso, di cui all'articolo R. 255-5 del codice rurale e della pesca marittima, comprende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la copia originale della decisione di autorizzazione o di permesso;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un'attestazione, da parte del titolare originario del suo consenso, al fine del trasferimento dell'autorizzazione o del permesso.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II. - La domanda relativa all'inserimento di una nuova denominazione commerciale di un prodotto già autorizzato, di cui all'articolo R. 255-5 del codice rurale e della pesca marittima, o la dichiarazione di modifica della denominazione commerciale di un prodotto, di cui all'articolo R. 255-9 dello stesso codice, comprende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una copia dell'autorizzazione di immissione sul mercato o del permesso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un'attestazione di identità fra il prodotto di riferimento e il prodotto oggetto della domanda.</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III. - La dichiarazione di cambio di indirizzo del titolare comprende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una copia dell'autorizzazione di immissione sul mercato o del permesso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 documento giustificativo del cambio di indirizzo del titolare.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IV. - La dichiarazione di modifica della denominazione sociale del titolare di un'autorizzazione di immissione sul mercato di un prodotto o di un permesso, di cui all'articolo R. 255-9 del codice rurale e della pesca marittima, comprende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una copia dell'autorizzazione di immissione sul mercato o del permesso del prodotto;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un documento giustificativo della modifica della denominazione sociale.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V.</w:t>
      </w:r>
      <w:r w:rsidR="00094C65">
        <w:rPr>
          <w:rFonts w:ascii="Arial" w:hAnsi="Arial"/>
          <w:sz w:val="24"/>
          <w:szCs w:val="24"/>
        </w:rPr>
        <w:t xml:space="preserve"> </w:t>
      </w:r>
      <w:bookmarkStart w:id="0" w:name="_GoBack"/>
      <w:bookmarkEnd w:id="0"/>
      <w:r>
        <w:rPr>
          <w:rFonts w:ascii="Arial" w:hAnsi="Arial"/>
          <w:sz w:val="24"/>
          <w:szCs w:val="24"/>
        </w:rPr>
        <w:t>- La dichiarazione di modifica o di inserimento di un sito di fabbricazione o di produzione di un prodotto, di cui all'articolo R. 255-9 del codice rurale e della pesca marittima, comprende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i dati di tracciabilità del prodotto e delle relative materie prime, a livello dei siti di produzione e dei siti di fabbricazione, quando sono diversi.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VI. - La richiesta di modifica delle informazioni dichiarate in un fascicolo in corso di valutazione comprende gli elementi complementari seguenti: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per una domanda di trasferimento di un prodotto: un'attestazione, da parte del titolare originario del suo consenso, al fine del trasferimento dell'autorizzazione o del permesso;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per un cambio di indirizzo del titolare: un documento giustificativo del cambio di indirizzo del titolare;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per una modifica della denominazione sociale del titolare: un documento giustificativo della modifica della denominazione sociale;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per una modifica della denominazione commerciale di un prodotto: un'attestazione di identità fra il prodotto di riferimento e il prodotto oggetto della domanda.</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Articolo 7</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Si abroga il decreto del 21 dicembre 1998, modificato, relativo all'omologazione dei fertilizzanti e dei substrati di coltivazione.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Articolo 8</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Il direttore generale dell'alimentazione è incaricato dell'esecuzione del presente decreto, che sarà pubblicato nella Gazzetta ufficiale della Repubblica francese.</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Allegato</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ALLEGATO</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TENORE DEGLI OLIGOELEMENTI METALLICI E DEI COMPOSTI DI TRACCE ORGANICHE - CRITERI MICROBIOLOGICI</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 criteri riportati qui di seguito costituiscono dei riferimenti per la qualità dei prodotti. In caso di superamento, il richiedente fornisce le necessarie giustificazioni relative agli elementi eccedenti.</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L'aspetto cumulativo degli apporti degli oligoelementi metallici e dei composti di tracce organiche da parte dei fertilizzanti, dei relativi coadiuvanti e dei substrati di coltivazione è preso in considerazione per la verifica dell'assenza di effetti nocivi sulla saluta umana e animale, nonché sull'ambiente, tenuto conto delle dosi e delle frequenze di apporto raccomandate nelle condizioni di utilizzo.</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Le informazioni sono fornite conformemente alla "guida relativa alla valutazione dei fascicoli di domanda relativa a un'autorizzazione di immissione sul mercato o a un permesso per fertilizzanti, coadiuvanti per fertilizzanti e substrati di coltivazione", di cui all'articolo 2.</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rPr>
          <w:rFonts w:ascii="Arial" w:hAnsi="Arial" w:cs="Arial"/>
          <w:sz w:val="24"/>
          <w:szCs w:val="24"/>
        </w:rPr>
      </w:pPr>
      <w:r>
        <w:rPr>
          <w:rFonts w:ascii="Arial" w:hAnsi="Arial"/>
          <w:sz w:val="24"/>
          <w:szCs w:val="24"/>
        </w:rPr>
        <w:t>Oligoelementi metallici</w:t>
      </w:r>
    </w:p>
    <w:tbl>
      <w:tblPr>
        <w:tblW w:w="0" w:type="auto"/>
        <w:tblInd w:w="8" w:type="dxa"/>
        <w:tblLayout w:type="fixed"/>
        <w:tblCellMar>
          <w:left w:w="0" w:type="dxa"/>
          <w:right w:w="0" w:type="dxa"/>
        </w:tblCellMar>
        <w:tblLook w:val="0000" w:firstRow="0" w:lastRow="0" w:firstColumn="0" w:lastColumn="0" w:noHBand="0" w:noVBand="0"/>
      </w:tblPr>
      <w:tblGrid>
        <w:gridCol w:w="3200"/>
        <w:gridCol w:w="3200"/>
        <w:gridCol w:w="3200"/>
        <w:gridCol w:w="30"/>
      </w:tblGrid>
      <w:tr w:rsidR="00D8408E" w:rsidRPr="00621B9B" w:rsidTr="00B553AE">
        <w:trPr>
          <w:gridAfter w:val="1"/>
          <w:wAfter w:w="2" w:type="dxa"/>
          <w:trHeight w:val="276"/>
        </w:trPr>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D8408E" w:rsidRPr="00621B9B" w:rsidRDefault="00D8408E" w:rsidP="00990A0D">
            <w:pPr>
              <w:keepNext/>
              <w:widowControl w:val="0"/>
              <w:autoSpaceDE w:val="0"/>
              <w:autoSpaceDN w:val="0"/>
              <w:adjustRightInd w:val="0"/>
              <w:spacing w:after="0" w:line="240" w:lineRule="auto"/>
              <w:jc w:val="center"/>
              <w:rPr>
                <w:rFonts w:ascii="Arial" w:hAnsi="Arial" w:cs="Arial"/>
                <w:sz w:val="24"/>
                <w:szCs w:val="24"/>
              </w:rPr>
            </w:pP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rsidP="00990A0D">
            <w:pPr>
              <w:keepNext/>
              <w:widowControl w:val="0"/>
              <w:autoSpaceDE w:val="0"/>
              <w:autoSpaceDN w:val="0"/>
              <w:adjustRightInd w:val="0"/>
              <w:spacing w:after="0" w:line="240" w:lineRule="auto"/>
              <w:jc w:val="center"/>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Tenori massimi per i fertilizzanti</w:t>
            </w:r>
          </w:p>
          <w:p w:rsidR="00621B9B" w:rsidRPr="00621B9B" w:rsidRDefault="00621B9B" w:rsidP="00990A0D">
            <w:pPr>
              <w:keepNext/>
              <w:widowControl w:val="0"/>
              <w:autoSpaceDE w:val="0"/>
              <w:autoSpaceDN w:val="0"/>
              <w:adjustRightInd w:val="0"/>
              <w:spacing w:after="0" w:line="240" w:lineRule="auto"/>
              <w:jc w:val="center"/>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(in mg/kg di materia secca)</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rsidP="00990A0D">
            <w:pPr>
              <w:keepNext/>
              <w:widowControl w:val="0"/>
              <w:autoSpaceDE w:val="0"/>
              <w:autoSpaceDN w:val="0"/>
              <w:adjustRightInd w:val="0"/>
              <w:spacing w:after="0" w:line="240" w:lineRule="auto"/>
              <w:jc w:val="center"/>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Tenore massimo per i substrati di coltivazione</w:t>
            </w:r>
          </w:p>
          <w:p w:rsidR="00621B9B" w:rsidRPr="00621B9B" w:rsidRDefault="00621B9B" w:rsidP="00990A0D">
            <w:pPr>
              <w:keepNext/>
              <w:widowControl w:val="0"/>
              <w:autoSpaceDE w:val="0"/>
              <w:autoSpaceDN w:val="0"/>
              <w:adjustRightInd w:val="0"/>
              <w:spacing w:after="0" w:line="240" w:lineRule="auto"/>
              <w:jc w:val="center"/>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(in mg/kg di materia secca)</w:t>
            </w: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As</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40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40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Cd</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1</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1</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Cr VI</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2</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2</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Cr totale</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120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150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Cu</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300 (*)</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200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Hg</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1</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1</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Ni</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50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50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Pb</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120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120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Zn</w:t>
            </w:r>
          </w:p>
        </w:tc>
        <w:tc>
          <w:tcPr>
            <w:tcW w:w="32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800 (*)</w:t>
            </w:r>
          </w:p>
        </w:tc>
        <w:tc>
          <w:tcPr>
            <w:tcW w:w="32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500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bl>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 Salvo in caso di esigenze riconosciute conformemente alla regolamentazione applicabile.</w:t>
      </w:r>
    </w:p>
    <w:p w:rsidR="00621B9B" w:rsidRDefault="00621B9B">
      <w:pPr>
        <w:widowControl w:val="0"/>
        <w:autoSpaceDE w:val="0"/>
        <w:autoSpaceDN w:val="0"/>
        <w:adjustRightInd w:val="0"/>
        <w:spacing w:after="0" w:line="240" w:lineRule="auto"/>
        <w:rPr>
          <w:rFonts w:ascii="Arial" w:hAnsi="Arial" w:cs="Arial"/>
          <w:sz w:val="24"/>
          <w:szCs w:val="24"/>
        </w:rPr>
      </w:pPr>
    </w:p>
    <w:p w:rsidR="00B553AE" w:rsidRPr="00621B9B" w:rsidRDefault="00B553AE">
      <w:pPr>
        <w:widowControl w:val="0"/>
        <w:autoSpaceDE w:val="0"/>
        <w:autoSpaceDN w:val="0"/>
        <w:adjustRightInd w:val="0"/>
        <w:spacing w:after="0" w:line="240" w:lineRule="auto"/>
        <w:rPr>
          <w:rFonts w:ascii="Arial" w:hAnsi="Arial" w:cs="Arial"/>
          <w:sz w:val="24"/>
          <w:szCs w:val="24"/>
        </w:rPr>
      </w:pPr>
    </w:p>
    <w:p w:rsidR="00D8408E" w:rsidRPr="00621B9B" w:rsidRDefault="00621B9B" w:rsidP="00990A0D">
      <w:pPr>
        <w:keepNext/>
        <w:widowControl w:val="0"/>
        <w:autoSpaceDE w:val="0"/>
        <w:autoSpaceDN w:val="0"/>
        <w:adjustRightInd w:val="0"/>
        <w:spacing w:after="0" w:line="240" w:lineRule="auto"/>
        <w:rPr>
          <w:rFonts w:ascii="Arial" w:hAnsi="Arial" w:cs="Arial"/>
          <w:sz w:val="24"/>
          <w:szCs w:val="24"/>
        </w:rPr>
      </w:pPr>
      <w:r>
        <w:rPr>
          <w:rFonts w:ascii="Arial" w:hAnsi="Arial"/>
          <w:sz w:val="24"/>
          <w:szCs w:val="24"/>
        </w:rPr>
        <w:t>Composti di tracce organiche</w:t>
      </w:r>
    </w:p>
    <w:tbl>
      <w:tblPr>
        <w:tblW w:w="0" w:type="auto"/>
        <w:tblInd w:w="8" w:type="dxa"/>
        <w:tblLayout w:type="fixed"/>
        <w:tblCellMar>
          <w:left w:w="0" w:type="dxa"/>
          <w:right w:w="0" w:type="dxa"/>
        </w:tblCellMar>
        <w:tblLook w:val="0000" w:firstRow="0" w:lastRow="0" w:firstColumn="0" w:lastColumn="0" w:noHBand="0" w:noVBand="0"/>
      </w:tblPr>
      <w:tblGrid>
        <w:gridCol w:w="4800"/>
        <w:gridCol w:w="4800"/>
        <w:gridCol w:w="30"/>
      </w:tblGrid>
      <w:tr w:rsidR="00D8408E" w:rsidRPr="00621B9B">
        <w:tc>
          <w:tcPr>
            <w:tcW w:w="48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Somma di 16 idrocarburi policiclici aromatici (IPA):</w:t>
            </w:r>
          </w:p>
          <w:p w:rsidR="00621B9B" w:rsidRPr="00621B9B" w:rsidRDefault="00621B9B">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naftalene, acenaftilene, acenaftene, fluorene, fenantrene, antracene, fluorantene, pirene, benzo[a]antracene, crisene, benzo[b]fluorantene, benzo[k]fluorantene, benzo[a]pirene, indeno[1,2,3-cd]pirene, dibenzo[a,h]antracene e benzo[ghi]perilene.</w:t>
            </w:r>
          </w:p>
        </w:tc>
        <w:tc>
          <w:tcPr>
            <w:tcW w:w="48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Tenore massimo:</w:t>
            </w:r>
          </w:p>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6 mg/kg di materia secca</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bl>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C34831" w:rsidRDefault="00C34831" w:rsidP="00C34831">
      <w:pPr>
        <w:widowControl w:val="0"/>
        <w:autoSpaceDE w:val="0"/>
        <w:autoSpaceDN w:val="0"/>
        <w:adjustRightInd w:val="0"/>
        <w:spacing w:after="0" w:line="240" w:lineRule="auto"/>
        <w:rPr>
          <w:rFonts w:ascii="Arial" w:hAnsi="Arial" w:cs="Arial"/>
          <w:sz w:val="24"/>
          <w:szCs w:val="24"/>
        </w:rPr>
      </w:pPr>
      <w:r>
        <w:rPr>
          <w:rFonts w:ascii="Arial" w:hAnsi="Arial"/>
          <w:sz w:val="24"/>
          <w:szCs w:val="24"/>
        </w:rPr>
        <w:t>Criteri microbiologici </w:t>
      </w:r>
    </w:p>
    <w:tbl>
      <w:tblPr>
        <w:tblW w:w="9640" w:type="dxa"/>
        <w:tblInd w:w="8" w:type="dxa"/>
        <w:tblLayout w:type="fixed"/>
        <w:tblCellMar>
          <w:left w:w="0" w:type="dxa"/>
          <w:right w:w="0" w:type="dxa"/>
        </w:tblCellMar>
        <w:tblLook w:val="0000" w:firstRow="0" w:lastRow="0" w:firstColumn="0" w:lastColumn="0" w:noHBand="0" w:noVBand="0"/>
      </w:tblPr>
      <w:tblGrid>
        <w:gridCol w:w="1600"/>
        <w:gridCol w:w="1264"/>
        <w:gridCol w:w="1440"/>
        <w:gridCol w:w="1350"/>
        <w:gridCol w:w="1440"/>
        <w:gridCol w:w="1260"/>
        <w:gridCol w:w="1286"/>
      </w:tblGrid>
      <w:tr w:rsidR="00C34831" w:rsidTr="00C34831">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tc>
        <w:tc>
          <w:tcPr>
            <w:tcW w:w="8040" w:type="dxa"/>
            <w:gridSpan w:val="6"/>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Colture</w:t>
            </w:r>
          </w:p>
        </w:tc>
      </w:tr>
      <w:tr w:rsidR="00C34831" w:rsidTr="00C5171F">
        <w:tc>
          <w:tcPr>
            <w:tcW w:w="1600" w:type="dxa"/>
            <w:vMerge/>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tc>
        <w:tc>
          <w:tcPr>
            <w:tcW w:w="1264"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Seminativi (grandi colture)</w:t>
            </w:r>
          </w:p>
        </w:tc>
        <w:tc>
          <w:tcPr>
            <w:tcW w:w="144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Arboricoltura, viticoltura</w:t>
            </w: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Piccoli frutti</w:t>
            </w:r>
          </w:p>
        </w:tc>
        <w:tc>
          <w:tcPr>
            <w:tcW w:w="135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Cotica erbosa</w:t>
            </w: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Prati</w:t>
            </w:r>
          </w:p>
        </w:tc>
        <w:tc>
          <w:tcPr>
            <w:tcW w:w="144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Silvicoltura, vivaio di piante ornamentali</w:t>
            </w:r>
          </w:p>
        </w:tc>
        <w:tc>
          <w:tcPr>
            <w:tcW w:w="126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Floricoltura</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Ortaggi, fragole</w:t>
            </w:r>
          </w:p>
        </w:tc>
      </w:tr>
      <w:tr w:rsidR="00C34831" w:rsidTr="00C34831">
        <w:tc>
          <w:tcPr>
            <w:tcW w:w="9640" w:type="dxa"/>
            <w:gridSpan w:val="7"/>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Microrganismi patogeni per la popolazione o gli animali:</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Enterococchi</w:t>
            </w:r>
          </w:p>
        </w:tc>
        <w:tc>
          <w:tcPr>
            <w:tcW w:w="6754" w:type="dxa"/>
            <w:gridSpan w:val="5"/>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&lt; 10.000/g</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&lt;100/g</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Escherichia coli</w:t>
            </w:r>
          </w:p>
        </w:tc>
        <w:tc>
          <w:tcPr>
            <w:tcW w:w="6754" w:type="dxa"/>
            <w:gridSpan w:val="5"/>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&lt; 1.000/g</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&lt;100/g</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Clostridium perfringens (spore e forme vegetative)</w:t>
            </w:r>
          </w:p>
        </w:tc>
        <w:tc>
          <w:tcPr>
            <w:tcW w:w="2704"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&lt; 100/g*</w:t>
            </w:r>
          </w:p>
        </w:tc>
        <w:tc>
          <w:tcPr>
            <w:tcW w:w="135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&lt; 10/g*</w:t>
            </w:r>
          </w:p>
        </w:tc>
        <w:tc>
          <w:tcPr>
            <w:tcW w:w="2700"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&lt; 100/g*</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&lt; 10/g*</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Salmonella</w:t>
            </w:r>
          </w:p>
        </w:tc>
        <w:tc>
          <w:tcPr>
            <w:tcW w:w="6754" w:type="dxa"/>
            <w:gridSpan w:val="5"/>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Assenza in 1 g</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Assenza in 25 g</w:t>
            </w:r>
          </w:p>
        </w:tc>
      </w:tr>
      <w:tr w:rsidR="00C34831" w:rsidTr="00C34831">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Pr="00094C65" w:rsidRDefault="00C34831" w:rsidP="005B0076">
            <w:pPr>
              <w:widowControl w:val="0"/>
              <w:autoSpaceDE w:val="0"/>
              <w:autoSpaceDN w:val="0"/>
              <w:adjustRightInd w:val="0"/>
              <w:spacing w:after="0" w:line="240" w:lineRule="auto"/>
              <w:rPr>
                <w:rFonts w:ascii="Arial" w:hAnsi="Arial" w:cs="Arial"/>
                <w:sz w:val="24"/>
                <w:szCs w:val="24"/>
                <w:lang w:val="pt-PT"/>
              </w:rPr>
            </w:pPr>
          </w:p>
          <w:p w:rsidR="00C34831" w:rsidRPr="00094C65" w:rsidRDefault="00C34831" w:rsidP="005B0076">
            <w:pPr>
              <w:widowControl w:val="0"/>
              <w:autoSpaceDE w:val="0"/>
              <w:autoSpaceDN w:val="0"/>
              <w:adjustRightInd w:val="0"/>
              <w:spacing w:after="0" w:line="240" w:lineRule="auto"/>
              <w:rPr>
                <w:rFonts w:ascii="Arial" w:hAnsi="Arial" w:cs="Arial"/>
                <w:sz w:val="24"/>
                <w:szCs w:val="24"/>
                <w:lang w:val="pt-PT"/>
              </w:rPr>
            </w:pPr>
            <w:r w:rsidRPr="00094C65">
              <w:rPr>
                <w:rFonts w:ascii="Arial" w:hAnsi="Arial"/>
                <w:sz w:val="24"/>
                <w:szCs w:val="24"/>
                <w:lang w:val="pt-PT"/>
              </w:rPr>
              <w:t>Staphylococcus aureus o</w:t>
            </w:r>
          </w:p>
          <w:p w:rsidR="00C34831" w:rsidRPr="00094C65" w:rsidRDefault="00C34831" w:rsidP="005B0076">
            <w:pPr>
              <w:widowControl w:val="0"/>
              <w:autoSpaceDE w:val="0"/>
              <w:autoSpaceDN w:val="0"/>
              <w:adjustRightInd w:val="0"/>
              <w:spacing w:after="0" w:line="240" w:lineRule="auto"/>
              <w:rPr>
                <w:rFonts w:ascii="Arial" w:hAnsi="Arial" w:cs="Arial"/>
                <w:sz w:val="24"/>
                <w:szCs w:val="24"/>
                <w:lang w:val="pt-PT"/>
              </w:rPr>
            </w:pPr>
          </w:p>
          <w:p w:rsidR="00C34831" w:rsidRPr="00094C65" w:rsidRDefault="00C34831" w:rsidP="005B0076">
            <w:pPr>
              <w:widowControl w:val="0"/>
              <w:autoSpaceDE w:val="0"/>
              <w:autoSpaceDN w:val="0"/>
              <w:adjustRightInd w:val="0"/>
              <w:spacing w:after="0" w:line="240" w:lineRule="auto"/>
              <w:rPr>
                <w:rFonts w:ascii="Arial" w:hAnsi="Arial" w:cs="Arial"/>
                <w:sz w:val="24"/>
                <w:szCs w:val="24"/>
                <w:lang w:val="pt-PT"/>
              </w:rPr>
            </w:pPr>
            <w:r w:rsidRPr="00094C65">
              <w:rPr>
                <w:rFonts w:ascii="Arial" w:hAnsi="Arial"/>
                <w:sz w:val="24"/>
                <w:szCs w:val="24"/>
                <w:lang w:val="pt-PT"/>
              </w:rPr>
              <w:t>coagulasi positivo</w:t>
            </w:r>
          </w:p>
        </w:tc>
        <w:tc>
          <w:tcPr>
            <w:tcW w:w="8040" w:type="dxa"/>
            <w:gridSpan w:val="6"/>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Pr="00094C65" w:rsidRDefault="00C34831" w:rsidP="005B0076">
            <w:pPr>
              <w:widowControl w:val="0"/>
              <w:autoSpaceDE w:val="0"/>
              <w:autoSpaceDN w:val="0"/>
              <w:adjustRightInd w:val="0"/>
              <w:spacing w:after="0" w:line="240" w:lineRule="auto"/>
              <w:rPr>
                <w:rFonts w:ascii="Arial" w:hAnsi="Arial" w:cs="Arial"/>
                <w:sz w:val="24"/>
                <w:szCs w:val="24"/>
                <w:lang w:val="pt-PT"/>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&lt; 10/g</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Listeria monocytogenes</w:t>
            </w:r>
          </w:p>
        </w:tc>
        <w:tc>
          <w:tcPr>
            <w:tcW w:w="2704"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tc>
        <w:tc>
          <w:tcPr>
            <w:tcW w:w="135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Assenza in 25 g (prato)</w:t>
            </w:r>
          </w:p>
        </w:tc>
        <w:tc>
          <w:tcPr>
            <w:tcW w:w="144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tc>
        <w:tc>
          <w:tcPr>
            <w:tcW w:w="2546"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Assenza in 25 g</w:t>
            </w:r>
          </w:p>
        </w:tc>
      </w:tr>
      <w:tr w:rsidR="00C34831" w:rsidTr="00C34831">
        <w:tc>
          <w:tcPr>
            <w:tcW w:w="9640" w:type="dxa"/>
            <w:gridSpan w:val="7"/>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Macrorganismi patogeni per la popolazione o gli animali:</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Nematodi (uova e larve)</w:t>
            </w:r>
          </w:p>
        </w:tc>
        <w:tc>
          <w:tcPr>
            <w:tcW w:w="5494" w:type="dxa"/>
            <w:gridSpan w:val="4"/>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Assenza in 1 g**</w:t>
            </w:r>
          </w:p>
        </w:tc>
        <w:tc>
          <w:tcPr>
            <w:tcW w:w="2546"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Assenza in 25 g**</w:t>
            </w:r>
          </w:p>
        </w:tc>
      </w:tr>
      <w:tr w:rsidR="00C34831" w:rsidTr="00C34831">
        <w:tc>
          <w:tcPr>
            <w:tcW w:w="9640" w:type="dxa"/>
            <w:gridSpan w:val="7"/>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I metodi di indagine raccomandati sono precisati nella guida pubblicata dall'Anses.</w:t>
            </w:r>
          </w:p>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 Delle indagini complementari raccomandate in funzione della natura dei prodotti e delle colture dichiarate sono precisate nella guida pubblicata dall'Anses.</w:t>
            </w:r>
          </w:p>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szCs w:val="24"/>
              </w:rPr>
              <w:t>** Se si è in presenza di larve, delle indagini complementari raccomandate in funzione delle colture dichiarate sono precisate nella guida pubblicata dall'Anses.</w:t>
            </w:r>
          </w:p>
        </w:tc>
      </w:tr>
    </w:tbl>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Resistenza antibiotica</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Per i prodotti costituiti da uno o più microrganismi (batteri) ai quali è attribuito un effetto fertilizzante o per i prodotti in cui sono stati incorporati tali organismi, stabilire un antibiogramma facendo riferimento alla guida dell'EFSA (1) e alle classi antibiotiche definite dall'OMS (2).</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B2B92"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(1) </w:t>
      </w:r>
      <w:r>
        <w:rPr>
          <w:rFonts w:ascii="Arial" w:hAnsi="Arial"/>
          <w:i/>
          <w:iCs/>
          <w:sz w:val="24"/>
          <w:szCs w:val="24"/>
        </w:rPr>
        <w:t>Guidance on microorganisms used as feed additives or as production organisms, Table 2</w:t>
      </w:r>
      <w:r>
        <w:rPr>
          <w:rFonts w:ascii="Arial" w:hAnsi="Arial"/>
          <w:sz w:val="24"/>
          <w:szCs w:val="24"/>
        </w:rPr>
        <w:t xml:space="preserve"> (EFSA) [Guida ai microrganismi utilizzati come additivi per mangimi o come organismi di produzione, tabella 2 (EFSA)].</w:t>
      </w:r>
    </w:p>
    <w:p w:rsidR="00621B9B" w:rsidRPr="00094C65"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B2B92"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(2) </w:t>
      </w:r>
      <w:r>
        <w:rPr>
          <w:rFonts w:ascii="Arial" w:hAnsi="Arial"/>
          <w:i/>
          <w:iCs/>
          <w:sz w:val="24"/>
          <w:szCs w:val="24"/>
        </w:rPr>
        <w:t>WHO List of Essential Medicines</w:t>
      </w:r>
      <w:r>
        <w:rPr>
          <w:rFonts w:ascii="Arial" w:hAnsi="Arial"/>
          <w:sz w:val="24"/>
          <w:szCs w:val="24"/>
        </w:rPr>
        <w:t xml:space="preserve"> (OMS) [Elenco dell'OMS di medicinali essenziali].</w:t>
      </w:r>
    </w:p>
    <w:p w:rsidR="00621B9B" w:rsidRPr="00094C65"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094C65"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Redatto il 1° aprile 2020.</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rPr>
          <w:rFonts w:ascii="Arial" w:hAnsi="Arial" w:cs="Arial"/>
          <w:sz w:val="24"/>
          <w:szCs w:val="24"/>
        </w:rPr>
      </w:pPr>
      <w:r>
        <w:rPr>
          <w:rFonts w:ascii="Arial" w:hAnsi="Arial"/>
          <w:sz w:val="24"/>
          <w:szCs w:val="24"/>
        </w:rPr>
        <w:t>per il ministro e su delega:</w:t>
      </w:r>
    </w:p>
    <w:p w:rsidR="00621B9B"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il direttore generale aggiunto dell'alimentazione,</w:t>
      </w:r>
    </w:p>
    <w:p w:rsidR="00621B9B"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szCs w:val="24"/>
        </w:rPr>
        <w:t>L. Evain</w:t>
      </w:r>
    </w:p>
    <w:sectPr w:rsidR="00621B9B" w:rsidRPr="00621B9B">
      <w:pgSz w:w="11905" w:h="16837"/>
      <w:pgMar w:top="1133" w:right="1133" w:bottom="1133" w:left="1133"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A69" w:rsidRDefault="00556A69" w:rsidP="00716768">
      <w:pPr>
        <w:spacing w:after="0" w:line="240" w:lineRule="auto"/>
      </w:pPr>
      <w:r>
        <w:separator/>
      </w:r>
    </w:p>
  </w:endnote>
  <w:endnote w:type="continuationSeparator" w:id="0">
    <w:p w:rsidR="00556A69" w:rsidRDefault="00556A69" w:rsidP="00716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A69" w:rsidRDefault="00556A69" w:rsidP="00716768">
      <w:pPr>
        <w:spacing w:after="0" w:line="240" w:lineRule="auto"/>
      </w:pPr>
      <w:r>
        <w:separator/>
      </w:r>
    </w:p>
  </w:footnote>
  <w:footnote w:type="continuationSeparator" w:id="0">
    <w:p w:rsidR="00556A69" w:rsidRDefault="00556A69" w:rsidP="007167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C03F9B"/>
    <w:multiLevelType w:val="singleLevel"/>
    <w:tmpl w:val="53A5200D"/>
    <w:lvl w:ilvl="0">
      <w:start w:val="1"/>
      <w:numFmt w:val="bullet"/>
      <w:lvlText w:val="·"/>
      <w:lvlJc w:val="left"/>
      <w:rPr>
        <w:rFonts w:ascii="Times New Roman" w:hAnsi="Times New Roman" w:cs="Times New Roman"/>
      </w:rPr>
    </w:lvl>
  </w:abstractNum>
  <w:abstractNum w:abstractNumId="1" w15:restartNumberingAfterBreak="0">
    <w:nsid w:val="53C61E88"/>
    <w:multiLevelType w:val="singleLevel"/>
    <w:tmpl w:val="0EC5D46D"/>
    <w:lvl w:ilvl="0">
      <w:start w:val="1"/>
      <w:numFmt w:val="bullet"/>
      <w:lvlText w:val="·"/>
      <w:lvlJc w:val="left"/>
      <w:rPr>
        <w:rFonts w:ascii="Times New Roman" w:hAnsi="Times New Roman" w:cs="Times New Roman"/>
      </w:rPr>
    </w:lvl>
  </w:abstractNum>
  <w:num w:numId="1">
    <w:abstractNumId w:val="1"/>
  </w:num>
  <w:num w:numId="2">
    <w:abstractNumId w:val="0"/>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C28"/>
    <w:rsid w:val="00094C65"/>
    <w:rsid w:val="000C1AB6"/>
    <w:rsid w:val="00510235"/>
    <w:rsid w:val="00556A69"/>
    <w:rsid w:val="00621B9B"/>
    <w:rsid w:val="006B2B92"/>
    <w:rsid w:val="00716768"/>
    <w:rsid w:val="00755C28"/>
    <w:rsid w:val="00915AB1"/>
    <w:rsid w:val="00990A0D"/>
    <w:rsid w:val="00A619BA"/>
    <w:rsid w:val="00B553AE"/>
    <w:rsid w:val="00C34831"/>
    <w:rsid w:val="00C5171F"/>
    <w:rsid w:val="00D8408E"/>
    <w:rsid w:val="00DD2A33"/>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97528802-E004-4F22-8A01-B9E922B27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768"/>
    <w:pPr>
      <w:tabs>
        <w:tab w:val="center" w:pos="4703"/>
        <w:tab w:val="right" w:pos="9406"/>
      </w:tabs>
      <w:spacing w:after="0" w:line="240" w:lineRule="auto"/>
    </w:pPr>
  </w:style>
  <w:style w:type="character" w:customStyle="1" w:styleId="HeaderChar">
    <w:name w:val="Header Char"/>
    <w:basedOn w:val="DefaultParagraphFont"/>
    <w:link w:val="Header"/>
    <w:uiPriority w:val="99"/>
    <w:rsid w:val="00716768"/>
  </w:style>
  <w:style w:type="paragraph" w:styleId="Footer">
    <w:name w:val="footer"/>
    <w:basedOn w:val="Normal"/>
    <w:link w:val="FooterChar"/>
    <w:uiPriority w:val="99"/>
    <w:unhideWhenUsed/>
    <w:rsid w:val="00716768"/>
    <w:pPr>
      <w:tabs>
        <w:tab w:val="center" w:pos="4703"/>
        <w:tab w:val="right" w:pos="9406"/>
      </w:tabs>
      <w:spacing w:after="0" w:line="240" w:lineRule="auto"/>
    </w:pPr>
  </w:style>
  <w:style w:type="character" w:customStyle="1" w:styleId="FooterChar">
    <w:name w:val="Footer Char"/>
    <w:basedOn w:val="DefaultParagraphFont"/>
    <w:link w:val="Footer"/>
    <w:uiPriority w:val="99"/>
    <w:rsid w:val="00716768"/>
  </w:style>
  <w:style w:type="paragraph" w:styleId="PlainText">
    <w:name w:val="Plain Text"/>
    <w:basedOn w:val="Normal"/>
    <w:link w:val="PlainTextChar"/>
    <w:uiPriority w:val="99"/>
    <w:unhideWhenUsed/>
    <w:rsid w:val="006B2B92"/>
    <w:pPr>
      <w:spacing w:after="0" w:line="240" w:lineRule="auto"/>
    </w:pPr>
    <w:rPr>
      <w:rFonts w:ascii="Consolas" w:eastAsia="Times New Roman" w:hAnsi="Consolas" w:cs="Times New Roman"/>
      <w:sz w:val="21"/>
      <w:szCs w:val="21"/>
      <w:lang w:eastAsia="en-US"/>
    </w:rPr>
  </w:style>
  <w:style w:type="character" w:customStyle="1" w:styleId="PlainTextChar">
    <w:name w:val="Plain Text Char"/>
    <w:basedOn w:val="DefaultParagraphFont"/>
    <w:link w:val="PlainText"/>
    <w:uiPriority w:val="99"/>
    <w:rsid w:val="006B2B92"/>
    <w:rPr>
      <w:rFonts w:ascii="Consolas" w:eastAsia="Times New Roman" w:hAnsi="Consolas" w:cs="Times New Roman"/>
      <w:sz w:val="21"/>
      <w:szCs w:val="21"/>
      <w:lang w:val="it-IT" w:eastAsia="en-US"/>
    </w:rPr>
  </w:style>
  <w:style w:type="paragraph" w:styleId="ListParagraph">
    <w:name w:val="List Paragraph"/>
    <w:basedOn w:val="Normal"/>
    <w:uiPriority w:val="34"/>
    <w:qFormat/>
    <w:rsid w:val="00094C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2752</Words>
  <Characters>15688</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
  <dc:description/>
  <cp:lastModifiedBy>Liu, Lei</cp:lastModifiedBy>
  <cp:revision>8</cp:revision>
  <dcterms:created xsi:type="dcterms:W3CDTF">2020-04-10T08:50:00Z</dcterms:created>
  <dcterms:modified xsi:type="dcterms:W3CDTF">2020-10-09T02:31:00Z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Fri Apr 10 10:49:34 CEST 2020</vt:lpwstr>
  </property>
  <property fmtid="{D5CDD505-2E9C-101B-9397-08002B2CF9AE}" pid="3" name="jforVersion">
    <vt:lpwstr>jfor V0.7.2rc1 - see http://www.jfor.org</vt:lpwstr>
  </property>
</Properties>
</file>