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D0F" w:rsidRPr="00B00403" w:rsidRDefault="00943D0F" w:rsidP="00943D0F">
      <w:pPr>
        <w:pStyle w:val="PlainText"/>
        <w:rPr>
          <w:rFonts w:ascii="Courier New" w:hAnsi="Courier New" w:cs="Courier New"/>
          <w:sz w:val="20"/>
          <w:szCs w:val="20"/>
        </w:rPr>
      </w:pPr>
      <w:r>
        <w:rPr>
          <w:rFonts w:ascii="Courier New" w:hAnsi="Courier New"/>
          <w:sz w:val="20"/>
        </w:rPr>
        <w:t xml:space="preserve">1. ------IND- 2017 0284 S-- EL- ------ 20190508 --- --- FINAL </w:t>
      </w:r>
    </w:p>
    <w:p w:rsidR="00943D0F" w:rsidRDefault="00943D0F" w:rsidP="00015EA3">
      <w:pPr>
        <w:spacing w:after="120" w:line="259" w:lineRule="auto"/>
        <w:ind w:left="0" w:firstLine="0"/>
        <w:jc w:val="left"/>
        <w:rPr>
          <w:b/>
          <w:sz w:val="36"/>
        </w:rPr>
      </w:pPr>
    </w:p>
    <w:p w:rsidR="00DB4B0C" w:rsidRDefault="00643102" w:rsidP="00015EA3">
      <w:pPr>
        <w:spacing w:after="120" w:line="259" w:lineRule="auto"/>
        <w:ind w:left="0" w:firstLine="0"/>
        <w:jc w:val="left"/>
        <w:rPr>
          <w:b/>
          <w:sz w:val="36"/>
        </w:rPr>
      </w:pPr>
      <w:r>
        <w:rPr>
          <w:noProof/>
          <w:lang w:val="en-US" w:eastAsia="zh-CN" w:bidi="ar-SA"/>
        </w:rPr>
        <w:drawing>
          <wp:anchor distT="0" distB="0" distL="114300" distR="114300" simplePos="0" relativeHeight="251658240" behindDoc="0" locked="0" layoutInCell="1" allowOverlap="1">
            <wp:simplePos x="0" y="0"/>
            <wp:positionH relativeFrom="column">
              <wp:posOffset>3790950</wp:posOffset>
            </wp:positionH>
            <wp:positionV relativeFrom="paragraph">
              <wp:posOffset>-212725</wp:posOffset>
            </wp:positionV>
            <wp:extent cx="431800" cy="768985"/>
            <wp:effectExtent l="0" t="0" r="635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768985"/>
                    </a:xfrm>
                    <a:prstGeom prst="rect">
                      <a:avLst/>
                    </a:prstGeom>
                    <a:noFill/>
                  </pic:spPr>
                </pic:pic>
              </a:graphicData>
            </a:graphic>
            <wp14:sizeRelH relativeFrom="page">
              <wp14:pctWidth>0</wp14:pctWidth>
            </wp14:sizeRelH>
            <wp14:sizeRelV relativeFrom="page">
              <wp14:pctHeight>0</wp14:pctHeight>
            </wp14:sizeRelV>
          </wp:anchor>
        </w:drawing>
      </w:r>
      <w:r>
        <w:rPr>
          <w:b/>
          <w:sz w:val="36"/>
        </w:rPr>
        <w:t>Συλλογή της Σουηδικής Νομοθεσίας</w:t>
      </w:r>
    </w:p>
    <w:p w:rsidR="00015EA3" w:rsidRDefault="00643102" w:rsidP="00015EA3">
      <w:pPr>
        <w:pBdr>
          <w:bottom w:val="single" w:sz="4" w:space="1" w:color="auto"/>
        </w:pBdr>
        <w:spacing w:after="120" w:line="259" w:lineRule="auto"/>
        <w:ind w:left="0" w:firstLine="0"/>
        <w:jc w:val="left"/>
        <w:rPr>
          <w:b/>
          <w:sz w:val="36"/>
        </w:rPr>
      </w:pPr>
      <w:r>
        <w:rPr>
          <w:b/>
          <w:noProof/>
          <w:sz w:val="26"/>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3745865</wp:posOffset>
                </wp:positionH>
                <wp:positionV relativeFrom="paragraph">
                  <wp:posOffset>337820</wp:posOffset>
                </wp:positionV>
                <wp:extent cx="1264920" cy="828040"/>
                <wp:effectExtent l="0" t="0" r="3175" b="4445"/>
                <wp:wrapNone/>
                <wp:docPr id="3"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828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t>Δημοσιεύθηκαν</w:t>
                            </w:r>
                            <w:r>
                              <w:br/>
                              <w:t>την 13η Φεβρουαρίου 2018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ruta 15" o:spid="_x0000_s1026" type="#_x0000_t202" style="position:absolute;margin-left:294.95pt;margin-top:26.6pt;width:99.6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eoewIAAAAFAAAOAAAAZHJzL2Uyb0RvYy54bWysVNlu2zAQfC/QfyD47uiI4liC5SBHXRRI&#10;DyDpB9AkZRGlSJakLaVB/71LynLStAWKonqQVuJyOLszq+XF0Em059YJrWqcnaQYcUU1E2pb48/3&#10;69kCI+eJYkRqxWv8wB2+WL1+texNxXPdasm4RQCiXNWbGrfemypJHG15R9yJNlzBYqNtRzy82m3C&#10;LOkBvZNJnqbzpNeWGaspdw6+3oyLeBXxm4ZT/7FpHPdI1hi4+Xi38b4J92S1JNXWEtMKeqBB/oFF&#10;R4SCQ49QN8QTtLPiF6hOUKudbvwJ1V2im0ZQHmuAarL0RTV3LTE81gLNcebYJvf/YOmH/SeLBKvx&#10;KUaKdCDRPR+83QH/7Cy0pzeugqw7A3l+uNIDyBxLdeZW0y8OKX3dErXll9bqvuWEAb0s7EyebR1x&#10;XADZ9O81g3PIzusINDS2C72DbiBAB5kejtIAF0TDkfm8KHNYorC2yBdpEbVLSDXtNtb5t1x3KAQ1&#10;tiB9RCf7W+cDG1JNKeEwp6VgayFlfLHbzbW0aE/AJut4xQJepEkVkpUO20bE8QuQhDPCWqAbZX8s&#10;s7xIr/Jytp4vzmfFujiblefpYpZm5VU5T4uyuFl/DwSzomoFY1zdCsUnC2bF30l8GIbRPNGEqK/x&#10;/PQsHSX6Y5FpvH5XZCc8TKQUHfT5mESqIOwbxaBsUnki5BgnP9OPXYYeTM/YlWiDoPzoAT9sBkAJ&#10;3tho9gCGsBr0AmnhNwJBq+03jHoYyRq7rztiOUbynQJThfmdAjsFmykgisLWGnuMxvDaj3O+M1Zs&#10;W0Aebav0JRivEdETTywOdoUxi+QPv4Qwx8/fY9bTj2v1AwAA//8DAFBLAwQUAAYACAAAACEA5ToM&#10;wN4AAAAKAQAADwAAAGRycy9kb3ducmV2LnhtbEyPwW7CMAyG75P2DpEn7TZSigZt1xRN23iAlR12&#10;DI1pOxqnNAHat585wc2WP/3+/nw92k6ccfCtIwXzWQQCqXKmpVrBz3bzkoDwQZPRnSNUMKGHdfH4&#10;kOvMuAt947kMteAQ8plW0ITQZ1L6qkGr/cz1SHzbu8HqwOtQSzPoC4fbTsZRtJRWt8QfGt3jR4PV&#10;oTxZBWYVH6twKKfyb7On4/S1rfvfT6Wen8b3NxABx3CD4arP6lCw086dyHjRKXhN0pRRHhYxCAZW&#10;SToHsWMyWSxBFrm8r1D8AwAA//8DAFBLAQItABQABgAIAAAAIQC2gziS/gAAAOEBAAATAAAAAAAA&#10;AAAAAAAAAAAAAABbQ29udGVudF9UeXBlc10ueG1sUEsBAi0AFAAGAAgAAAAhADj9If/WAAAAlAEA&#10;AAsAAAAAAAAAAAAAAAAALwEAAF9yZWxzLy5yZWxzUEsBAi0AFAAGAAgAAAAhAAi0N6h7AgAAAAUA&#10;AA4AAAAAAAAAAAAAAAAALgIAAGRycy9lMm9Eb2MueG1sUEsBAi0AFAAGAAgAAAAhAOU6DMDeAAAA&#10;CgEAAA8AAAAAAAAAAAAAAAAA1QQAAGRycy9kb3ducmV2LnhtbFBLBQYAAAAABAAEAPMAAADgBQAA&#10;AAA=&#10;" stroked="f" strokeweight=".5pt">
                <v:textbox inset="0,0,0,0">
                  <w:txbxContent>
                    <w:p w:rsidR="00DB4B0C" w:rsidRDefault="00DB4B0C" w:rsidP="00DB4B0C">
                      <w:pPr>
                        <w:spacing w:after="160" w:line="259" w:lineRule="auto"/>
                        <w:ind w:left="0" w:firstLine="0"/>
                        <w:jc w:val="left"/>
                        <w:rPr>
                          <w:b/>
                          <w:sz w:val="26"/>
                        </w:rPr>
                      </w:pPr>
                      <w:r>
                        <w:rPr>
                          <w:b/>
                          <w:sz w:val="26"/>
                        </w:rPr>
                        <w:t>SFS 2018:55</w:t>
                      </w:r>
                    </w:p>
                    <w:p w:rsidR="00DB4B0C" w:rsidRPr="00D30131" w:rsidRDefault="00DB4B0C" w:rsidP="00DB4B0C">
                      <w:pPr>
                        <w:spacing w:after="160" w:line="259" w:lineRule="auto"/>
                        <w:ind w:left="0" w:firstLine="0"/>
                        <w:jc w:val="left"/>
                        <w:rPr>
                          <w:sz w:val="17"/>
                          <w:szCs w:val="17"/>
                        </w:rPr>
                      </w:pPr>
                      <w:r>
                        <w:t>Δημοσιεύθηκαν</w:t>
                      </w:r>
                      <w:r>
                        <w:br/>
                      </w:r>
                      <w:r>
                        <w:t>την 13η Φεβρουαρίου 2018</w:t>
                      </w:r>
                    </w:p>
                  </w:txbxContent>
                </v:textbox>
              </v:shape>
            </w:pict>
          </mc:Fallback>
        </mc:AlternateContent>
      </w:r>
    </w:p>
    <w:p w:rsidR="00551E3F" w:rsidRDefault="00DB4B0C" w:rsidP="00DA5828">
      <w:pPr>
        <w:spacing w:before="240" w:after="240" w:line="216" w:lineRule="auto"/>
        <w:ind w:left="0" w:firstLine="0"/>
        <w:jc w:val="left"/>
      </w:pPr>
      <w:r>
        <w:rPr>
          <w:b/>
          <w:sz w:val="26"/>
        </w:rPr>
        <w:t>Διάταγμα για την τροποποίηση του διατάγματος για τα χημικά προϊόντα (απαγορεύσεις διακίνησης, εισαγωγής και εξαγωγής) (1998:944)·</w:t>
      </w:r>
    </w:p>
    <w:p w:rsidR="00551E3F" w:rsidRDefault="00CC49D7" w:rsidP="00DA5828">
      <w:pPr>
        <w:spacing w:after="221"/>
        <w:ind w:left="0" w:firstLine="0"/>
      </w:pPr>
      <w:r>
        <w:t>εκδόθηκε την 1η Φεβρουαρίου 2018.</w:t>
      </w:r>
    </w:p>
    <w:p w:rsidR="00551E3F" w:rsidRDefault="00CC49D7" w:rsidP="00015EA3">
      <w:pPr>
        <w:spacing w:after="240"/>
        <w:ind w:left="0" w:firstLine="193"/>
      </w:pPr>
      <w:r>
        <w:t xml:space="preserve">Έχοντας υπόψη το διάταγμα για τα χημικά προϊόντα (απαγορεύσεις διακίνησης, εισαγωγής και εξαγωγής) (1998:944), η Κυβέρνηση θεσπίζει </w:t>
      </w:r>
      <w:r>
        <w:rPr>
          <w:vertAlign w:val="superscript"/>
        </w:rPr>
        <w:footnoteReference w:id="1"/>
      </w:r>
      <w:r>
        <w:t xml:space="preserve"> πρώτον ότι τα άρθρα 1 και 5 πρέπει να διατυπώνονται όπως ορίζεται παρακάτω και, δεύτερον, ότι εισάγονται στο διάταγμα οι τέσσερις νέες παράγραφοι που προβλέπονται παρακάτω – άρθρο 1α και άρθρο 4 (συμπεριλαμβανομένου του τίτλου που προηγείται), άρθρα 4–4 β.</w:t>
      </w:r>
    </w:p>
    <w:p w:rsidR="00551E3F" w:rsidRDefault="00CC49D7" w:rsidP="00DA5828">
      <w:pPr>
        <w:keepNext/>
        <w:keepLines/>
        <w:ind w:left="0" w:firstLine="0"/>
      </w:pPr>
      <w:r>
        <w:rPr>
          <w:b/>
        </w:rPr>
        <w:t>Άρθρο</w:t>
      </w:r>
      <w:r>
        <w:t> </w:t>
      </w:r>
      <w:r>
        <w:rPr>
          <w:b/>
        </w:rPr>
        <w:t>1</w:t>
      </w:r>
      <w:r>
        <w:rPr>
          <w:vertAlign w:val="superscript"/>
        </w:rPr>
        <w:footnoteReference w:id="2"/>
      </w:r>
      <w:r>
        <w:t xml:space="preserve"> Το παρόν διάταγμα περιλαμβάνει ειδικές διατάξεις σχετικά με την απαγόρευση ή άλλους περιορισμούς που αφορούν τον χειρισμό </w:t>
      </w:r>
    </w:p>
    <w:p w:rsidR="00551E3F" w:rsidRDefault="00CC49D7" w:rsidP="00015EA3">
      <w:pPr>
        <w:numPr>
          <w:ilvl w:val="0"/>
          <w:numId w:val="1"/>
        </w:numPr>
        <w:tabs>
          <w:tab w:val="left" w:pos="567"/>
        </w:tabs>
        <w:ind w:left="0" w:firstLine="192"/>
      </w:pPr>
      <w:r>
        <w:t>εποξικής ρητίνης δύο συστατικών που περιέχει δισφαινόλη Α ή διγλυκιδυλικό αιθέρα της δισφαινόλης Α,</w:t>
      </w:r>
    </w:p>
    <w:p w:rsidR="00551E3F" w:rsidRDefault="00CC49D7" w:rsidP="00015EA3">
      <w:pPr>
        <w:numPr>
          <w:ilvl w:val="0"/>
          <w:numId w:val="1"/>
        </w:numPr>
        <w:tabs>
          <w:tab w:val="left" w:pos="567"/>
        </w:tabs>
        <w:ind w:left="0" w:firstLine="192"/>
      </w:pPr>
      <w:r>
        <w:t>καδμίου,</w:t>
      </w:r>
    </w:p>
    <w:p w:rsidR="00551E3F" w:rsidRDefault="00CC49D7" w:rsidP="00015EA3">
      <w:pPr>
        <w:numPr>
          <w:ilvl w:val="0"/>
          <w:numId w:val="1"/>
        </w:numPr>
        <w:pBdr>
          <w:left w:val="single" w:sz="4" w:space="4" w:color="auto"/>
        </w:pBdr>
        <w:tabs>
          <w:tab w:val="left" w:pos="567"/>
        </w:tabs>
        <w:ind w:left="0" w:firstLine="192"/>
      </w:pPr>
      <w:r>
        <w:t>μικροπλαστικών σωματιδίων σε καλλυντικά προϊόντα,</w:t>
      </w:r>
    </w:p>
    <w:p w:rsidR="00551E3F" w:rsidRDefault="00CC49D7" w:rsidP="00015EA3">
      <w:pPr>
        <w:numPr>
          <w:ilvl w:val="0"/>
          <w:numId w:val="1"/>
        </w:numPr>
        <w:pBdr>
          <w:left w:val="single" w:sz="4" w:space="4" w:color="auto"/>
        </w:pBdr>
        <w:tabs>
          <w:tab w:val="left" w:pos="567"/>
        </w:tabs>
        <w:ind w:left="0" w:firstLine="192"/>
      </w:pPr>
      <w:r>
        <w:t>χλωριωμένων διαλυτών,</w:t>
      </w:r>
    </w:p>
    <w:p w:rsidR="00551E3F" w:rsidRDefault="00CC49D7" w:rsidP="00015EA3">
      <w:pPr>
        <w:numPr>
          <w:ilvl w:val="0"/>
          <w:numId w:val="1"/>
        </w:numPr>
        <w:pBdr>
          <w:left w:val="single" w:sz="4" w:space="4" w:color="auto"/>
        </w:pBdr>
        <w:tabs>
          <w:tab w:val="left" w:pos="567"/>
        </w:tabs>
        <w:ind w:left="0" w:firstLine="192"/>
      </w:pPr>
      <w:r>
        <w:t>υδράργυρου,</w:t>
      </w:r>
    </w:p>
    <w:p w:rsidR="00551E3F" w:rsidRDefault="00CC49D7" w:rsidP="00015EA3">
      <w:pPr>
        <w:numPr>
          <w:ilvl w:val="0"/>
          <w:numId w:val="1"/>
        </w:numPr>
        <w:pBdr>
          <w:left w:val="single" w:sz="4" w:space="4" w:color="auto"/>
        </w:pBdr>
        <w:tabs>
          <w:tab w:val="left" w:pos="567"/>
        </w:tabs>
        <w:ind w:left="0" w:firstLine="192"/>
      </w:pPr>
      <w:r>
        <w:t>καδμίου και υδραργύρου σε ηλεκτρικές στήλες,</w:t>
      </w:r>
    </w:p>
    <w:p w:rsidR="00551E3F" w:rsidRDefault="00CC49D7" w:rsidP="00015EA3">
      <w:pPr>
        <w:numPr>
          <w:ilvl w:val="0"/>
          <w:numId w:val="1"/>
        </w:numPr>
        <w:pBdr>
          <w:left w:val="single" w:sz="4" w:space="4" w:color="auto"/>
        </w:pBdr>
        <w:tabs>
          <w:tab w:val="left" w:pos="567"/>
        </w:tabs>
        <w:ind w:left="0" w:firstLine="192"/>
      </w:pPr>
      <w:r>
        <w:t>βαρέων μετάλλων στις συσκευασίες,</w:t>
      </w:r>
    </w:p>
    <w:p w:rsidR="00551E3F" w:rsidRDefault="00CC49D7" w:rsidP="00015EA3">
      <w:pPr>
        <w:numPr>
          <w:ilvl w:val="0"/>
          <w:numId w:val="1"/>
        </w:numPr>
        <w:pBdr>
          <w:left w:val="single" w:sz="4" w:space="4" w:color="auto"/>
        </w:pBdr>
        <w:tabs>
          <w:tab w:val="left" w:pos="567"/>
        </w:tabs>
        <w:ind w:left="0" w:firstLine="192"/>
      </w:pPr>
      <w:r>
        <w:t>πυρομαχικών που περιέχουν μόλυβδο,</w:t>
      </w:r>
    </w:p>
    <w:p w:rsidR="00551E3F" w:rsidRDefault="00CC49D7" w:rsidP="00015EA3">
      <w:pPr>
        <w:numPr>
          <w:ilvl w:val="0"/>
          <w:numId w:val="1"/>
        </w:numPr>
        <w:pBdr>
          <w:left w:val="single" w:sz="4" w:space="4" w:color="auto"/>
        </w:pBdr>
        <w:tabs>
          <w:tab w:val="left" w:pos="567"/>
        </w:tabs>
        <w:ind w:left="0" w:firstLine="192"/>
      </w:pPr>
      <w:r>
        <w:t>απορρυπαντικών που περιέχουν φωσφορικά άλατα και</w:t>
      </w:r>
    </w:p>
    <w:p w:rsidR="00551E3F" w:rsidRDefault="00CC49D7" w:rsidP="00015EA3">
      <w:pPr>
        <w:numPr>
          <w:ilvl w:val="0"/>
          <w:numId w:val="1"/>
        </w:numPr>
        <w:pBdr>
          <w:left w:val="single" w:sz="4" w:space="4" w:color="auto"/>
        </w:pBdr>
        <w:tabs>
          <w:tab w:val="left" w:pos="567"/>
        </w:tabs>
        <w:ind w:left="0" w:firstLine="192"/>
      </w:pPr>
      <w:r>
        <w:t>ορισμένων άλλων χημικών προϊόντων και αγαθών που είναι επικίνδυνα για την υγεία ή το περιβάλλον.</w:t>
      </w:r>
    </w:p>
    <w:p w:rsidR="00551E3F" w:rsidRDefault="00CC49D7" w:rsidP="00015EA3">
      <w:pPr>
        <w:spacing w:after="249"/>
        <w:ind w:left="0" w:firstLine="192"/>
      </w:pPr>
      <w:r>
        <w:t>Το παρόν διάταγμα δεν ισχύει για τα χημικά προϊόντα και τους βιοτεχνικούς οργανισμούς που διέπονται από τον νόμο περί τροφίμων (2006:804), τον νόμο (2006:805) περί ζωοτροφών και υποπροϊόντων ζωικής προέλευσης ή τον νόμο περί φαρμακευτικών προϊόντων (2015:315).</w:t>
      </w:r>
    </w:p>
    <w:p w:rsidR="00551E3F" w:rsidRDefault="00CC49D7" w:rsidP="00DA5828">
      <w:pPr>
        <w:keepNext/>
        <w:keepLines/>
        <w:pBdr>
          <w:left w:val="single" w:sz="4" w:space="4" w:color="auto"/>
        </w:pBdr>
        <w:ind w:left="0" w:firstLine="0"/>
      </w:pPr>
      <w:r>
        <w:rPr>
          <w:b/>
        </w:rPr>
        <w:lastRenderedPageBreak/>
        <w:t>Άρθρο 1 α</w:t>
      </w:r>
      <w:r>
        <w:t xml:space="preserve"> Το παρόν διάταγμα εκδίδεται δυνάμει του</w:t>
      </w:r>
    </w:p>
    <w:p w:rsidR="00551E3F" w:rsidRDefault="00CC49D7" w:rsidP="007058F2">
      <w:pPr>
        <w:numPr>
          <w:ilvl w:val="0"/>
          <w:numId w:val="2"/>
        </w:numPr>
        <w:pBdr>
          <w:left w:val="single" w:sz="4" w:space="4" w:color="auto"/>
        </w:pBdr>
        <w:ind w:left="426" w:hanging="285"/>
      </w:pPr>
      <w:r>
        <w:t>Κεφαλαίου 14, άρθρο 8 του περιβαλλοντικού κώδικα όσον αφορά τα άρθρα 2–3, 5–11, 11 γ–14 και 14 β–20 α,</w:t>
      </w:r>
    </w:p>
    <w:p w:rsidR="00551E3F" w:rsidRDefault="00CC49D7" w:rsidP="007058F2">
      <w:pPr>
        <w:numPr>
          <w:ilvl w:val="0"/>
          <w:numId w:val="2"/>
        </w:numPr>
        <w:pBdr>
          <w:left w:val="single" w:sz="4" w:space="4" w:color="auto"/>
        </w:pBdr>
        <w:ind w:left="426" w:hanging="285"/>
      </w:pPr>
      <w:r>
        <w:t xml:space="preserve">Κεφαλαίου 15, άρθρο 40 του περιβαλλοντικού κώδικα όσον αφορά το άρθρο 4 α, </w:t>
      </w:r>
    </w:p>
    <w:p w:rsidR="00551E3F" w:rsidRDefault="00CC49D7" w:rsidP="007058F2">
      <w:pPr>
        <w:numPr>
          <w:ilvl w:val="0"/>
          <w:numId w:val="2"/>
        </w:numPr>
        <w:pBdr>
          <w:left w:val="single" w:sz="4" w:space="4" w:color="auto"/>
        </w:pBdr>
        <w:ind w:left="426" w:hanging="285"/>
      </w:pPr>
      <w:r>
        <w:t>Κεφαλαίου 8, άρθρο 11 της Πράξης της Κυβέρνησης όσον αφορά το άρθρο 21, και</w:t>
      </w:r>
    </w:p>
    <w:p w:rsidR="00551E3F" w:rsidRDefault="00CC49D7" w:rsidP="007058F2">
      <w:pPr>
        <w:numPr>
          <w:ilvl w:val="0"/>
          <w:numId w:val="2"/>
        </w:numPr>
        <w:pBdr>
          <w:left w:val="single" w:sz="4" w:space="4" w:color="auto"/>
        </w:pBdr>
        <w:ind w:left="426" w:hanging="285"/>
      </w:pPr>
      <w:r>
        <w:t>Κεφαλαίου 8, άρθρο 7 της Πράξης της Κυβέρνησης όσον αφορά τις λοιπές διατάξεις.</w:t>
      </w:r>
    </w:p>
    <w:p w:rsidR="00551E3F" w:rsidRDefault="00CC49D7" w:rsidP="00DA5828">
      <w:pPr>
        <w:pStyle w:val="Heading1"/>
        <w:pBdr>
          <w:left w:val="single" w:sz="4" w:space="4" w:color="auto"/>
        </w:pBdr>
        <w:ind w:left="0"/>
      </w:pPr>
      <w:r>
        <w:t>Μικροπλαστικά σωματίδια σε καλλυντικά προϊόντα</w:t>
      </w:r>
    </w:p>
    <w:p w:rsidR="00551E3F" w:rsidRDefault="00CC49D7" w:rsidP="00DA5828">
      <w:pPr>
        <w:pBdr>
          <w:left w:val="single" w:sz="4" w:space="4" w:color="auto"/>
        </w:pBdr>
        <w:ind w:left="0" w:firstLine="0"/>
      </w:pPr>
      <w:r>
        <w:rPr>
          <w:b/>
        </w:rPr>
        <w:t>Άρθρο 4</w:t>
      </w:r>
      <w:r>
        <w:rPr>
          <w:vertAlign w:val="superscript"/>
        </w:rPr>
        <w:footnoteReference w:id="3"/>
      </w:r>
      <w:r>
        <w:t xml:space="preserve"> Στην παρούσα παράγραφο και στα άρθρα 4 α και β ο όρος </w:t>
      </w:r>
      <w:r>
        <w:rPr>
          <w:i/>
        </w:rPr>
        <w:t>καλλυντικό προϊόν</w:t>
      </w:r>
      <w:r>
        <w:t xml:space="preserve"> νοείται: ένα καλλυντικό προϊόν κατά την έννοια του κανονισμού (ΕΚ) αριθ. 1223/2009 του Ευρωπαϊκού Κοινοβουλίου και του Συμβουλίου για τα καλλυντικά προϊόντα, </w:t>
      </w:r>
    </w:p>
    <w:p w:rsidR="008062AA" w:rsidRDefault="00CC49D7" w:rsidP="008062AA">
      <w:pPr>
        <w:pBdr>
          <w:left w:val="single" w:sz="4" w:space="4" w:color="auto"/>
        </w:pBdr>
        <w:spacing w:after="0"/>
        <w:ind w:left="0" w:firstLine="193"/>
      </w:pPr>
      <w:r>
        <w:rPr>
          <w:i/>
        </w:rPr>
        <w:t xml:space="preserve">πλαστικό: </w:t>
      </w:r>
      <w:r>
        <w:t>πολυμερές κατά την έννοια του άρθρου 3 παράγραφος 5 του κανονισμού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στο οποίο ενδέχεται να έχουν προστεθεί πρόσθετα ή άλλες ουσίες, μικροπλαστικά: στερεά πλαστικά σωματίδια μικρότερα από 5mm τα οποία είναι αδιάλυτα στο νερό.</w:t>
      </w:r>
    </w:p>
    <w:p w:rsidR="008062AA" w:rsidRDefault="00CC49D7" w:rsidP="008062AA">
      <w:pPr>
        <w:pBdr>
          <w:left w:val="single" w:sz="4" w:space="4" w:color="auto"/>
        </w:pBdr>
        <w:spacing w:after="0"/>
        <w:ind w:left="0" w:firstLine="193"/>
      </w:pPr>
      <w:r>
        <w:rPr>
          <w:i/>
        </w:rPr>
        <w:t>φυσικά παραγόμενο πολυμερές:</w:t>
      </w:r>
      <w:r>
        <w:t xml:space="preserve"> πολυμερές το οποίο υπάρχει σε φυσική μορφή στο περιβάλλον και η χημική δομή του παραμένει αμετάβλητη, ακόμη και εάν έχει υποβληθεί σε χημική διαδικασία ή επεξεργασία, ή φυσική ορυκτολογική μεταποίηση,</w:t>
      </w:r>
    </w:p>
    <w:p w:rsidR="00551E3F" w:rsidRDefault="00CC49D7" w:rsidP="007058F2">
      <w:pPr>
        <w:pBdr>
          <w:left w:val="single" w:sz="4" w:space="4" w:color="auto"/>
        </w:pBdr>
        <w:spacing w:after="232"/>
        <w:ind w:left="0" w:firstLine="192"/>
      </w:pPr>
      <w:r>
        <w:rPr>
          <w:i/>
        </w:rPr>
        <w:t>διάθεση στην αγορά:</w:t>
      </w:r>
      <w:r>
        <w:t xml:space="preserve"> κάθε φορά που ένα προϊόν διατίθεται για διανομή, κατανάλωση ή χρήση στην αγορά της Σουηδίας στο πλαίσιο εμπορικής δραστηριότητας, είτε έναντι τιμήματος είτε δωρεάν.</w:t>
      </w:r>
    </w:p>
    <w:p w:rsidR="00551E3F" w:rsidRDefault="00CC49D7" w:rsidP="00DA5828">
      <w:pPr>
        <w:pBdr>
          <w:left w:val="single" w:sz="4" w:space="4" w:color="auto"/>
        </w:pBdr>
        <w:ind w:left="0" w:firstLine="0"/>
      </w:pPr>
      <w:r>
        <w:rPr>
          <w:b/>
        </w:rPr>
        <w:t>Άρθρο 4 α</w:t>
      </w:r>
      <w:r>
        <w:rPr>
          <w:vertAlign w:val="superscript"/>
        </w:rPr>
        <w:footnoteReference w:id="4"/>
      </w:r>
      <w:r>
        <w:t xml:space="preserve"> Απαγορεύεται η διάθεση στην αγορά καλλυντικού προϊόντος που ξεπλένεται μετά τη χρήση ή απομακρύνεται μετά από την εφαρμογή στο κεφάλι, τα μαλλιά, τους βλεννογόνους ή τα δόντια και περιλαμβάνει μικροπλαστικά σωματίδια τα οποία έχουν προστεθεί για καθαρισμό, απολέπιση ή στίλβωση.</w:t>
      </w:r>
    </w:p>
    <w:p w:rsidR="00551E3F" w:rsidRDefault="00CC49D7" w:rsidP="007058F2">
      <w:pPr>
        <w:pBdr>
          <w:left w:val="single" w:sz="4" w:space="4" w:color="auto"/>
        </w:pBdr>
        <w:spacing w:after="232"/>
        <w:ind w:left="0" w:firstLine="192"/>
      </w:pPr>
      <w:r>
        <w:t xml:space="preserve">Η απαγόρευση δεν ισχύει για τα καλλυντικά προϊόντα που περιέχουν μικροπλαστικά σωματίδια τα οποία αποτελούνται αποκλειστικά από φυσικά παραγόμενα πολυμερή. </w:t>
      </w:r>
    </w:p>
    <w:p w:rsidR="00551E3F" w:rsidRDefault="00CC49D7" w:rsidP="00DA5828">
      <w:pPr>
        <w:keepNext/>
        <w:keepLines/>
        <w:pBdr>
          <w:left w:val="single" w:sz="4" w:space="4" w:color="auto"/>
        </w:pBdr>
        <w:ind w:left="0" w:firstLine="0"/>
      </w:pPr>
      <w:r>
        <w:rPr>
          <w:b/>
        </w:rPr>
        <w:t>Άρθρο 4 β</w:t>
      </w:r>
      <w:r>
        <w:rPr>
          <w:vertAlign w:val="superscript"/>
        </w:rPr>
        <w:footnoteReference w:id="5"/>
      </w:r>
      <w:r>
        <w:t xml:space="preserve"> Ο Σουηδικός Οργανισμός Χημικών Προϊόντων δύναται να κοινοποιεί κανονισμούς σχετικά με τις εξαιρέσεις ή, σε επιμέρους περιπτώσεις, να χορηγεί εξαίρεση από την απαγόρευση που προβλέπεται στο άρθρο 4 α για τα καλλυντικά προϊόντα, τα οποία </w:t>
      </w:r>
    </w:p>
    <w:p w:rsidR="00551E3F" w:rsidRDefault="00CC49D7" w:rsidP="007058F2">
      <w:pPr>
        <w:numPr>
          <w:ilvl w:val="0"/>
          <w:numId w:val="3"/>
        </w:numPr>
        <w:pBdr>
          <w:left w:val="single" w:sz="4" w:space="4" w:color="auto"/>
        </w:pBdr>
        <w:tabs>
          <w:tab w:val="left" w:pos="567"/>
        </w:tabs>
        <w:ind w:left="0" w:firstLine="192"/>
      </w:pPr>
      <w:r>
        <w:t xml:space="preserve">κατασκευάζονται με τη χρήση φυσικά παραγόμενων πολυμερών ως πρώτη ύλη και </w:t>
      </w:r>
    </w:p>
    <w:p w:rsidR="00551E3F" w:rsidRDefault="00CC49D7" w:rsidP="007058F2">
      <w:pPr>
        <w:numPr>
          <w:ilvl w:val="0"/>
          <w:numId w:val="3"/>
        </w:numPr>
        <w:pBdr>
          <w:left w:val="single" w:sz="4" w:space="4" w:color="auto"/>
        </w:pBdr>
        <w:tabs>
          <w:tab w:val="left" w:pos="567"/>
        </w:tabs>
        <w:ind w:left="0" w:firstLine="192"/>
      </w:pPr>
      <w:r>
        <w:t xml:space="preserve">διασπώνται γρήγορα σε μονομερή σε υδάτινο περιβάλλον και δεν συνιστούν κίνδυνο για υδρόβιους οργανισμούς. </w:t>
      </w:r>
    </w:p>
    <w:p w:rsidR="00551E3F" w:rsidRDefault="00CC49D7" w:rsidP="007058F2">
      <w:pPr>
        <w:pBdr>
          <w:left w:val="single" w:sz="4" w:space="4" w:color="auto"/>
        </w:pBdr>
        <w:spacing w:after="231"/>
        <w:ind w:left="0" w:firstLine="192"/>
      </w:pPr>
      <w:r>
        <w:t>Τα καλλυντικά προϊόντα τα οποία πωλούνται νόμιμα σύμφωνα με τη νομοθεσία σε άλλα κράτη μέλη της Ευρωπαϊκής Ένωσης ή της Τουρκίας ή παρασκευάζονται νόμιμα σε κράτος που είναι συμβαλλόμενο μέρος στη συμφωνία για τον Ευρωπαϊκό Οικονομικό Χώρο εξαιρούνται, με την προϋπόθεση ότι αυτό το κανονιστικό πλαίσιο παρέχει ισοδύναμο επίπεδο προστασίας.</w:t>
      </w:r>
    </w:p>
    <w:p w:rsidR="00551E3F" w:rsidRDefault="00CC49D7" w:rsidP="00DA5828">
      <w:pPr>
        <w:ind w:left="0" w:firstLine="0"/>
      </w:pPr>
      <w:r>
        <w:rPr>
          <w:b/>
        </w:rPr>
        <w:t>Άρθρο</w:t>
      </w:r>
      <w:r>
        <w:t> </w:t>
      </w:r>
      <w:r>
        <w:rPr>
          <w:b/>
        </w:rPr>
        <w:t>5</w:t>
      </w:r>
      <w:r>
        <w:rPr>
          <w:rStyle w:val="FootnoteReference"/>
          <w:b/>
        </w:rPr>
        <w:footnoteReference w:id="6"/>
      </w:r>
      <w:r>
        <w:t xml:space="preserve"> Τα χημικά προϊόντα τα οποία αποτελούνται εν όλω ή εν μέρει από μεθυλενοχλωρίδιο ή τετραχλωροαιθυλένιο δεν πρέπει να διατίθενται στην αγορά ή να παρέχονται στους καταναλωτές για ατομική χρήση.</w:t>
      </w:r>
    </w:p>
    <w:p w:rsidR="00551E3F" w:rsidRDefault="00CC49D7" w:rsidP="00E812AA">
      <w:pPr>
        <w:spacing w:after="0"/>
        <w:ind w:left="0" w:firstLine="193"/>
      </w:pPr>
      <w:r>
        <w:t>Ο Σουηδικός Οργανισμός Χημικών Προϊόντων δύναται να εκδώσει κανονισμούς οι οποίοι να προβλέπουν ότι τα προϊόντα που περιέχουν μεθυλενοχλωρίδιο ή τετραχλωροαιθυλένιο δεν επιτρέπεται να διατίθενται στην αγορά ή να παρέχονται στους καταναλωτές για ατομική χρήση.</w:t>
      </w:r>
    </w:p>
    <w:p w:rsidR="00551E3F" w:rsidRDefault="00CC49D7" w:rsidP="007058F2">
      <w:pPr>
        <w:pBdr>
          <w:left w:val="single" w:sz="4" w:space="4" w:color="auto"/>
        </w:pBdr>
        <w:spacing w:after="241"/>
        <w:ind w:left="0" w:firstLine="192"/>
      </w:pPr>
      <w:r>
        <w:t>Η απαγόρευση του μεθυλενοχλωριδίου ισχύει μόνο εάν δεν προκύπτει ισοδύναμη απαγόρευση από το σημείο 59.1 του παραρτήματος XVII του κανονισμού (ΕΚ) αριθ. 1907/2006.</w:t>
      </w:r>
    </w:p>
    <w:p w:rsidR="007058F2" w:rsidRDefault="007058F2" w:rsidP="007058F2">
      <w:pPr>
        <w:tabs>
          <w:tab w:val="left" w:leader="underscore" w:pos="1276"/>
        </w:tabs>
        <w:spacing w:after="120"/>
        <w:ind w:left="0" w:firstLine="142"/>
      </w:pPr>
      <w:r>
        <w:tab/>
      </w:r>
    </w:p>
    <w:p w:rsidR="00551E3F" w:rsidRDefault="00CC49D7" w:rsidP="00E812AA">
      <w:pPr>
        <w:numPr>
          <w:ilvl w:val="0"/>
          <w:numId w:val="4"/>
        </w:numPr>
        <w:tabs>
          <w:tab w:val="left" w:pos="567"/>
        </w:tabs>
        <w:ind w:left="0" w:firstLine="192"/>
      </w:pPr>
      <w:r>
        <w:t>Το παρόν διάταγμα τίθεται σε ισχύ την 1η Ιουλίου 2018.</w:t>
      </w:r>
    </w:p>
    <w:p w:rsidR="00551E3F" w:rsidRDefault="00CC49D7" w:rsidP="00E812AA">
      <w:pPr>
        <w:numPr>
          <w:ilvl w:val="0"/>
          <w:numId w:val="4"/>
        </w:numPr>
        <w:tabs>
          <w:tab w:val="left" w:pos="567"/>
        </w:tabs>
        <w:spacing w:after="224"/>
        <w:ind w:left="0" w:firstLine="192"/>
      </w:pPr>
      <w:r>
        <w:t xml:space="preserve">Παρά την απαγόρευση που προβλέπεται στο άρθρο 4 α, τα υπάρχοντα αποθέματα καλλυντικών προϊόντων που διατέθηκαν νόμιμα στην αγορά πριν από την 1η Ιουλίου 2018, εξακολουθούν να διατίθενται μέχρι τα τέλη του Δεκεμβρίου 2018. </w:t>
      </w:r>
    </w:p>
    <w:p w:rsidR="00551E3F" w:rsidRDefault="00CC49D7" w:rsidP="00DA5828">
      <w:pPr>
        <w:spacing w:after="225"/>
        <w:ind w:left="0" w:firstLine="0"/>
      </w:pPr>
      <w:r>
        <w:t>Για την κυβέρνηση</w:t>
      </w:r>
    </w:p>
    <w:p w:rsidR="00551E3F" w:rsidRDefault="00CC49D7" w:rsidP="00DA5828">
      <w:pPr>
        <w:ind w:left="0" w:firstLine="0"/>
      </w:pPr>
      <w:r>
        <w:t>KAROLINA SKOG</w:t>
      </w:r>
    </w:p>
    <w:p w:rsidR="00551E3F" w:rsidRDefault="00CC49D7" w:rsidP="00825642">
      <w:pPr>
        <w:keepNext/>
        <w:keepLines/>
        <w:spacing w:after="0" w:line="265" w:lineRule="auto"/>
        <w:ind w:left="2835" w:firstLine="0"/>
        <w:jc w:val="left"/>
      </w:pPr>
      <w:r>
        <w:t>Egon Abresparr</w:t>
      </w:r>
    </w:p>
    <w:p w:rsidR="00551E3F" w:rsidRDefault="00CC49D7" w:rsidP="00825642">
      <w:pPr>
        <w:spacing w:after="0" w:line="264" w:lineRule="auto"/>
        <w:ind w:left="2835" w:firstLine="0"/>
        <w:jc w:val="left"/>
      </w:pPr>
      <w:r>
        <w:t>(Υπουργείο Περιβάλλοντος και Ενέργειας)</w:t>
      </w:r>
    </w:p>
    <w:p w:rsidR="007C4DBC" w:rsidRDefault="007C4DBC" w:rsidP="007C4DBC">
      <w:pPr>
        <w:spacing w:before="10920" w:after="0" w:line="259" w:lineRule="auto"/>
        <w:ind w:left="0" w:firstLine="0"/>
        <w:jc w:val="right"/>
        <w:rPr>
          <w:sz w:val="11"/>
        </w:rPr>
      </w:pPr>
    </w:p>
    <w:p w:rsidR="007058F2" w:rsidRDefault="00CC49D7" w:rsidP="007C4DBC">
      <w:pPr>
        <w:spacing w:before="10920" w:after="0" w:line="259" w:lineRule="auto"/>
        <w:ind w:left="0" w:firstLine="0"/>
        <w:jc w:val="right"/>
        <w:rPr>
          <w:sz w:val="11"/>
        </w:rPr>
      </w:pPr>
      <w:bookmarkStart w:id="0" w:name="_GoBack"/>
      <w:bookmarkEnd w:id="0"/>
      <w:r>
        <w:rPr>
          <w:sz w:val="11"/>
        </w:rPr>
        <w:t>Norstedts Juridik AB</w:t>
      </w:r>
    </w:p>
    <w:p w:rsidR="00551E3F" w:rsidRPr="007058F2" w:rsidRDefault="00CC49D7" w:rsidP="007058F2">
      <w:pPr>
        <w:spacing w:after="0" w:line="259" w:lineRule="auto"/>
        <w:ind w:left="0" w:firstLine="0"/>
        <w:jc w:val="right"/>
        <w:rPr>
          <w:sz w:val="11"/>
        </w:rPr>
      </w:pPr>
      <w:r>
        <w:rPr>
          <w:sz w:val="11"/>
        </w:rPr>
        <w:t>Elanders Sverige AB, 2018</w:t>
      </w:r>
    </w:p>
    <w:sectPr w:rsidR="00551E3F" w:rsidRPr="007058F2" w:rsidSect="00E812AA">
      <w:headerReference w:type="even" r:id="rId9"/>
      <w:headerReference w:type="default" r:id="rId10"/>
      <w:footerReference w:type="even" r:id="rId11"/>
      <w:footerReference w:type="default" r:id="rId12"/>
      <w:footerReference w:type="first" r:id="rId13"/>
      <w:pgSz w:w="9354" w:h="13720"/>
      <w:pgMar w:top="680" w:right="2353" w:bottom="1361" w:left="1134" w:header="720" w:footer="720"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4C" w:rsidRDefault="0047304C">
      <w:pPr>
        <w:spacing w:after="0" w:line="240" w:lineRule="auto"/>
      </w:pPr>
      <w:r>
        <w:separator/>
      </w:r>
    </w:p>
  </w:endnote>
  <w:endnote w:type="continuationSeparator" w:id="0">
    <w:p w:rsidR="0047304C" w:rsidRDefault="0047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1276" w:firstLine="0"/>
      <w:jc w:val="left"/>
    </w:pPr>
    <w:r>
      <w:fldChar w:fldCharType="begin"/>
    </w:r>
    <w:r>
      <w:instrText xml:space="preserve"> PAGE   \* MERGEFORMAT </w:instrText>
    </w:r>
    <w:r>
      <w:fldChar w:fldCharType="separate"/>
    </w:r>
    <w:r w:rsidR="007C4DB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7C4DB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8F2" w:rsidRDefault="007058F2" w:rsidP="007058F2">
    <w:pPr>
      <w:pStyle w:val="Footer"/>
      <w:tabs>
        <w:tab w:val="clear" w:pos="4320"/>
      </w:tabs>
      <w:ind w:left="0" w:right="-1221" w:firstLine="0"/>
      <w:jc w:val="right"/>
    </w:pPr>
    <w:r>
      <w:fldChar w:fldCharType="begin"/>
    </w:r>
    <w:r>
      <w:instrText xml:space="preserve"> PAGE   \* MERGEFORMAT </w:instrText>
    </w:r>
    <w:r>
      <w:fldChar w:fldCharType="separate"/>
    </w:r>
    <w:r w:rsidR="0047304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4C" w:rsidRDefault="0047304C" w:rsidP="00E812AA">
      <w:pPr>
        <w:spacing w:after="0" w:line="230" w:lineRule="auto"/>
        <w:ind w:left="0" w:right="1837" w:firstLine="0"/>
      </w:pPr>
      <w:r>
        <w:separator/>
      </w:r>
    </w:p>
  </w:footnote>
  <w:footnote w:type="continuationSeparator" w:id="0">
    <w:p w:rsidR="0047304C" w:rsidRDefault="0047304C">
      <w:pPr>
        <w:spacing w:after="0" w:line="230" w:lineRule="auto"/>
        <w:ind w:left="412" w:right="1837" w:firstLine="0"/>
      </w:pPr>
      <w:r>
        <w:continuationSeparator/>
      </w:r>
    </w:p>
  </w:footnote>
  <w:footnote w:id="1">
    <w:p w:rsidR="00551E3F" w:rsidRPr="00E812AA" w:rsidRDefault="00CC49D7" w:rsidP="00E812AA">
      <w:pPr>
        <w:pStyle w:val="footnotedescription"/>
        <w:spacing w:line="240" w:lineRule="auto"/>
        <w:ind w:left="0"/>
        <w:jc w:val="both"/>
        <w:rPr>
          <w:szCs w:val="17"/>
        </w:rPr>
      </w:pPr>
      <w:r>
        <w:rPr>
          <w:rStyle w:val="footnotemark"/>
        </w:rPr>
        <w:footnoteRef/>
      </w:r>
      <w:r>
        <w:t xml:space="preserve"> Βλέπε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footnote>
  <w:footnote w:id="2">
    <w:p w:rsidR="00551E3F" w:rsidRPr="00E812AA" w:rsidRDefault="00CC49D7" w:rsidP="00E812AA">
      <w:pPr>
        <w:pStyle w:val="footnotedescription"/>
        <w:tabs>
          <w:tab w:val="center" w:pos="1348"/>
          <w:tab w:val="right" w:pos="8146"/>
        </w:tabs>
        <w:spacing w:line="240" w:lineRule="auto"/>
        <w:ind w:left="0"/>
        <w:jc w:val="both"/>
        <w:rPr>
          <w:szCs w:val="17"/>
        </w:rPr>
      </w:pPr>
      <w:r>
        <w:rPr>
          <w:rStyle w:val="footnotemark"/>
        </w:rPr>
        <w:footnoteRef/>
      </w:r>
      <w:r>
        <w:t xml:space="preserve"> Τελευταία διατύπωση 2016:829.</w:t>
      </w:r>
    </w:p>
  </w:footnote>
  <w:footnote w:id="3">
    <w:p w:rsidR="00551E3F" w:rsidRPr="00E812AA" w:rsidRDefault="00CC49D7" w:rsidP="00E812AA">
      <w:pPr>
        <w:pStyle w:val="footnotedescription"/>
        <w:spacing w:line="240" w:lineRule="auto"/>
        <w:ind w:left="0"/>
        <w:jc w:val="both"/>
        <w:rPr>
          <w:szCs w:val="17"/>
        </w:rPr>
      </w:pPr>
      <w:r>
        <w:rPr>
          <w:rStyle w:val="footnotemark"/>
        </w:rPr>
        <w:footnoteRef/>
      </w:r>
      <w:r>
        <w:t xml:space="preserve"> Το προηγούμενο άρθρο 4 καταργήθηκε με την 2009:954.</w:t>
      </w:r>
    </w:p>
  </w:footnote>
  <w:footnote w:id="4">
    <w:p w:rsidR="00551E3F" w:rsidRPr="00E812AA" w:rsidRDefault="00CC49D7" w:rsidP="00E812AA">
      <w:pPr>
        <w:pStyle w:val="footnotedescription"/>
        <w:spacing w:line="240" w:lineRule="auto"/>
        <w:ind w:left="0"/>
        <w:jc w:val="both"/>
        <w:rPr>
          <w:szCs w:val="17"/>
        </w:rPr>
      </w:pPr>
      <w:r>
        <w:rPr>
          <w:rStyle w:val="footnotemark"/>
        </w:rPr>
        <w:footnoteRef/>
      </w:r>
      <w:r>
        <w:t xml:space="preserve"> Η προηγούμενη έκδοση του άρθρου4 α καταργήθηκε με την 2008:255.</w:t>
      </w:r>
    </w:p>
  </w:footnote>
  <w:footnote w:id="5">
    <w:p w:rsidR="00551E3F" w:rsidRPr="00E812AA" w:rsidRDefault="00CC49D7" w:rsidP="00825642">
      <w:pPr>
        <w:pStyle w:val="footnotedescription"/>
        <w:spacing w:line="240" w:lineRule="auto"/>
        <w:ind w:left="0"/>
        <w:jc w:val="both"/>
        <w:rPr>
          <w:szCs w:val="17"/>
        </w:rPr>
      </w:pPr>
      <w:r>
        <w:rPr>
          <w:rStyle w:val="footnotemark"/>
        </w:rPr>
        <w:footnoteRef/>
      </w:r>
      <w:r>
        <w:t xml:space="preserve"> Η προηγούμενη έκδοση του άρθρου</w:t>
      </w:r>
      <w:r w:rsidR="00F71AAD">
        <w:t xml:space="preserve"> </w:t>
      </w:r>
      <w:r>
        <w:t>4 β καταργήθηκε με την 2008:255.</w:t>
      </w:r>
    </w:p>
  </w:footnote>
  <w:footnote w:id="6">
    <w:p w:rsidR="00E812AA" w:rsidRPr="00E812AA" w:rsidRDefault="00E812AA" w:rsidP="00825642">
      <w:pPr>
        <w:pStyle w:val="footnotedescription"/>
        <w:spacing w:line="240" w:lineRule="auto"/>
        <w:ind w:left="0"/>
        <w:jc w:val="both"/>
        <w:rPr>
          <w:rFonts w:eastAsia="宋体"/>
          <w:szCs w:val="17"/>
          <w:lang w:eastAsia="zh-CN"/>
        </w:rPr>
      </w:pPr>
      <w:r>
        <w:rPr>
          <w:vertAlign w:val="superscript"/>
        </w:rPr>
        <w:footnoteRef/>
      </w:r>
      <w:r>
        <w:t xml:space="preserve"> Τελευταία διατύπωση 2016:144.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Default="00643102" w:rsidP="00E812AA">
    <w:pPr>
      <w:pStyle w:val="Header"/>
      <w:ind w:left="0" w:firstLine="0"/>
    </w:pPr>
    <w:r>
      <w:rPr>
        <w:noProof/>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-1273810</wp:posOffset>
              </wp:positionH>
              <wp:positionV relativeFrom="paragraph">
                <wp:posOffset>104775</wp:posOffset>
              </wp:positionV>
              <wp:extent cx="1143000" cy="45720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rsidP="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7" type="#_x0000_t202" style="position:absolute;left:0;text-align:left;margin-left:-100.3pt;margin-top:8.2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CigwIAAA8FAAAOAAAAZHJzL2Uyb0RvYy54bWysVO1u0zAU/Y/EO1j+3+WDdGuipRPbKEIa&#10;H9LGA7i201gkvsZ2mwzEu3PttF0HQkKI/nDt3OtzP865vrwa+47spHUKdE2zs5QSqTkIpTc1/fyw&#10;mi0ocZ5pwTrQsqaP0tGr5csXl4OpZA4tdEJagiDaVYOpaeu9qZLE8Vb2zJ2BkRqNDdieeTzaTSIs&#10;GxC975I8Tc+TAawwFrh0Dr/eTka6jPhNI7n/2DROetLVFHPzcbVxXYc1WV6yamOZaRXfp8H+IYue&#10;KY1Bj1C3zDOyteo3qF5xCw4af8ahT6BpFJexBqwmS3+p5r5lRsZasDnOHNvk/h8s/7D7ZIkSNc0p&#10;0axHih7k6Mk1jCQP3RmMq9Dp3qCbH/EzshwrdeYO+BdHNNy0TG/ka2thaCUTmF0WbiYnVyccF0DW&#10;w3sQGIZtPUSgsbF9aB02gyA6svR4ZCakwkPIrHiVpmjiaCvmF0h9DMGqw21jnX8roSdhU1OLzEd0&#10;trtzPmTDqoNLCOagU2Klui4e7GZ901myY6iSVfzt0Z+5dTo4awjXJsTpCyaJMYItpBtZ/15meZFe&#10;5+Vsdb64mBWrYj4rL9LFLM3K6/I8LcridvUjJJgVVauEkPpOaXlQYFb8HcP7WZi0EzVIhpqW83w+&#10;UfTHIrGXoZ1TFc+K7JXHgexUX9PF0YlVgdg3WuAFVnmmummfPE8/dhl7cPiPXYkyCMxPGvDjekSU&#10;oI01iEcUhAXkC6nFVwQ3LdhvlAw4kTV1X7fMSkq6dxpFVWZFEUY4HqIGKLGnlvWphWmOUDX1lEzb&#10;Gz+N/dZYtWkx0iRjDa9RiI2KGnnKai9fnLpYzP6FCGN9eo5eT+/Y8icAAAD//wMAUEsDBBQABgAI&#10;AAAAIQCa1CoT3AAAAAoBAAAPAAAAZHJzL2Rvd25yZXYueG1sTI/dToNAEIXvTXyHzTTxxrSLRigi&#10;S6MmGm/78wADTIGUnSXsttC3d3qll3POlzPn5JvZ9upCo+8cG3haRaCIK1d33Bg47L+WKSgfkGvs&#10;HZOBK3nYFPd3OWa1m3hLl11olISwz9BAG8KQae2rliz6lRuIxTu60WKQc2x0PeIk4bbXz1GUaIsd&#10;y4cWB/psqTrtztbA8Wd6jF+n8jsc1tuX5AO7demuxjws5vc3UIHm8AfDrb5Uh0I6le7MtVe9geUt&#10;XlhxkhiUEKKIUBpI0xh0kev/E4pfAAAA//8DAFBLAQItABQABgAIAAAAIQC2gziS/gAAAOEBAAAT&#10;AAAAAAAAAAAAAAAAAAAAAABbQ29udGVudF9UeXBlc10ueG1sUEsBAi0AFAAGAAgAAAAhADj9If/W&#10;AAAAlAEAAAsAAAAAAAAAAAAAAAAALwEAAF9yZWxzLy5yZWxzUEsBAi0AFAAGAAgAAAAhAEIwMKKD&#10;AgAADwUAAA4AAAAAAAAAAAAAAAAALgIAAGRycy9lMm9Eb2MueG1sUEsBAi0AFAAGAAgAAAAhAJrU&#10;KhPcAAAACgEAAA8AAAAAAAAAAAAAAAAA3QQAAGRycy9kb3ducmV2LnhtbFBLBQYAAAAABAAEAPMA&#10;AADmBQAAAAA=&#10;" stroked="f">
              <v:textbox>
                <w:txbxContent>
                  <w:p w:rsidR="00E812AA" w:rsidRPr="00E812AA" w:rsidRDefault="00E812AA" w:rsidP="00E812AA">
                    <w:pPr>
                      <w:ind w:left="0"/>
                      <w:rPr>
                        <w:b/>
                      </w:rPr>
                    </w:pPr>
                    <w:r>
                      <w:rPr>
                        <w:b/>
                      </w:rPr>
                      <w:t>SFS 2018:55</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2AA" w:rsidRPr="00E812AA" w:rsidRDefault="00643102" w:rsidP="00E812AA">
    <w:pPr>
      <w:pStyle w:val="Header"/>
      <w:ind w:left="-1701" w:firstLine="0"/>
      <w:rPr>
        <w:b/>
      </w:rPr>
    </w:pPr>
    <w:r>
      <w:rPr>
        <w:b/>
        <w:noProof/>
        <w:lang w:val="en-US" w:eastAsia="zh-CN" w:bidi="ar-SA"/>
      </w:rPr>
      <mc:AlternateContent>
        <mc:Choice Requires="wps">
          <w:drawing>
            <wp:anchor distT="0" distB="0" distL="114300" distR="114300" simplePos="0" relativeHeight="251657216" behindDoc="0" locked="0" layoutInCell="1" allowOverlap="1">
              <wp:simplePos x="0" y="0"/>
              <wp:positionH relativeFrom="column">
                <wp:posOffset>3977005</wp:posOffset>
              </wp:positionH>
              <wp:positionV relativeFrom="paragraph">
                <wp:posOffset>114300</wp:posOffset>
              </wp:positionV>
              <wp:extent cx="1143000" cy="45720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2AA" w:rsidRPr="00E812AA" w:rsidRDefault="00E812AA">
                          <w:pPr>
                            <w:ind w:left="0"/>
                            <w:rPr>
                              <w:b/>
                            </w:rPr>
                          </w:pPr>
                          <w:r>
                            <w:rPr>
                              <w:b/>
                            </w:rPr>
                            <w:t>SFS 2018:55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1" o:spid="_x0000_s1028" type="#_x0000_t202" style="position:absolute;left:0;text-align:left;margin-left:313.15pt;margin-top:9pt;width:9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ohQIAABYFAAAOAAAAZHJzL2Uyb0RvYy54bWysVF1v2yAUfZ+0/4B4T21nThtbdap+LNOk&#10;7kNq9wMI4BgNAwMSu5v233eBJHW3l2laHhzwvRzOvedcX16NvUR7bp3QqsHFWY4RV1QzobYN/vK4&#10;ni0xcp4oRqRWvMFP3OGr1etXl4Op+Vx3WjJuEYAoVw+mwZ33ps4yRzveE3emDVcQbLXtiYet3WbM&#10;kgHQe5nN8/w8G7RlxmrKnYO3dymIVxG/bTn1n9rWcY9kg4Gbj08bn5vwzFaXpN5aYjpBDzTIP7Do&#10;iVBw6QnqjniCdlb8AdULarXTrT+jus902wrKYw1QTZH/Vs1DRwyPtUBznDm1yf0/WPpx/9kiwUA7&#10;jBTpQaJHPnp0o0dUhO4MxtWQ9GAgzY/wOmSGSp251/SrQ0rfdkRt+bW1eug4YcAunswmRxOOCyCb&#10;4YNmcA3ZeR2Bxtb2ARCagQAdVHo6KROo0HBlUb7JcwhRiJWLC5A+kMtIfTxtrPPvuO5RWDTYgvIR&#10;nezvnU+px5TIXkvB1kLKuLHbza20aE/AJev4O6C7aZpUIVnpcCwhpjdAEu4IsUA3qv6jKuZlfjOv&#10;Zuvz5cWsXJeLWXWRL2d5Ud1U53lZlXfrn4FgUdadYIyre6H40YFF+XcKH2YheSd6EA0NrhbzRZJo&#10;yt5Ni4RehnamKl4U2QsPAylF3+DlKYnUQdi3isEBUnsiZFpnL+lHQaAHx//YlWiDoHzygB8348Fv&#10;ABYsstHsCXxhNcgGCsPHBBadtt8xGmAwG+y+7YjlGMn3CrxVFWUZJjluohUwstPIZhohigJUgz1G&#10;aXnr0/TvjBXbDm5Kblb6GvzYimiVZ1ZQSdjA8MWaDh+KMN3Tfcx6/pytfgEAAP//AwBQSwMEFAAG&#10;AAgAAAAhAB9kUu7cAAAACQEAAA8AAABkcnMvZG93bnJldi54bWxMj8FOwzAQRO9I/IO1SFwQtSmQ&#10;piFOBUggri39gE2yTSLidRS7Tfr3bE9w3Jmn2Zl8M7tenWgMnWcLDwsDirjydceNhf33x30KKkTk&#10;GnvPZOFMATbF9VWOWe0n3tJpFxslIRwytNDGOGRah6olh2HhB2LxDn50GOUcG12POEm46/XSmEQ7&#10;7Fg+tDjQe0vVz+7oLBy+prvn9VR+xv1q+5S8Ybcq/dna25v59QVUpDn+wXCpL9WhkE6lP3IdVG8h&#10;WSaPgoqRyiYBUnMRSgtrY0AXuf6/oPgFAAD//wMAUEsBAi0AFAAGAAgAAAAhALaDOJL+AAAA4QEA&#10;ABMAAAAAAAAAAAAAAAAAAAAAAFtDb250ZW50X1R5cGVzXS54bWxQSwECLQAUAAYACAAAACEAOP0h&#10;/9YAAACUAQAACwAAAAAAAAAAAAAAAAAvAQAAX3JlbHMvLnJlbHNQSwECLQAUAAYACAAAACEAPzB4&#10;6IUCAAAWBQAADgAAAAAAAAAAAAAAAAAuAgAAZHJzL2Uyb0RvYy54bWxQSwECLQAUAAYACAAAACEA&#10;H2RS7twAAAAJAQAADwAAAAAAAAAAAAAAAADfBAAAZHJzL2Rvd25yZXYueG1sUEsFBgAAAAAEAAQA&#10;8wAAAOgFAAAAAA==&#10;" stroked="f">
              <v:textbox>
                <w:txbxContent>
                  <w:p w:rsidR="00E812AA" w:rsidRPr="00E812AA" w:rsidRDefault="00E812AA">
                    <w:pPr>
                      <w:ind w:left="0"/>
                      <w:rPr>
                        <w:b/>
                      </w:rPr>
                    </w:pPr>
                    <w:r>
                      <w:rPr>
                        <w:b/>
                      </w:rPr>
                      <w:t>SFS 2018:55</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338C0"/>
    <w:multiLevelType w:val="hybridMultilevel"/>
    <w:tmpl w:val="B5A2AEDA"/>
    <w:lvl w:ilvl="0" w:tplc="88E671A2">
      <w:start w:val="1"/>
      <w:numFmt w:val="decimal"/>
      <w:lvlText w:val="%1."/>
      <w:lvlJc w:val="left"/>
      <w:pPr>
        <w:ind w:left="4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46E0632">
      <w:start w:val="1"/>
      <w:numFmt w:val="lowerLetter"/>
      <w:lvlText w:val="%2"/>
      <w:lvlJc w:val="left"/>
      <w:pPr>
        <w:ind w:left="1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7A40B8">
      <w:start w:val="1"/>
      <w:numFmt w:val="lowerRoman"/>
      <w:lvlText w:val="%3"/>
      <w:lvlJc w:val="left"/>
      <w:pPr>
        <w:ind w:left="19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94EE1A4">
      <w:start w:val="1"/>
      <w:numFmt w:val="decimal"/>
      <w:lvlText w:val="%4"/>
      <w:lvlJc w:val="left"/>
      <w:pPr>
        <w:ind w:left="27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CCADB12">
      <w:start w:val="1"/>
      <w:numFmt w:val="lowerLetter"/>
      <w:lvlText w:val="%5"/>
      <w:lvlJc w:val="left"/>
      <w:pPr>
        <w:ind w:left="34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4FEE712">
      <w:start w:val="1"/>
      <w:numFmt w:val="lowerRoman"/>
      <w:lvlText w:val="%6"/>
      <w:lvlJc w:val="left"/>
      <w:pPr>
        <w:ind w:left="415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A8E30C6">
      <w:start w:val="1"/>
      <w:numFmt w:val="decimal"/>
      <w:lvlText w:val="%7"/>
      <w:lvlJc w:val="left"/>
      <w:pPr>
        <w:ind w:left="48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8C012C">
      <w:start w:val="1"/>
      <w:numFmt w:val="lowerLetter"/>
      <w:lvlText w:val="%8"/>
      <w:lvlJc w:val="left"/>
      <w:pPr>
        <w:ind w:left="559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1661DFE">
      <w:start w:val="1"/>
      <w:numFmt w:val="lowerRoman"/>
      <w:lvlText w:val="%9"/>
      <w:lvlJc w:val="left"/>
      <w:pPr>
        <w:ind w:left="63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C5A280A"/>
    <w:multiLevelType w:val="hybridMultilevel"/>
    <w:tmpl w:val="97A4D7A8"/>
    <w:lvl w:ilvl="0" w:tplc="DEBEB0C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96AEBAC">
      <w:start w:val="1"/>
      <w:numFmt w:val="lowerLetter"/>
      <w:lvlText w:val="%2"/>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F4072B4">
      <w:start w:val="1"/>
      <w:numFmt w:val="lowerRoman"/>
      <w:lvlText w:val="%3"/>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328C18">
      <w:start w:val="1"/>
      <w:numFmt w:val="decimal"/>
      <w:lvlText w:val="%4"/>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11A8B98">
      <w:start w:val="1"/>
      <w:numFmt w:val="lowerLetter"/>
      <w:lvlText w:val="%5"/>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8F27A06">
      <w:start w:val="1"/>
      <w:numFmt w:val="lowerRoman"/>
      <w:lvlText w:val="%6"/>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D34AC36">
      <w:start w:val="1"/>
      <w:numFmt w:val="decimal"/>
      <w:lvlText w:val="%7"/>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AB04680">
      <w:start w:val="1"/>
      <w:numFmt w:val="lowerLetter"/>
      <w:lvlText w:val="%8"/>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54686E0">
      <w:start w:val="1"/>
      <w:numFmt w:val="lowerRoman"/>
      <w:lvlText w:val="%9"/>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ADA0C50"/>
    <w:multiLevelType w:val="hybridMultilevel"/>
    <w:tmpl w:val="26107D60"/>
    <w:lvl w:ilvl="0" w:tplc="48B6FFAE">
      <w:start w:val="1"/>
      <w:numFmt w:val="bullet"/>
      <w:lvlText w:val="–"/>
      <w:lvlJc w:val="left"/>
      <w:pPr>
        <w:ind w:left="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440E3F8C">
      <w:start w:val="1"/>
      <w:numFmt w:val="bullet"/>
      <w:lvlText w:val="o"/>
      <w:lvlJc w:val="left"/>
      <w:pPr>
        <w:ind w:left="12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87E1362">
      <w:start w:val="1"/>
      <w:numFmt w:val="bullet"/>
      <w:lvlText w:val="▪"/>
      <w:lvlJc w:val="left"/>
      <w:pPr>
        <w:ind w:left="19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AD4C1CC">
      <w:start w:val="1"/>
      <w:numFmt w:val="bullet"/>
      <w:lvlText w:val="•"/>
      <w:lvlJc w:val="left"/>
      <w:pPr>
        <w:ind w:left="27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59AC512">
      <w:start w:val="1"/>
      <w:numFmt w:val="bullet"/>
      <w:lvlText w:val="o"/>
      <w:lvlJc w:val="left"/>
      <w:pPr>
        <w:ind w:left="34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1CE9388">
      <w:start w:val="1"/>
      <w:numFmt w:val="bullet"/>
      <w:lvlText w:val="▪"/>
      <w:lvlJc w:val="left"/>
      <w:pPr>
        <w:ind w:left="415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0369006">
      <w:start w:val="1"/>
      <w:numFmt w:val="bullet"/>
      <w:lvlText w:val="•"/>
      <w:lvlJc w:val="left"/>
      <w:pPr>
        <w:ind w:left="487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434DA78">
      <w:start w:val="1"/>
      <w:numFmt w:val="bullet"/>
      <w:lvlText w:val="o"/>
      <w:lvlJc w:val="left"/>
      <w:pPr>
        <w:ind w:left="559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F89080">
      <w:start w:val="1"/>
      <w:numFmt w:val="bullet"/>
      <w:lvlText w:val="▪"/>
      <w:lvlJc w:val="left"/>
      <w:pPr>
        <w:ind w:left="631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DB568C1"/>
    <w:multiLevelType w:val="hybridMultilevel"/>
    <w:tmpl w:val="183E5B58"/>
    <w:lvl w:ilvl="0" w:tplc="A8D8D61A">
      <w:start w:val="1"/>
      <w:numFmt w:val="decimal"/>
      <w:lvlText w:val="%1."/>
      <w:lvlJc w:val="left"/>
      <w:pPr>
        <w:ind w:left="171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6A0EA8">
      <w:start w:val="1"/>
      <w:numFmt w:val="lowerLetter"/>
      <w:lvlText w:val="%2"/>
      <w:lvlJc w:val="left"/>
      <w:pPr>
        <w:ind w:left="3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110D80A">
      <w:start w:val="1"/>
      <w:numFmt w:val="lowerRoman"/>
      <w:lvlText w:val="%3"/>
      <w:lvlJc w:val="left"/>
      <w:pPr>
        <w:ind w:left="38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AC4E194">
      <w:start w:val="1"/>
      <w:numFmt w:val="decimal"/>
      <w:lvlText w:val="%4"/>
      <w:lvlJc w:val="left"/>
      <w:pPr>
        <w:ind w:left="45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BAC7B0">
      <w:start w:val="1"/>
      <w:numFmt w:val="lowerLetter"/>
      <w:lvlText w:val="%5"/>
      <w:lvlJc w:val="left"/>
      <w:pPr>
        <w:ind w:left="5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DF05078">
      <w:start w:val="1"/>
      <w:numFmt w:val="lowerRoman"/>
      <w:lvlText w:val="%6"/>
      <w:lvlJc w:val="left"/>
      <w:pPr>
        <w:ind w:left="59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916C030">
      <w:start w:val="1"/>
      <w:numFmt w:val="decimal"/>
      <w:lvlText w:val="%7"/>
      <w:lvlJc w:val="left"/>
      <w:pPr>
        <w:ind w:left="66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126992">
      <w:start w:val="1"/>
      <w:numFmt w:val="lowerLetter"/>
      <w:lvlText w:val="%8"/>
      <w:lvlJc w:val="left"/>
      <w:pPr>
        <w:ind w:left="74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FC789A">
      <w:start w:val="1"/>
      <w:numFmt w:val="lowerRoman"/>
      <w:lvlText w:val="%9"/>
      <w:lvlJc w:val="left"/>
      <w:pPr>
        <w:ind w:left="81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304"/>
  <w:hyphenationZone w:val="425"/>
  <w:doNotHyphenateCaps/>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3F"/>
    <w:rsid w:val="00015EA3"/>
    <w:rsid w:val="001716B1"/>
    <w:rsid w:val="00215ED8"/>
    <w:rsid w:val="004707E8"/>
    <w:rsid w:val="0047304C"/>
    <w:rsid w:val="004B717A"/>
    <w:rsid w:val="00551E3F"/>
    <w:rsid w:val="00643102"/>
    <w:rsid w:val="00651E3A"/>
    <w:rsid w:val="007058F2"/>
    <w:rsid w:val="007154F6"/>
    <w:rsid w:val="00793620"/>
    <w:rsid w:val="007C4DBC"/>
    <w:rsid w:val="007D7823"/>
    <w:rsid w:val="008062AA"/>
    <w:rsid w:val="00825642"/>
    <w:rsid w:val="008802E6"/>
    <w:rsid w:val="008B7F39"/>
    <w:rsid w:val="00943D0F"/>
    <w:rsid w:val="00952D25"/>
    <w:rsid w:val="00A065E3"/>
    <w:rsid w:val="00CC49D7"/>
    <w:rsid w:val="00DA5828"/>
    <w:rsid w:val="00DB4B0C"/>
    <w:rsid w:val="00E812AA"/>
    <w:rsid w:val="00F7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117386-FD52-40CE-9834-BBBB910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el-G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2" w:lineRule="auto"/>
      <w:ind w:left="422" w:hanging="10"/>
      <w:jc w:val="both"/>
    </w:pPr>
    <w:rPr>
      <w:rFonts w:ascii="Times New Roman" w:hAnsi="Times New Roman"/>
      <w:color w:val="000000"/>
      <w:sz w:val="19"/>
      <w:szCs w:val="22"/>
    </w:rPr>
  </w:style>
  <w:style w:type="paragraph" w:styleId="Heading1">
    <w:name w:val="heading 1"/>
    <w:next w:val="Normal"/>
    <w:link w:val="Heading1Char"/>
    <w:uiPriority w:val="9"/>
    <w:unhideWhenUsed/>
    <w:qFormat/>
    <w:pPr>
      <w:keepNext/>
      <w:keepLines/>
      <w:spacing w:after="79" w:line="259" w:lineRule="auto"/>
      <w:ind w:left="11"/>
      <w:outlineLvl w:val="0"/>
    </w:pPr>
    <w:rPr>
      <w:rFonts w:ascii="Times New Roman" w:hAnsi="Times New Roman"/>
      <w:b/>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1"/>
    </w:rPr>
  </w:style>
  <w:style w:type="paragraph" w:customStyle="1" w:styleId="footnotedescription">
    <w:name w:val="footnote description"/>
    <w:next w:val="Normal"/>
    <w:link w:val="footnotedescriptionChar"/>
    <w:hidden/>
    <w:pPr>
      <w:spacing w:line="259" w:lineRule="auto"/>
      <w:ind w:left="1111"/>
    </w:pPr>
    <w:rPr>
      <w:rFonts w:ascii="Times New Roman" w:hAnsi="Times New Roman"/>
      <w:color w:val="000000"/>
      <w:sz w:val="17"/>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customStyle="1" w:styleId="RKbas">
    <w:name w:val="RKbas"/>
    <w:link w:val="RKbasChar"/>
    <w:uiPriority w:val="11"/>
    <w:semiHidden/>
    <w:rsid w:val="00DB4B0C"/>
    <w:rPr>
      <w:rFonts w:ascii="Times New Roman" w:eastAsia="宋体" w:hAnsi="Times New Roman"/>
      <w:szCs w:val="22"/>
    </w:rPr>
  </w:style>
  <w:style w:type="character" w:customStyle="1" w:styleId="RKbasChar">
    <w:name w:val="RKbas Char"/>
    <w:link w:val="RKbas"/>
    <w:uiPriority w:val="11"/>
    <w:semiHidden/>
    <w:rsid w:val="00DB4B0C"/>
    <w:rPr>
      <w:rFonts w:ascii="Times New Roman" w:eastAsia="宋体" w:hAnsi="Times New Roman"/>
      <w:szCs w:val="22"/>
      <w:lang w:val="el-GR"/>
    </w:rPr>
  </w:style>
  <w:style w:type="paragraph" w:styleId="BodyText">
    <w:name w:val="Body Text"/>
    <w:basedOn w:val="RKbas"/>
    <w:next w:val="BodyTextIndent"/>
    <w:link w:val="BodyTextChar"/>
    <w:qFormat/>
    <w:rsid w:val="00DB4B0C"/>
    <w:pPr>
      <w:tabs>
        <w:tab w:val="left" w:pos="227"/>
        <w:tab w:val="left" w:pos="397"/>
        <w:tab w:val="left" w:pos="3062"/>
      </w:tabs>
      <w:spacing w:line="232" w:lineRule="exact"/>
      <w:jc w:val="both"/>
    </w:pPr>
    <w:rPr>
      <w:sz w:val="19"/>
    </w:rPr>
  </w:style>
  <w:style w:type="character" w:customStyle="1" w:styleId="BodyTextChar">
    <w:name w:val="Body Text Char"/>
    <w:link w:val="BodyText"/>
    <w:rsid w:val="00DB4B0C"/>
    <w:rPr>
      <w:rFonts w:ascii="Times New Roman" w:eastAsia="宋体" w:hAnsi="Times New Roman"/>
      <w:sz w:val="19"/>
      <w:szCs w:val="22"/>
      <w:lang w:val="el-GR"/>
    </w:rPr>
  </w:style>
  <w:style w:type="paragraph" w:styleId="BodyTextIndent">
    <w:name w:val="Body Text Indent"/>
    <w:basedOn w:val="Normal"/>
    <w:link w:val="BodyTextIndentChar"/>
    <w:uiPriority w:val="99"/>
    <w:semiHidden/>
    <w:unhideWhenUsed/>
    <w:rsid w:val="00DB4B0C"/>
    <w:pPr>
      <w:spacing w:after="120"/>
      <w:ind w:left="283"/>
    </w:pPr>
  </w:style>
  <w:style w:type="character" w:customStyle="1" w:styleId="BodyTextIndentChar">
    <w:name w:val="Body Text Indent Char"/>
    <w:link w:val="BodyTextIndent"/>
    <w:uiPriority w:val="99"/>
    <w:semiHidden/>
    <w:rsid w:val="00DB4B0C"/>
    <w:rPr>
      <w:rFonts w:ascii="Times New Roman" w:hAnsi="Times New Roman"/>
      <w:color w:val="000000"/>
      <w:sz w:val="19"/>
      <w:szCs w:val="22"/>
      <w:lang w:val="el-GR" w:eastAsia="el-GR"/>
    </w:rPr>
  </w:style>
  <w:style w:type="paragraph" w:styleId="Header">
    <w:name w:val="header"/>
    <w:basedOn w:val="Normal"/>
    <w:link w:val="HeaderChar"/>
    <w:uiPriority w:val="99"/>
    <w:unhideWhenUsed/>
    <w:rsid w:val="00E812AA"/>
    <w:pPr>
      <w:tabs>
        <w:tab w:val="center" w:pos="4320"/>
        <w:tab w:val="right" w:pos="8640"/>
      </w:tabs>
    </w:pPr>
  </w:style>
  <w:style w:type="character" w:customStyle="1" w:styleId="HeaderChar">
    <w:name w:val="Header Char"/>
    <w:link w:val="Header"/>
    <w:uiPriority w:val="99"/>
    <w:rsid w:val="00E812AA"/>
    <w:rPr>
      <w:rFonts w:ascii="Times New Roman" w:hAnsi="Times New Roman"/>
      <w:color w:val="000000"/>
      <w:sz w:val="19"/>
      <w:szCs w:val="22"/>
      <w:lang w:val="el-GR" w:eastAsia="el-GR"/>
    </w:rPr>
  </w:style>
  <w:style w:type="paragraph" w:styleId="Footer">
    <w:name w:val="footer"/>
    <w:basedOn w:val="Normal"/>
    <w:link w:val="FooterChar"/>
    <w:uiPriority w:val="99"/>
    <w:unhideWhenUsed/>
    <w:rsid w:val="00E812AA"/>
    <w:pPr>
      <w:tabs>
        <w:tab w:val="center" w:pos="4320"/>
        <w:tab w:val="right" w:pos="8640"/>
      </w:tabs>
    </w:pPr>
  </w:style>
  <w:style w:type="character" w:customStyle="1" w:styleId="FooterChar">
    <w:name w:val="Footer Char"/>
    <w:link w:val="Footer"/>
    <w:uiPriority w:val="99"/>
    <w:rsid w:val="00E812AA"/>
    <w:rPr>
      <w:rFonts w:ascii="Times New Roman" w:hAnsi="Times New Roman"/>
      <w:color w:val="000000"/>
      <w:sz w:val="19"/>
      <w:szCs w:val="22"/>
      <w:lang w:val="el-GR" w:eastAsia="el-GR"/>
    </w:rPr>
  </w:style>
  <w:style w:type="paragraph" w:styleId="FootnoteText">
    <w:name w:val="footnote text"/>
    <w:basedOn w:val="Normal"/>
    <w:link w:val="FootnoteTextChar"/>
    <w:uiPriority w:val="99"/>
    <w:semiHidden/>
    <w:unhideWhenUsed/>
    <w:rsid w:val="00E812AA"/>
    <w:rPr>
      <w:sz w:val="20"/>
      <w:szCs w:val="20"/>
    </w:rPr>
  </w:style>
  <w:style w:type="character" w:customStyle="1" w:styleId="FootnoteTextChar">
    <w:name w:val="Footnote Text Char"/>
    <w:link w:val="FootnoteText"/>
    <w:uiPriority w:val="99"/>
    <w:semiHidden/>
    <w:rsid w:val="00E812AA"/>
    <w:rPr>
      <w:rFonts w:ascii="Times New Roman" w:hAnsi="Times New Roman"/>
      <w:color w:val="000000"/>
      <w:lang w:val="el-GR" w:eastAsia="el-GR"/>
    </w:rPr>
  </w:style>
  <w:style w:type="character" w:styleId="FootnoteReference">
    <w:name w:val="footnote reference"/>
    <w:uiPriority w:val="99"/>
    <w:semiHidden/>
    <w:unhideWhenUsed/>
    <w:rsid w:val="00E812AA"/>
    <w:rPr>
      <w:vertAlign w:val="superscript"/>
    </w:rPr>
  </w:style>
  <w:style w:type="paragraph" w:styleId="PlainText">
    <w:name w:val="Plain Text"/>
    <w:basedOn w:val="Normal"/>
    <w:link w:val="PlainTextChar"/>
    <w:uiPriority w:val="99"/>
    <w:unhideWhenUsed/>
    <w:rsid w:val="00943D0F"/>
    <w:pPr>
      <w:spacing w:after="0" w:line="240" w:lineRule="auto"/>
      <w:ind w:lef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943D0F"/>
    <w:rPr>
      <w:rFonts w:ascii="Consolas" w:hAnsi="Consolas"/>
      <w:sz w:val="21"/>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F753-87DA-4D03-99E0-8013AC68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4798</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0055.fm</vt:lpstr>
      <vt:lpstr>0055.fm</vt:lpstr>
    </vt:vector>
  </TitlesOfParts>
  <Company>Kommerskollegium</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0055.fm</dc:title>
  <dc:subject/>
  <dc:creator>leer01</dc:creator>
  <cp:keywords/>
  <cp:lastModifiedBy>Liu, Lei</cp:lastModifiedBy>
  <cp:revision>5</cp:revision>
  <dcterms:created xsi:type="dcterms:W3CDTF">2019-04-30T10:57:00Z</dcterms:created>
  <dcterms:modified xsi:type="dcterms:W3CDTF">2019-05-08T12:19:00Z</dcterms:modified>
</cp:coreProperties>
</file>