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1502D" w14:textId="51CD26F3" w:rsidR="004A062D" w:rsidRPr="001D6C6C" w:rsidRDefault="004A062D" w:rsidP="00D906B7">
      <w:pPr>
        <w:pStyle w:val="10Entwurf"/>
      </w:pPr>
      <w:r>
        <w:t>Projet</w:t>
      </w:r>
    </w:p>
    <w:p w14:paraId="0A4D8FC4" w14:textId="77777777" w:rsidR="004A062D" w:rsidRPr="001D6C6C" w:rsidRDefault="004A062D" w:rsidP="00D906B7">
      <w:pPr>
        <w:pStyle w:val="11Titel"/>
      </w:pPr>
      <w:r>
        <w:t>Ordonnance du ministre fédéral de la protection du climat, de l’environnement, de l’énergie, de la mobilité, de l’innovation et de la technologie, relative aux à la consigne d’emballages pour boissons jetables en plastique ou en métal (Ordonnance sur la consigne pour les emballages de boissons jetables)</w:t>
      </w:r>
    </w:p>
    <w:p w14:paraId="5C910C45" w14:textId="77777777" w:rsidR="004A062D" w:rsidRPr="001D6C6C" w:rsidRDefault="004A062D" w:rsidP="00D906B7">
      <w:pPr>
        <w:pStyle w:val="12PromKlEinlSatz"/>
      </w:pPr>
      <w:r>
        <w:t>Sur la base de l’article 12 ter, paragraphe 1 et 6, des articles 14, 14 quater, 23, paragraphe 1 et 3, et de l’article 28c de la loi fédérale de 2002 sur la gestion des déchets (LGD 2002), le Journal officiel fédéral I nº 102/2002, tel que modifié en dernier lieu par le Journal officiel fédéral I nº xxx, il est décrété ce qui suit en accord avec le ministre fédéral du travail et de l’économie:</w:t>
      </w:r>
    </w:p>
    <w:p w14:paraId="4390AA81" w14:textId="77777777" w:rsidR="00244452" w:rsidRPr="001D6C6C" w:rsidRDefault="00244452" w:rsidP="00D72F48">
      <w:pPr>
        <w:pStyle w:val="41UeberschrG1"/>
      </w:pPr>
      <w:r>
        <w:t>1. Section</w:t>
      </w:r>
    </w:p>
    <w:p w14:paraId="1FE9DEDF" w14:textId="77777777" w:rsidR="004A062D" w:rsidRPr="001D6C6C" w:rsidRDefault="001A6E8A" w:rsidP="00B3762B">
      <w:pPr>
        <w:pStyle w:val="43UeberschrG2"/>
      </w:pPr>
      <w:r>
        <w:t>Informations générales</w:t>
      </w:r>
    </w:p>
    <w:p w14:paraId="6A17D9D7" w14:textId="77777777" w:rsidR="004A062D" w:rsidRPr="001D6C6C" w:rsidRDefault="004A062D" w:rsidP="00D906B7">
      <w:pPr>
        <w:pStyle w:val="45UeberschrPara"/>
      </w:pPr>
      <w:r>
        <w:t>Objectifs</w:t>
      </w:r>
    </w:p>
    <w:p w14:paraId="300CFC3A" w14:textId="77777777" w:rsidR="005A58ED" w:rsidRPr="001D6C6C" w:rsidRDefault="004A062D" w:rsidP="00D906B7">
      <w:pPr>
        <w:pStyle w:val="51Abs"/>
      </w:pPr>
      <w:r>
        <w:rPr>
          <w:rStyle w:val="991GldSymbol"/>
        </w:rPr>
        <w:t>Article 1.</w:t>
      </w:r>
      <w:r>
        <w:t xml:space="preserve"> Les objectifs du présent règlement sont les suivants:</w:t>
      </w:r>
    </w:p>
    <w:p w14:paraId="7D34FEDB" w14:textId="77777777" w:rsidR="004A062D" w:rsidRPr="001D6C6C" w:rsidRDefault="005A58ED" w:rsidP="005A58ED">
      <w:pPr>
        <w:pStyle w:val="52Aufzaehle1Ziffer"/>
      </w:pPr>
      <w:r>
        <w:tab/>
        <w:t>1.</w:t>
      </w:r>
      <w:r>
        <w:tab/>
        <w:t>la réalisation des objectifs de collecte d’un montant d’au moins 80 % à partir de l’année 2025 et d’au moins 90 % à partir de l’année 2027;</w:t>
      </w:r>
    </w:p>
    <w:p w14:paraId="752203D4" w14:textId="77777777" w:rsidR="00A050A9" w:rsidRPr="001D6C6C" w:rsidRDefault="005A58ED" w:rsidP="005A58ED">
      <w:pPr>
        <w:pStyle w:val="52Aufzaehle1Ziffer"/>
      </w:pPr>
      <w:r>
        <w:tab/>
        <w:t>2.</w:t>
      </w:r>
      <w:r>
        <w:tab/>
        <w:t>le recyclage de haute qualité des déchets d’emballages;</w:t>
      </w:r>
    </w:p>
    <w:p w14:paraId="34F9C7FD" w14:textId="77777777" w:rsidR="00D824B9" w:rsidRPr="001D6C6C" w:rsidRDefault="00A050A9" w:rsidP="00A050A9">
      <w:pPr>
        <w:pStyle w:val="52Aufzaehle1Ziffer"/>
      </w:pPr>
      <w:r>
        <w:tab/>
        <w:t>3.</w:t>
      </w:r>
      <w:r>
        <w:tab/>
        <w:t>la réutilisation des plastiques, des plastiques recyclés et des métaux recyclés dans les récipients pour boissons; et</w:t>
      </w:r>
    </w:p>
    <w:p w14:paraId="6D7A0502" w14:textId="77777777" w:rsidR="004A062D" w:rsidRPr="001D6C6C" w:rsidRDefault="00D824B9" w:rsidP="00D824B9">
      <w:pPr>
        <w:pStyle w:val="52Aufzaehle1Ziffer"/>
      </w:pPr>
      <w:r>
        <w:tab/>
        <w:t>4.</w:t>
      </w:r>
      <w:r>
        <w:tab/>
        <w:t>la prévention des déchets provenant d’emballages de boissons à usage unique en plastique et en métal.</w:t>
      </w:r>
    </w:p>
    <w:p w14:paraId="7D1EFE3B" w14:textId="77777777" w:rsidR="004A062D" w:rsidRPr="001D6C6C" w:rsidRDefault="004A062D" w:rsidP="00D906B7">
      <w:pPr>
        <w:pStyle w:val="45UeberschrPara"/>
      </w:pPr>
      <w:r>
        <w:t>Champ d’application</w:t>
      </w:r>
    </w:p>
    <w:p w14:paraId="290C1BD7" w14:textId="77777777" w:rsidR="004A062D" w:rsidRPr="001D6C6C" w:rsidRDefault="004A062D" w:rsidP="00D906B7">
      <w:pPr>
        <w:pStyle w:val="51Abs"/>
      </w:pPr>
      <w:r>
        <w:rPr>
          <w:rStyle w:val="991GldSymbol"/>
        </w:rPr>
        <w:t>Article 2.</w:t>
      </w:r>
      <w:r>
        <w:t xml:space="preserve"> (1) Le présent règlement s’applique aux emballages de boissons à usage unique en plastique et en métal mis sur le marché en Autriche.</w:t>
      </w:r>
    </w:p>
    <w:p w14:paraId="5094CB11" w14:textId="77777777" w:rsidR="004A062D" w:rsidRPr="001D6C6C" w:rsidRDefault="004A062D" w:rsidP="00D906B7">
      <w:pPr>
        <w:pStyle w:val="51Abs"/>
      </w:pPr>
      <w:r>
        <w:t>(2) Dans le cas des ventes à distance au sens de l’article 3, point 2, de la loi sur les transactions à distance et les transactions étrangères (FAGG), Journal officiel fédéral I nº 33/2014, par un opérateur de vente par correspondance qui n’a ni siège ni établissement en Autriche, les emballages livrés en Autriche et les déchets d’emballages accumulés ultérieurement sont également soumis au champ d’application du règlement.</w:t>
      </w:r>
    </w:p>
    <w:p w14:paraId="773F1B59" w14:textId="77777777" w:rsidR="00AB0D4F" w:rsidRPr="001D6C6C" w:rsidRDefault="00AB0D4F" w:rsidP="00D906B7">
      <w:pPr>
        <w:pStyle w:val="51Abs"/>
      </w:pPr>
      <w:r>
        <w:t>(3) Les dispositions de l’ordonnance sur l’emballage 2014, Journal officiel fédéral II nº 184/2014, telle que modifiée, restent inchangées.</w:t>
      </w:r>
    </w:p>
    <w:p w14:paraId="4B090CCF" w14:textId="77777777" w:rsidR="004A062D" w:rsidRPr="001D6C6C" w:rsidRDefault="004A062D" w:rsidP="00D906B7">
      <w:pPr>
        <w:pStyle w:val="45UeberschrPara"/>
      </w:pPr>
      <w:r>
        <w:t>Définitions</w:t>
      </w:r>
    </w:p>
    <w:p w14:paraId="353D3532" w14:textId="77777777" w:rsidR="004A062D" w:rsidRPr="001D6C6C" w:rsidRDefault="004A062D" w:rsidP="00D906B7">
      <w:pPr>
        <w:pStyle w:val="51Abs"/>
      </w:pPr>
      <w:r>
        <w:rPr>
          <w:rStyle w:val="991GldSymbol"/>
        </w:rPr>
        <w:t>Article 3.</w:t>
      </w:r>
      <w:r>
        <w:t xml:space="preserve"> Aux fins de la présente ordonnance, les éléments suivants signifient</w:t>
      </w:r>
    </w:p>
    <w:p w14:paraId="082E8A65" w14:textId="77777777" w:rsidR="004A062D" w:rsidRPr="001D6C6C" w:rsidRDefault="005034BF" w:rsidP="00D906B7">
      <w:pPr>
        <w:pStyle w:val="52Aufzaehle1Ziffer"/>
        <w:rPr>
          <w:rFonts w:eastAsiaTheme="minorHAnsi"/>
        </w:rPr>
      </w:pPr>
      <w:r>
        <w:tab/>
        <w:t>1.</w:t>
      </w:r>
      <w:r>
        <w:tab/>
        <w:t>«Emballage de boissons»: les emballages de vente fermés ou principalement fermés pour boissons.</w:t>
      </w:r>
    </w:p>
    <w:p w14:paraId="7C800640" w14:textId="77777777" w:rsidR="00234D9D" w:rsidRPr="001D6C6C" w:rsidRDefault="0007177B" w:rsidP="00234D9D">
      <w:pPr>
        <w:pStyle w:val="52Aufzaehle1Ziffer"/>
      </w:pPr>
      <w:r>
        <w:tab/>
        <w:t>2.</w:t>
      </w:r>
      <w:r>
        <w:tab/>
        <w:t>«Emballage de boissons en plastique à usage unique», les bouteilles de boissons en plastique à usage unique qui sont entièrement ou partiellement en plastique, y compris leurs étiquettes, bouchons et fermetures qui ne sont pas conçus, développés et mis sur le marché pour subir plusieurs cycles de produits au cours de leur cycle de vie. Sont exemptés</w:t>
      </w:r>
    </w:p>
    <w:p w14:paraId="567CC2FB" w14:textId="77777777" w:rsidR="00234D9D" w:rsidRPr="001D6C6C" w:rsidRDefault="00234D9D" w:rsidP="00234D9D">
      <w:pPr>
        <w:pStyle w:val="52Aufzaehle2Lit"/>
      </w:pPr>
      <w:r>
        <w:tab/>
        <w:t>a)</w:t>
      </w:r>
      <w:r>
        <w:tab/>
        <w:t>les bouteilles de boissons en verre ou en métal qui ont des bouchons ou des fermetures en plastique;</w:t>
      </w:r>
    </w:p>
    <w:p w14:paraId="0B50E93C" w14:textId="77777777" w:rsidR="008742DC" w:rsidRPr="001D6C6C" w:rsidRDefault="00234D9D" w:rsidP="00D678CB">
      <w:pPr>
        <w:pStyle w:val="52Aufzaehle2Lit"/>
      </w:pPr>
      <w:r>
        <w:lastRenderedPageBreak/>
        <w:tab/>
        <w:t>b)</w:t>
      </w:r>
      <w:r>
        <w:tab/>
        <w:t>les bouteilles de boissons destinées à des denrées alimentaires liquides destinées à des fins médicales spéciales au sens de l’article 2, point g), du règlement (UE) nº 609/2013 concernant les denrées alimentaires destinées aux nourrissons et aux enfants en bas âge, les denrées alimentaires à usage médical spécial et les rations journalières pour les régimes à poids contrôlé, et abrogeant la directive 92/52/CEE, les directives 96/8/CE, 1999/21/CE, 2006/125/CE et 2006/141/CE, la directive 2009/39/CE et les règlements (CE) nº 41/2009 et (CE) nº 953/2009; JO L 181 du 29.6.2013, p. 35, modifié en dernier lieu par le règlement délégué (UE) 2021/571, JO L 120 du 8.4.2021, p. 1, et sont utilisés à cette fin;</w:t>
      </w:r>
    </w:p>
    <w:p w14:paraId="3A10524D" w14:textId="77777777" w:rsidR="00234D9D" w:rsidRPr="001D6C6C" w:rsidRDefault="008742DC" w:rsidP="008742DC">
      <w:pPr>
        <w:pStyle w:val="52Aufzaehle2Lit"/>
      </w:pPr>
      <w:r>
        <w:tab/>
        <w:t>c)</w:t>
      </w:r>
      <w:r>
        <w:tab/>
        <w:t>les cartons à boissons.</w:t>
      </w:r>
    </w:p>
    <w:p w14:paraId="1F3233F5" w14:textId="77777777" w:rsidR="00234D9D" w:rsidRPr="001D6C6C" w:rsidRDefault="00234D9D" w:rsidP="00234D9D">
      <w:pPr>
        <w:pStyle w:val="52Aufzaehle1Ziffer"/>
      </w:pPr>
      <w:r>
        <w:tab/>
        <w:t>3.</w:t>
      </w:r>
      <w:r>
        <w:tab/>
        <w:t>«Emballage de boissons jetable en métal»: les canettes ou bouteilles de boissons fabriquées entièrement ou en partie en métal ferreux ou en aluminium, y compris leurs étiquettes, bouchons et fermetures, qui ne sont pas conçues, développées et mises sur le marché pour subir plusieurs cycles de produits au cours de leur cycle de vie.</w:t>
      </w:r>
    </w:p>
    <w:p w14:paraId="64000BA1" w14:textId="77777777" w:rsidR="00636C7E" w:rsidRPr="001D6C6C" w:rsidRDefault="00445122" w:rsidP="0007177B">
      <w:pPr>
        <w:pStyle w:val="52Aufzaehle1Ziffer"/>
      </w:pPr>
      <w:r>
        <w:tab/>
        <w:t>4.</w:t>
      </w:r>
      <w:r>
        <w:tab/>
        <w:t>«Distributeurs initiaux»: les principales parties obligées conformément à l’article 13 octies de la LGD 2002 ou, dans le cas de l’embouteillage sous contrat, les mandants des embouteilleurs contractuels.</w:t>
      </w:r>
    </w:p>
    <w:p w14:paraId="70CB0038" w14:textId="77777777" w:rsidR="00DD5641" w:rsidRPr="001D6C6C" w:rsidRDefault="00DD5641" w:rsidP="00D72F48">
      <w:pPr>
        <w:pStyle w:val="41UeberschrG1"/>
      </w:pPr>
      <w:r>
        <w:t>2. Section</w:t>
      </w:r>
    </w:p>
    <w:p w14:paraId="36D4514A" w14:textId="77777777" w:rsidR="001A6E8A" w:rsidRPr="001D6C6C" w:rsidRDefault="001C4785" w:rsidP="00B3762B">
      <w:pPr>
        <w:pStyle w:val="43UeberschrG2"/>
      </w:pPr>
      <w:r>
        <w:t>Consigne jetable</w:t>
      </w:r>
    </w:p>
    <w:p w14:paraId="0A3F61EC" w14:textId="77777777" w:rsidR="004A062D" w:rsidRPr="001D6C6C" w:rsidRDefault="004A062D" w:rsidP="00D906B7">
      <w:pPr>
        <w:pStyle w:val="45UeberschrPara"/>
      </w:pPr>
      <w:r>
        <w:t>Collecte de la consigne pour les emballages des boissons jetables</w:t>
      </w:r>
    </w:p>
    <w:p w14:paraId="3C9C4CA3" w14:textId="77777777" w:rsidR="00234D9D" w:rsidRPr="001D6C6C" w:rsidRDefault="004A062D" w:rsidP="00E44EE3">
      <w:pPr>
        <w:pStyle w:val="51Abs"/>
      </w:pPr>
      <w:r>
        <w:rPr>
          <w:rStyle w:val="991GldSymbol"/>
        </w:rPr>
        <w:t>Article 4.</w:t>
      </w:r>
      <w:r>
        <w:t xml:space="preserve"> (1) À compter du 1</w:t>
      </w:r>
      <w:r>
        <w:rPr>
          <w:vertAlign w:val="superscript"/>
        </w:rPr>
        <w:t>er</w:t>
      </w:r>
      <w:r>
        <w:t> janvier 2025, toute personne qui met commercialement des boissons dans des emballages de boissons à usage unique en plastique ou en métal d’un volume de remplissage de 0,1 à 3,0 litres sur le marché doit percevoir une consigne de 0,25 EUR pour chaque emballage auprès du client respectif au nom et pour le compte de l’organisme central. Les distributeurs initiaux déclarent les montants de la consigne perçues à l’organisme central au moins une fois par mois.</w:t>
      </w:r>
    </w:p>
    <w:p w14:paraId="5334E201" w14:textId="77777777" w:rsidR="00E44EE3" w:rsidRPr="001D6C6C" w:rsidRDefault="00DD5641" w:rsidP="00E44EE3">
      <w:pPr>
        <w:pStyle w:val="51Abs"/>
      </w:pPr>
      <w:r>
        <w:t>(2) Par dérogation au paragraphe 1, les boissons dans des emballages de boissons à usage unique en plastique ou en métal peuvent être vendues sans percevoir de consigne jusqu’à la fin du 31 décembre 2025, si elles sont mises en bouteille avant le 1</w:t>
      </w:r>
      <w:r>
        <w:rPr>
          <w:vertAlign w:val="superscript"/>
        </w:rPr>
        <w:t>er</w:t>
      </w:r>
      <w:r>
        <w:t> mars 2025.</w:t>
      </w:r>
    </w:p>
    <w:p w14:paraId="2ECF2392" w14:textId="77777777" w:rsidR="00EA61CD" w:rsidRPr="001D6C6C" w:rsidRDefault="006E7F94" w:rsidP="001C4785">
      <w:pPr>
        <w:pStyle w:val="51Abs"/>
      </w:pPr>
      <w:r>
        <w:t xml:space="preserve">(3) Tous les types de boissons, à l’exception du lait et des boissons mélangées au lait, tels que définis dans le code alimentaire autrichien (Codex Alimentarius </w:t>
      </w:r>
      <w:proofErr w:type="spellStart"/>
      <w:r>
        <w:t>Austriacus</w:t>
      </w:r>
      <w:proofErr w:type="spellEnd"/>
      <w:r>
        <w:t>, Codex Chapitre/B32) sont couverts par l’obligation de consigne conformément au paragraphe 1.</w:t>
      </w:r>
    </w:p>
    <w:p w14:paraId="5B945E65" w14:textId="77777777" w:rsidR="00636C7E" w:rsidRPr="001D6C6C" w:rsidRDefault="00636C7E" w:rsidP="001C4785">
      <w:pPr>
        <w:pStyle w:val="51Abs"/>
      </w:pPr>
      <w:r>
        <w:t>(4) Les distributeurs initiaux sont tenus de s’enregistrer auprès de l’organisme central et de conclure un contrat avec l’organisme central. En outre, les distributeurs initiaux sont tenus d’enregistrer les types de récipients qu’ils mettent sur le marché conformément aux paragraphes 1 à 3 auprès de l’organisme central et de payer les contributions ou les frais d’enregistrement prévus pour le producteur.</w:t>
      </w:r>
    </w:p>
    <w:p w14:paraId="65F63808" w14:textId="77777777" w:rsidR="006E7F94" w:rsidRPr="001D6C6C" w:rsidRDefault="006E7F94" w:rsidP="000D0CAE">
      <w:pPr>
        <w:pStyle w:val="45UeberschrPara"/>
      </w:pPr>
      <w:r>
        <w:t>Retour de l’emballage de boissons à usage unique sujet à une consigne et paiement du montant de la consigne</w:t>
      </w:r>
    </w:p>
    <w:p w14:paraId="31D087F6" w14:textId="77777777" w:rsidR="004E47AD" w:rsidRPr="001D6C6C" w:rsidRDefault="009258FF" w:rsidP="004E47AD">
      <w:pPr>
        <w:pStyle w:val="51Abs"/>
      </w:pPr>
      <w:r>
        <w:rPr>
          <w:rStyle w:val="991GldSymbol"/>
        </w:rPr>
        <w:t>Article 5.</w:t>
      </w:r>
      <w:r>
        <w:t xml:space="preserve"> (1) Chaque distributeur final d’emballages de boissons à usage unique faisant l’objet d’une consigne conformément à l’article 4 les reprend au consommateur final pendant les heures normales d’ouverture contre paiement du montant de la consigne de 0,25 EUR par emballage s’ils ont été vidés de leur contenu. Le retour peut être effectué au moyen de machines de retour automatiques ou manuellement.</w:t>
      </w:r>
    </w:p>
    <w:p w14:paraId="27FCC847" w14:textId="77777777" w:rsidR="00D7653D" w:rsidRPr="001D6C6C" w:rsidRDefault="00D7653D" w:rsidP="006E7F94">
      <w:pPr>
        <w:pStyle w:val="51Abs"/>
      </w:pPr>
      <w:r>
        <w:t>(2) Par dérogation au paragraphe 1, lorsque le retour n’est pas effectué par l’intermédiaire d’un distributeur automatique inversé, les opérateurs de points de vente ne reprennent à ce point de vente que les emballages de boissons à usage unique pour lesquels une consigne a été versée correspondant à l’emballage de boissons à usage unique offert en ce qui concerne le matériel d’emballage et le volume de remplissage. Ces opérateurs doivent uniquement reprendre le nombre d’emballages de boissons à usage unique que les consommateurs finaux achètent habituellement à ce point de vente.</w:t>
      </w:r>
    </w:p>
    <w:p w14:paraId="279C1274" w14:textId="77777777" w:rsidR="004421D6" w:rsidRPr="001D6C6C" w:rsidRDefault="009F7F39" w:rsidP="006E7F94">
      <w:pPr>
        <w:pStyle w:val="51Abs"/>
      </w:pPr>
      <w:r>
        <w:t>(3) Par dérogation au paragraphe 2, plusieurs exploitants de points de vente situés dans des lieux très fréquentés, tels que notamment des aéroports, des gares ou des centres commerciaux, peuvent également désigner un autre point de retour commun où le consommateur final peut restituer les récipients de consigne. Ce point de retour doit être à proximité immédiate des points de vente. Les consommateurs finaux doivent être clairement informés de ces options de retour dans les points de vente. Tous les bons de consigne qui y sont émis doivent pouvoir être échangés à proximité immédiate du distributeur automatique. Les distributeurs finaux doivent informer clairement les consommateurs finaux au distributeur automatique de ces options de retour.</w:t>
      </w:r>
    </w:p>
    <w:p w14:paraId="297CAAA2" w14:textId="77777777" w:rsidR="0075561E" w:rsidRPr="001D6C6C" w:rsidRDefault="00176A9D" w:rsidP="00780B72">
      <w:pPr>
        <w:pStyle w:val="51Abs"/>
      </w:pPr>
      <w:r>
        <w:lastRenderedPageBreak/>
        <w:t>(4) Les opérateurs d’établissements de restauration, tels que, en particulier, les établissements d’hébergement, les restaurants, les cafés, les établissements de restauration ou les stands de saucisse, sont considérés comme des distributeurs finaux. Les opérateurs d’établissements de restauration auprès desquels, en règle générale, aucun emballage de boissons à usage unique n’est emporté, ne sont pas tenus de percevoir et de rembourser une consigne auprès du consommateur pour les emballages de boissons à usage unique qui restent sur place, par dérogation à l’article 4, paragraphe 1, et ils n’ont pas non plus d’obligation d’accepter les retours. Si des emballages de boissons à usage unique sont emportés des locaux, les opérateurs des établissements de restauration sont tenus d’accepter les retours conformément au paragraphe 2.</w:t>
      </w:r>
    </w:p>
    <w:p w14:paraId="2EAACF10" w14:textId="77777777" w:rsidR="000478AB" w:rsidRPr="001D6C6C" w:rsidRDefault="00591062" w:rsidP="002467E6">
      <w:pPr>
        <w:pStyle w:val="51Abs"/>
      </w:pPr>
      <w:r>
        <w:t>(5) Par dérogation au paragraphe 1, les distributeurs finaux vendant des emballages de boissons à usage unique avec consigne dans des distributeurs automatiques versent à l’organisme central une redevance de compensation par récipient déterminée par cet organisme central, qui est basée sur le coût du remboursement supplémentaire à d’autres points de remboursement, à moins que le distributeur final ne puisse prouver à l’organisme central qu’il existe une option de retour à proximité immédiate du distributeur automatique. Les distributeurs finaux doivent informer clairement les consommateurs finaux au distributeur automatique de ces options de retour.</w:t>
      </w:r>
    </w:p>
    <w:p w14:paraId="69D653DB" w14:textId="77777777" w:rsidR="00A279C5" w:rsidRPr="001D6C6C" w:rsidRDefault="00BA1695" w:rsidP="002467E6">
      <w:pPr>
        <w:pStyle w:val="51Abs"/>
      </w:pPr>
      <w:r>
        <w:t>(6) En cas de vente via des services de livraison, notamment via le commerce en ligne, le distributeur final doit assurer un retour et une consigne de remboursement à la livraison. Par dérogation au paragraphe 1, le montant de la consigne peut être payé de la même manière que le règlement de la commande. Seuls les emballages de boissons à usage unique avec une consigne correspondante à l’emballage de boissons à usage unique offert par le matériau d’emballage et le volume doivent être repris. Ces distributeurs finaux doivent uniquement reprendre le nombre d’emballages de boissons à usage unique que les consommateurs finaux commandent habituellement. Les prestataires de services postaux, de colis ou autres prestataires de services de transport de marchandises sont exemptés de ces obligations.</w:t>
      </w:r>
    </w:p>
    <w:p w14:paraId="5E5BD77E" w14:textId="77777777" w:rsidR="0075561E" w:rsidRPr="001D6C6C" w:rsidRDefault="004B427A" w:rsidP="0075561E">
      <w:pPr>
        <w:pStyle w:val="51Abs"/>
      </w:pPr>
      <w:r>
        <w:t>(7) Par dérogation aux paragraphes 1 et 6, dans le cas de la vente d’emballages de boissons à usage unique avec consigne, lorsque la livraison est effectuée par l’intermédiaire d’un service postal, d’un service de colis ou d’autres prestataires de services de transport de marchandises, le distributeur final doit verser à l’organisme central une contribution compensatoire par récipient déterminée par cet organisme central, qui est basée sur le coût du remboursement supplémentaire à partir d’autres points de collecte. Il en va de même pour les livraisons de nourriture provenant de restaurants et de tiers commandés par eux.</w:t>
      </w:r>
    </w:p>
    <w:p w14:paraId="0466DBF0" w14:textId="77777777" w:rsidR="00C06551" w:rsidRPr="001D6C6C" w:rsidRDefault="006E7F94" w:rsidP="002467E6">
      <w:pPr>
        <w:pStyle w:val="51Abs"/>
      </w:pPr>
      <w:r>
        <w:t>(8) Le retour volontaire des emballages de boissons à usage unique soumis à consigne conformément à l’article 4 peut également être effectué aux points de retour intégrés contractuellement par l’organisme central. Ces contrats sont conclus notamment en tenant particulièrement compte du rapport coût-efficacité, de l’accessibilité pour les consommateurs finaux et de la répartition géographique.</w:t>
      </w:r>
    </w:p>
    <w:p w14:paraId="79102D86" w14:textId="77777777" w:rsidR="001A6E8A" w:rsidRPr="001D6C6C" w:rsidRDefault="00C06551" w:rsidP="002467E6">
      <w:pPr>
        <w:pStyle w:val="51Abs"/>
      </w:pPr>
      <w:r>
        <w:t>(9) L’acceptation volontaire des retours peut également être convenue par l’organisateur avec l’organisme central pour les événements, où les boissons dans des emballages de boissons à usage unique ne sont mises sur le marché et récupérées que pour une période limitée. En outre, un rachat volontaire dans le cadre de campagnes de collecte de fonds peut être convenu avec l’organisme central.</w:t>
      </w:r>
    </w:p>
    <w:p w14:paraId="7CAF5561" w14:textId="77777777" w:rsidR="006E7F94" w:rsidRPr="001D6C6C" w:rsidRDefault="006E7F94" w:rsidP="006E7F94">
      <w:pPr>
        <w:pStyle w:val="45UeberschrPara"/>
      </w:pPr>
      <w:r>
        <w:t>Étiquetage</w:t>
      </w:r>
    </w:p>
    <w:p w14:paraId="6D6B530F" w14:textId="77777777" w:rsidR="002A5380" w:rsidRPr="001D6C6C" w:rsidRDefault="0094404F" w:rsidP="00D906B7">
      <w:pPr>
        <w:pStyle w:val="51Abs"/>
      </w:pPr>
      <w:r>
        <w:rPr>
          <w:rStyle w:val="991GldSymbol"/>
        </w:rPr>
        <w:t>Article 6.</w:t>
      </w:r>
      <w:r>
        <w:t xml:space="preserve"> L’emballage de boissons à usage unique conformément à l’article 4 doit être visible, reconnaissable et marqué en permanence d’un code à barres et du symbole de consigne conformément à </w:t>
      </w:r>
      <w:r>
        <w:rPr>
          <w:b/>
        </w:rPr>
        <w:t>l’annexe</w:t>
      </w:r>
      <w:r>
        <w:t>.</w:t>
      </w:r>
    </w:p>
    <w:p w14:paraId="495E6B26" w14:textId="77777777" w:rsidR="004B427A" w:rsidRPr="001D6C6C" w:rsidRDefault="004B427A" w:rsidP="00D72F48">
      <w:pPr>
        <w:pStyle w:val="41UeberschrG1"/>
      </w:pPr>
      <w:r>
        <w:t>3. Section</w:t>
      </w:r>
    </w:p>
    <w:p w14:paraId="46415EA8" w14:textId="77777777" w:rsidR="001A6E8A" w:rsidRPr="001D6C6C" w:rsidRDefault="004B427A" w:rsidP="00B3762B">
      <w:pPr>
        <w:pStyle w:val="43UeberschrG2"/>
      </w:pPr>
      <w:r>
        <w:t>Organisme central</w:t>
      </w:r>
    </w:p>
    <w:p w14:paraId="54D9224E" w14:textId="77777777" w:rsidR="006E7F94" w:rsidRPr="001D6C6C" w:rsidRDefault="00E601E2" w:rsidP="00E601E2">
      <w:pPr>
        <w:pStyle w:val="45UeberschrPara"/>
      </w:pPr>
      <w:r>
        <w:t>Création d’un organisme central</w:t>
      </w:r>
    </w:p>
    <w:p w14:paraId="2905EAEC" w14:textId="77777777" w:rsidR="00441FD1" w:rsidRPr="001D6C6C" w:rsidRDefault="007222BF" w:rsidP="007222BF">
      <w:pPr>
        <w:pStyle w:val="51Abs"/>
      </w:pPr>
      <w:r>
        <w:rPr>
          <w:rStyle w:val="991GldSymbol"/>
        </w:rPr>
        <w:t>Article 7.</w:t>
      </w:r>
      <w:r>
        <w:t xml:space="preserve"> (1) Les distributeurs initiaux et les opérateurs de reprise créent un organisme central à but non lucratif sous la forme d’une société à responsabilité limitée (LLC [</w:t>
      </w:r>
      <w:proofErr w:type="spellStart"/>
      <w:r>
        <w:t>GmbH</w:t>
      </w:r>
      <w:proofErr w:type="spellEnd"/>
      <w:r>
        <w:t>]).</w:t>
      </w:r>
    </w:p>
    <w:p w14:paraId="63121861" w14:textId="77777777" w:rsidR="0077633F" w:rsidRPr="001D6C6C" w:rsidRDefault="003615AB" w:rsidP="007222BF">
      <w:pPr>
        <w:pStyle w:val="51Abs"/>
      </w:pPr>
      <w:r>
        <w:t>(2) Un accord sera conclu avec le ministre fédéral de la protection du climat, de l’environnement, de l’énergie, de la mobilité, de l’innovation et de la technologie sur les statuts de l’association parraine, le mémorandum et les statuts de l’organisme central et toute modification substantielle prévue de ces documents. En l’absence d’approbation, le ministre fédéral de la protection du climat, de l’environnement, de l’énergie, de la mobilité, de l’innovation et de la technologie émet, sur demande, un avis exposant les motifs du rejet.</w:t>
      </w:r>
    </w:p>
    <w:p w14:paraId="483E275E" w14:textId="77777777" w:rsidR="00DF3A34" w:rsidRPr="001D6C6C" w:rsidRDefault="003615AB" w:rsidP="007222BF">
      <w:pPr>
        <w:pStyle w:val="51Abs"/>
      </w:pPr>
      <w:r>
        <w:lastRenderedPageBreak/>
        <w:t xml:space="preserve">(3) La société à responsabilité limitée nomme un conseil de surveillance qui, en tout état de cause, dispose d’un droit d’approbation sur la détermination de l’indemnisation des frais de rachat ainsi que des contrats. </w:t>
      </w:r>
    </w:p>
    <w:p w14:paraId="13790ABB" w14:textId="77777777" w:rsidR="00DF3A34" w:rsidRPr="001D6C6C" w:rsidRDefault="002553AD" w:rsidP="002553AD">
      <w:pPr>
        <w:pStyle w:val="52Aufzaehle1Ziffer"/>
      </w:pPr>
      <w:r>
        <w:tab/>
        <w:t>1.</w:t>
      </w:r>
      <w:r>
        <w:tab/>
        <w:t xml:space="preserve">d’un volume supérieur à 250 000 EUR.-- ou </w:t>
      </w:r>
    </w:p>
    <w:p w14:paraId="22EAC43F" w14:textId="6DF007DB" w:rsidR="00A7395C" w:rsidRPr="001D6C6C" w:rsidRDefault="002553AD" w:rsidP="00FB180A">
      <w:pPr>
        <w:pStyle w:val="52Aufzaehle1Ziffer"/>
      </w:pPr>
      <w:r>
        <w:tab/>
        <w:t>2.</w:t>
      </w:r>
      <w:r>
        <w:tab/>
        <w:t xml:space="preserve">d’un volume supérieur à 100 000 EUR.--- en cas de dépassement du budget approuvé, doit être accordé. </w:t>
      </w:r>
    </w:p>
    <w:p w14:paraId="23776E8B" w14:textId="77777777" w:rsidR="00A93961" w:rsidRPr="001D6C6C" w:rsidRDefault="00561881" w:rsidP="00A93961">
      <w:pPr>
        <w:pStyle w:val="51Abs"/>
      </w:pPr>
      <w:r>
        <w:t>(4) La société à responsabilité limitée nomme un comité d’entreprise qui, en dérogation au paragraphe 3, se voit accorder en tout état de cause le droit d’approuver les contrats à conclure entre l’organisme central et les membres de l’association de soutien au lieu du conseil de surveillance. Dans ce cas, le comité d’affaires lui-même a la fonction d’un conseil de surveillance spécial. Les membres qui doivent être considérés comme des parties liées à un contrat et les personnes qui entretiennent des relations concurrentielles avec eux ne peuvent pas participer au vote sur l’approbation du comité d’affaires lui-même.</w:t>
      </w:r>
    </w:p>
    <w:p w14:paraId="37D8932D" w14:textId="77777777" w:rsidR="00E601E2" w:rsidRPr="001D6C6C" w:rsidRDefault="00E72B42" w:rsidP="00E601E2">
      <w:pPr>
        <w:pStyle w:val="45UeberschrPara"/>
      </w:pPr>
      <w:r>
        <w:t>Tâches générales de l’organisme central</w:t>
      </w:r>
    </w:p>
    <w:p w14:paraId="0A930689" w14:textId="77777777" w:rsidR="00086FE8" w:rsidRPr="001D6C6C" w:rsidRDefault="007222BF" w:rsidP="00080D0C">
      <w:pPr>
        <w:pStyle w:val="51Abs"/>
      </w:pPr>
      <w:r>
        <w:rPr>
          <w:rStyle w:val="991GldSymbol"/>
        </w:rPr>
        <w:t>Article 8.</w:t>
      </w:r>
      <w:r>
        <w:t xml:space="preserve"> (1) L’organisme central s’acquitte de toutes les tâches relatives à l’organisation et à la mise en œuvre des flux de matériel, de trésorerie et de données conformément aux articles 4 à 6 de la présente ordonnance. L’organisme central doit respecter les exigences minimales énoncées à l’article 28 quater, paragraphes 2 et 3, de la LGD 2002.</w:t>
      </w:r>
    </w:p>
    <w:p w14:paraId="456E596F" w14:textId="77777777" w:rsidR="00272194" w:rsidRPr="001D6C6C" w:rsidRDefault="00272194" w:rsidP="00080D0C">
      <w:pPr>
        <w:pStyle w:val="51Abs"/>
      </w:pPr>
      <w:r>
        <w:t>(2) L’organisme central peut faire appel à un ou plusieurs tiers indépendants dans l’exécution des tâches individuelles visées au paragraphe 1.</w:t>
      </w:r>
    </w:p>
    <w:p w14:paraId="3569E2D9" w14:textId="77777777" w:rsidR="00A279C5" w:rsidRPr="001D6C6C" w:rsidRDefault="00E72B42" w:rsidP="00F67F0F">
      <w:pPr>
        <w:pStyle w:val="51Abs"/>
      </w:pPr>
      <w:r>
        <w:t>(3) L’organisme central élabore un concept de contrôle efficace pour les distributeurs initiaux. En outre, ce concept de contrôle doit également inclure un contrôle des parties responsables de la reprise des récipients, notamment en vérifiant l’exactitude des récipients de consigne retournés et des règlements. Ce concept de contrôle sera soumis au ministre fédéral de la protection du climat, de l’environnement, de l’énergie, de la mobilité, de l’innovation et de la technologie au plus tard le 1</w:t>
      </w:r>
      <w:r>
        <w:rPr>
          <w:vertAlign w:val="superscript"/>
        </w:rPr>
        <w:t>er</w:t>
      </w:r>
      <w:r>
        <w:t> juillet 2025, puis en cas de changements significatifs.</w:t>
      </w:r>
    </w:p>
    <w:p w14:paraId="3A306B69" w14:textId="77777777" w:rsidR="00A279C5" w:rsidRPr="001D6C6C" w:rsidRDefault="00A279C5" w:rsidP="00F67F0F">
      <w:pPr>
        <w:pStyle w:val="51Abs"/>
      </w:pPr>
      <w:r>
        <w:t>(4) L’organisme central prend en charge les coûts des opérations de nettoyage liées aux déchets provenant de récipients d’emballages pour boissons en plastique à usage unique portant de la consigne, du transport et du traitement ultérieurs de ces déchets à partir de l’année civile 2025. Les coûts à supporter sont déterminés entre les acteurs concernés de manière transparente en vertu du droit civil. Les coûts des opérations de nettoyage liées aux déchets sont limités aux activités menées par les autorités publiques ou pour le compte des autorités publiques. La méthode de calcul est conçue de manière à déterminer les coûts liés à l’élimination des déchets d’une manière proportionnée. Afin de maintenir les coûts administratifs aussi bas que possible, les contributions financières aux coûts des opérations de nettoyage peuvent être déterminées par des montants fixes appropriés, y compris des montants forfaitaires pluriannuels.</w:t>
      </w:r>
    </w:p>
    <w:p w14:paraId="6E95670B" w14:textId="77777777" w:rsidR="006F362E" w:rsidRPr="001D6C6C" w:rsidRDefault="006F362E" w:rsidP="006F362E">
      <w:pPr>
        <w:pStyle w:val="45UeberschrPara"/>
      </w:pPr>
      <w:r>
        <w:t>Information des consommateurs finaux</w:t>
      </w:r>
    </w:p>
    <w:p w14:paraId="749F1145" w14:textId="77777777" w:rsidR="00E133F7" w:rsidRPr="001D6C6C" w:rsidRDefault="006F362E" w:rsidP="00E133F7">
      <w:pPr>
        <w:pStyle w:val="51Abs"/>
      </w:pPr>
      <w:r>
        <w:rPr>
          <w:rStyle w:val="991GldSymbol"/>
        </w:rPr>
        <w:t>Article 9.</w:t>
      </w:r>
      <w:r>
        <w:t xml:space="preserve"> L’organisme central doit informer le consommateur final de la manipulation correcte des récipients pour boissons, de la signification du symbole de consigne et des points de retour appropriés en impliquant les structures existantes de consultation des déchets municipaux. Ces informations portent notamment sur les éléments suivants:</w:t>
      </w:r>
    </w:p>
    <w:p w14:paraId="15668313" w14:textId="77777777" w:rsidR="00E133F7" w:rsidRPr="001D6C6C" w:rsidRDefault="00E133F7" w:rsidP="00E133F7">
      <w:pPr>
        <w:pStyle w:val="52Aufzaehle1Ziffer"/>
      </w:pPr>
      <w:r>
        <w:tab/>
        <w:t>1.</w:t>
      </w:r>
      <w:r>
        <w:tab/>
        <w:t>les mesures visant à prévenir les déchets, y compris des mesures incitatives en faveur d’un comportement responsable des consommateurs,</w:t>
      </w:r>
    </w:p>
    <w:p w14:paraId="18BF1EE3" w14:textId="77777777" w:rsidR="00E133F7" w:rsidRPr="001D6C6C" w:rsidRDefault="00E133F7" w:rsidP="00E133F7">
      <w:pPr>
        <w:pStyle w:val="52Aufzaehle1Ziffer"/>
      </w:pPr>
      <w:r>
        <w:tab/>
        <w:t>2.</w:t>
      </w:r>
      <w:r>
        <w:tab/>
        <w:t>la disponibilité de solutions de remplacement réutilisables et de systèmes de réutilisation,</w:t>
      </w:r>
    </w:p>
    <w:p w14:paraId="771099AB" w14:textId="77777777" w:rsidR="00E133F7" w:rsidRPr="001D6C6C" w:rsidRDefault="00E133F7" w:rsidP="00E133F7">
      <w:pPr>
        <w:pStyle w:val="52Aufzaehle1Ziffer"/>
      </w:pPr>
      <w:r>
        <w:tab/>
        <w:t>3.</w:t>
      </w:r>
      <w:r>
        <w:tab/>
        <w:t>les possibilités et l’opportunité des possibilités d’élimination et de récupération appropriées en termes de conservation des ressources; et</w:t>
      </w:r>
    </w:p>
    <w:p w14:paraId="52E41F98" w14:textId="77777777" w:rsidR="00E133F7" w:rsidRPr="001D6C6C" w:rsidRDefault="00E133F7" w:rsidP="00E133F7">
      <w:pPr>
        <w:pStyle w:val="52Aufzaehle1Ziffer"/>
      </w:pPr>
      <w:r>
        <w:tab/>
        <w:t>4.</w:t>
      </w:r>
      <w:r>
        <w:tab/>
        <w:t>l’impact négatif sur l’environnement des déchets et d’autres rejets inappropriés du produit en question.</w:t>
      </w:r>
    </w:p>
    <w:p w14:paraId="149CE868" w14:textId="77777777" w:rsidR="006F362E" w:rsidRPr="001D6C6C" w:rsidRDefault="00E133F7" w:rsidP="00605F73">
      <w:pPr>
        <w:pStyle w:val="58Schlussteile0Abs"/>
      </w:pPr>
      <w:r>
        <w:t>Les exigences pertinentes en matière de contenu du ministre fédéral de la protection du climat, de l’environnement, de l’énergie, de la mobilité, de l’innovation et de la technologie doivent être respectées.</w:t>
      </w:r>
    </w:p>
    <w:p w14:paraId="628C9D9E" w14:textId="77777777" w:rsidR="005B0145" w:rsidRPr="001D6C6C" w:rsidRDefault="005B0145" w:rsidP="00D72F48">
      <w:pPr>
        <w:pStyle w:val="41UeberschrG1"/>
      </w:pPr>
      <w:r>
        <w:lastRenderedPageBreak/>
        <w:t>4. Section</w:t>
      </w:r>
    </w:p>
    <w:p w14:paraId="4787AD4F" w14:textId="77777777" w:rsidR="001A6E8A" w:rsidRPr="001D6C6C" w:rsidRDefault="001A6E8A" w:rsidP="00B3762B">
      <w:pPr>
        <w:pStyle w:val="43UeberschrG2"/>
      </w:pPr>
      <w:r>
        <w:t>Financement et flux de trésorerie</w:t>
      </w:r>
    </w:p>
    <w:p w14:paraId="3B1093A7" w14:textId="77777777" w:rsidR="00272194" w:rsidRPr="001D6C6C" w:rsidRDefault="001A6E8A" w:rsidP="00BF6EDE">
      <w:pPr>
        <w:pStyle w:val="45UeberschrPara"/>
      </w:pPr>
      <w:r>
        <w:t>Contributions des producteurs et contributions compensatoires</w:t>
      </w:r>
    </w:p>
    <w:p w14:paraId="05FD5359" w14:textId="77777777" w:rsidR="00DE7A2F" w:rsidRPr="001D6C6C" w:rsidRDefault="00886063" w:rsidP="00BF6EDE">
      <w:pPr>
        <w:pStyle w:val="51Abs"/>
      </w:pPr>
      <w:r>
        <w:rPr>
          <w:rStyle w:val="991GldSymbol"/>
        </w:rPr>
        <w:t>Article 10.</w:t>
      </w:r>
      <w:r>
        <w:t xml:space="preserve"> (1) Afin d’accomplir les tâches de l’organisme central, une contribution du producteur est perçue pour chaque emballage de boissons à usage unique mis sur le marché par le distributeur initial conformément au paragraphe 4.</w:t>
      </w:r>
    </w:p>
    <w:p w14:paraId="62734377" w14:textId="77777777" w:rsidR="00817FD9" w:rsidRPr="001D6C6C" w:rsidRDefault="001A6E8A" w:rsidP="00BF6EDE">
      <w:pPr>
        <w:pStyle w:val="51Abs"/>
      </w:pPr>
      <w:r>
        <w:t>(2) Le montant de ces contributions des producteurs par matériau (plastique et métal) est déterminé et publié par l’organisme central régulièrement, au moins une fois par an. Le calcul permet une différenciation fondée sur l’utilisation d’un code-barres national ou international. En outre, une différenciation des contributions des producteurs est opérée en fonction de considérations écologiques.</w:t>
      </w:r>
    </w:p>
    <w:p w14:paraId="7AF006AA" w14:textId="77777777" w:rsidR="00547942" w:rsidRPr="001D6C6C" w:rsidRDefault="00901689" w:rsidP="00547942">
      <w:pPr>
        <w:pStyle w:val="51Abs"/>
      </w:pPr>
      <w:r>
        <w:t xml:space="preserve">(3) Lors du calcul des contributions du producteur par matériau d’emballage, il convient de tenir compte des recettes (en particulier les droits d’enregistrement, le produit matériel et la consigne impayée) et des dépenses (en particulier la compensation des frais de dossier, de collecte, de tri, de comptage et de transport, les frais d’administration, les frais de relations publiques et les coûts de prévention des déchets ou de nettoyage). Une contribution négative du producteur n’est pas autorisée. Lorsque les recettes et les dépenses d’un ou de plusieurs matériaux d’emballage permettent des contributions négatives des producteurs au cours d’une année donnée, une contribution du producteur d’au moins zéro euro est déterminée dans chaque cas et les fonds dépassant les dépenses sont utilisés pour améliorer le système global. </w:t>
      </w:r>
    </w:p>
    <w:p w14:paraId="653CB12D" w14:textId="77777777" w:rsidR="00547942" w:rsidRPr="001D6C6C" w:rsidRDefault="00547942" w:rsidP="00547942">
      <w:pPr>
        <w:pStyle w:val="51Abs"/>
      </w:pPr>
      <w:r>
        <w:t>(4) Les distributeurs de distributeurs automatiques et les professionnels qui livrent aux consommateurs finaux par l’intermédiaire de prestataires de services postaux, de colis ou d’autres services de transport de marchandises s’enregistrent auprès de l’organisme central et versent chacun la contribution compensatoire déterminée par l’organisme central conformément à l’article 5, paragraphes 5 et 7.</w:t>
      </w:r>
    </w:p>
    <w:p w14:paraId="6465EA48" w14:textId="77777777" w:rsidR="001A6E8A" w:rsidRPr="001D6C6C" w:rsidRDefault="0095006F" w:rsidP="001A6E8A">
      <w:pPr>
        <w:pStyle w:val="45UeberschrPara"/>
      </w:pPr>
      <w:r>
        <w:t>Produit matériel et consignes impayées</w:t>
      </w:r>
    </w:p>
    <w:p w14:paraId="34D9AB51" w14:textId="77777777" w:rsidR="001A6E8A" w:rsidRPr="001D6C6C" w:rsidRDefault="00AF4E5E" w:rsidP="00F37619">
      <w:pPr>
        <w:pStyle w:val="51Abs"/>
      </w:pPr>
      <w:r>
        <w:rPr>
          <w:rStyle w:val="991GldSymbol"/>
        </w:rPr>
        <w:t>Article 11.</w:t>
      </w:r>
      <w:r>
        <w:t xml:space="preserve"> Le produit matériel et la consigne impayée restent au service de l’organisme central et servent à financer leurs tâches.</w:t>
      </w:r>
    </w:p>
    <w:p w14:paraId="1D8E1021" w14:textId="77777777" w:rsidR="00013ADB" w:rsidRPr="001D6C6C" w:rsidRDefault="00235642" w:rsidP="00013ADB">
      <w:pPr>
        <w:pStyle w:val="45UeberschrPara"/>
      </w:pPr>
      <w:r>
        <w:t>Indemnités de frais pour le retour (frais de dossier)</w:t>
      </w:r>
    </w:p>
    <w:p w14:paraId="6E0D8353" w14:textId="77777777" w:rsidR="00013ADB" w:rsidRPr="001D6C6C" w:rsidRDefault="00013ADB" w:rsidP="00013ADB">
      <w:pPr>
        <w:pStyle w:val="51Abs"/>
      </w:pPr>
      <w:r>
        <w:rPr>
          <w:rStyle w:val="991GldSymbol"/>
        </w:rPr>
        <w:t>Article 12.</w:t>
      </w:r>
      <w:r>
        <w:t xml:space="preserve"> (1) Les frais de dossier servent de compensation pour la dépense moyenne encourue par une partie chargée du retour ou une partie chargée du retour volontaire conformément à l’article 21 pour reprendre les emballages de boissons à usage unique soumis à la consigne, y compris le stockage avant le retrait. Lors de la détermination des frais de dossier pour le retour des emballages de boissons à usage unique portant consigne conformément à l’article 4, les coûts de personnel requis, les frais d’entretien, les besoins en locaux et les amortissements sont pris en compte en particulier. Une distinction entre le montant des frais de dossier pour un retour avec un distributeur automatique et pour un retour manuel et par matériau (plastique et métal) est permise.</w:t>
      </w:r>
    </w:p>
    <w:p w14:paraId="1773EFFB" w14:textId="77777777" w:rsidR="00013ADB" w:rsidRPr="001D6C6C" w:rsidRDefault="00013ADB" w:rsidP="00013ADB">
      <w:pPr>
        <w:pStyle w:val="51Abs"/>
      </w:pPr>
      <w:r>
        <w:t>(2) L’organisme central doit déterminer et publier le montant d’une redevance de traitement en accord avec le ministre fédéral de la protection du climat, de l’environnement, de l’énergie, de la mobilité, de l’innovation et de la technologie. La base de chaque détermination est une enquête externe, commandée en collaboration avec le ministère fédéral de la protection du climat, de l’environnement, de l’énergie, de la mobilité, de l’innovation et de la technologie. Le montant des frais de dossier doit être évalué si des facteurs importants ont changé ou au moins tous les cinq ans.</w:t>
      </w:r>
    </w:p>
    <w:p w14:paraId="55CA2827" w14:textId="77777777" w:rsidR="00013ADB" w:rsidRPr="001D6C6C" w:rsidRDefault="00013ADB" w:rsidP="00013ADB">
      <w:pPr>
        <w:pStyle w:val="51Abs"/>
      </w:pPr>
      <w:r>
        <w:t>(3) L’organisme central paie au moins une fois par mois tous les preneurs enregistrés d’emballages de boissons à usage unique remboursés par consigne conformément à l’article 4, les frais de dossier auxquels ils ont droit au moins une fois par mois.</w:t>
      </w:r>
    </w:p>
    <w:p w14:paraId="4773544F" w14:textId="77777777" w:rsidR="00272194" w:rsidRPr="001D6C6C" w:rsidRDefault="00E60626" w:rsidP="00E60626">
      <w:pPr>
        <w:pStyle w:val="45UeberschrPara"/>
      </w:pPr>
      <w:r>
        <w:t xml:space="preserve">Recalcul de la consigne </w:t>
      </w:r>
    </w:p>
    <w:p w14:paraId="2E762302" w14:textId="77777777" w:rsidR="00D906B7" w:rsidRPr="001D6C6C" w:rsidRDefault="00D906B7" w:rsidP="00D906B7">
      <w:pPr>
        <w:pStyle w:val="51Abs"/>
      </w:pPr>
      <w:r>
        <w:rPr>
          <w:rStyle w:val="991GldSymbol"/>
        </w:rPr>
        <w:t>Article 13.</w:t>
      </w:r>
      <w:r>
        <w:t xml:space="preserve"> L’organisme central rembourse tous les retours obligatoires enregistrés et les retours volontaires enregistrés d’emballages de boissons à usage unique remboursés par consigne conformément à l’article 4 pour les montants de consigne qu’ils ont versés au moins une fois par mois. Lors du calcul des montants de la consigne, les données des distributeurs automatiques inversés ou les données obtenues à partir d’un point de comptage sont utilisées.</w:t>
      </w:r>
    </w:p>
    <w:p w14:paraId="0529C212" w14:textId="77777777" w:rsidR="002D5F78" w:rsidRPr="001D6C6C" w:rsidRDefault="002D5F78" w:rsidP="002D5F78">
      <w:pPr>
        <w:pStyle w:val="45UeberschrPara"/>
      </w:pPr>
      <w:r>
        <w:t>Prévention</w:t>
      </w:r>
    </w:p>
    <w:p w14:paraId="2E06E4D0" w14:textId="77777777" w:rsidR="00CF32B4" w:rsidRPr="001D6C6C" w:rsidRDefault="00CF32B4" w:rsidP="00CF32B4">
      <w:pPr>
        <w:pStyle w:val="51Abs"/>
      </w:pPr>
      <w:r>
        <w:rPr>
          <w:rStyle w:val="991GldSymbol"/>
        </w:rPr>
        <w:t>Article 14.</w:t>
      </w:r>
      <w:r>
        <w:t xml:space="preserve"> L’organisme central fournit au ministre fédéral de la protection du climat, de l’environnement, de l’énergie, de la mobilité, de l’innovation et de la technologie une liste des projets de prévention des déchets financés (article 29, paragraphe 4 bis de la LGD 2002), y compris une description </w:t>
      </w:r>
      <w:r>
        <w:lastRenderedPageBreak/>
        <w:t>dans le cadre de son rapport d’activité (article 14 quater LGD 2002). L’organisme central peut faire appel à un tiers pour la gestion des projets de prévention des déchets.</w:t>
      </w:r>
    </w:p>
    <w:p w14:paraId="5984C2D9" w14:textId="77777777" w:rsidR="00415F33" w:rsidRPr="001D6C6C" w:rsidRDefault="00415F33" w:rsidP="00D72F48">
      <w:pPr>
        <w:pStyle w:val="41UeberschrG1"/>
      </w:pPr>
      <w:r>
        <w:t>5. Section</w:t>
      </w:r>
    </w:p>
    <w:p w14:paraId="5533DD04" w14:textId="77777777" w:rsidR="00272194" w:rsidRPr="001D6C6C" w:rsidRDefault="00AF4E5E" w:rsidP="00B3762B">
      <w:pPr>
        <w:pStyle w:val="43UeberschrG2"/>
      </w:pPr>
      <w:r>
        <w:t>Flux de matières</w:t>
      </w:r>
    </w:p>
    <w:p w14:paraId="41B2C8A8" w14:textId="77777777" w:rsidR="004D1C2C" w:rsidRPr="001D6C6C" w:rsidRDefault="00BA23F6" w:rsidP="004D1C2C">
      <w:pPr>
        <w:pStyle w:val="45UeberschrPara"/>
      </w:pPr>
      <w:r>
        <w:t>Propriété des biens collectés</w:t>
      </w:r>
    </w:p>
    <w:p w14:paraId="02C8A595" w14:textId="77777777" w:rsidR="004D1C2C" w:rsidRPr="001D6C6C" w:rsidRDefault="004D1C2C" w:rsidP="004D1C2C">
      <w:pPr>
        <w:pStyle w:val="51Abs"/>
      </w:pPr>
      <w:r>
        <w:rPr>
          <w:rStyle w:val="991GldSymbol"/>
        </w:rPr>
        <w:t>Article 15.</w:t>
      </w:r>
      <w:r>
        <w:t xml:space="preserve"> L’organisme central est propriétaire de tous les emballages de boissons à usage unique pour lesquels une consigne a été payée manuellement et qui ont été repris par des distributeurs automatiques inversés ou manuellement conformément au paragraphe 4.</w:t>
      </w:r>
    </w:p>
    <w:p w14:paraId="668502B8" w14:textId="77777777" w:rsidR="004F0193" w:rsidRPr="001D6C6C" w:rsidRDefault="004F0193" w:rsidP="00A66477">
      <w:pPr>
        <w:pStyle w:val="45UeberschrPara"/>
      </w:pPr>
      <w:r>
        <w:t>Taux de collecte</w:t>
      </w:r>
    </w:p>
    <w:p w14:paraId="17C63287" w14:textId="77777777" w:rsidR="004F0193" w:rsidRPr="001D6C6C" w:rsidRDefault="00CF32B4" w:rsidP="0029685A">
      <w:pPr>
        <w:pStyle w:val="51Abs"/>
      </w:pPr>
      <w:r>
        <w:rPr>
          <w:rStyle w:val="991GldSymbol"/>
        </w:rPr>
        <w:t>Article 16.</w:t>
      </w:r>
      <w:r>
        <w:t xml:space="preserve"> L’organisme central doit veiller à ce que, pour chaque matériau d’emballage,</w:t>
      </w:r>
    </w:p>
    <w:p w14:paraId="298D1BD1" w14:textId="77777777" w:rsidR="004F0193" w:rsidRPr="001D6C6C" w:rsidRDefault="004F0193" w:rsidP="00DE7A2F">
      <w:pPr>
        <w:pStyle w:val="52Aufzaehle1Ziffer"/>
      </w:pPr>
      <w:r>
        <w:tab/>
        <w:t>1.</w:t>
      </w:r>
      <w:r>
        <w:tab/>
        <w:t>à partir de 2025, au moins 80 % en poids des déchets d’emballages de boissons à usage unique soumis à consigne,</w:t>
      </w:r>
    </w:p>
    <w:p w14:paraId="2570F24D" w14:textId="77777777" w:rsidR="00DE7A2F" w:rsidRPr="001D6C6C" w:rsidRDefault="00D56BE2" w:rsidP="00DE7A2F">
      <w:pPr>
        <w:pStyle w:val="52Aufzaehle1Ziffer"/>
      </w:pPr>
      <w:r>
        <w:tab/>
        <w:t>2.</w:t>
      </w:r>
      <w:r>
        <w:tab/>
        <w:t>à partir de 2027, au moins 90 % en poids des déchets d’emballages de boissons à usage unique soumis à consigne</w:t>
      </w:r>
    </w:p>
    <w:p w14:paraId="790C317C" w14:textId="77777777" w:rsidR="004F0193" w:rsidRPr="001D6C6C" w:rsidRDefault="004D1C2C" w:rsidP="00D56BE2">
      <w:pPr>
        <w:pStyle w:val="58Schlussteile0Abs"/>
      </w:pPr>
      <w:r>
        <w:t>soient collectés séparément.</w:t>
      </w:r>
    </w:p>
    <w:p w14:paraId="63D3671E" w14:textId="77777777" w:rsidR="004A210C" w:rsidRPr="001D6C6C" w:rsidRDefault="004A210C" w:rsidP="004A210C">
      <w:pPr>
        <w:pStyle w:val="45UeberschrPara"/>
      </w:pPr>
      <w:r>
        <w:t>Collecte auprès des collecteurs de retour</w:t>
      </w:r>
    </w:p>
    <w:p w14:paraId="4027DA84" w14:textId="77777777" w:rsidR="00433C23" w:rsidRPr="001D6C6C" w:rsidRDefault="004A210C" w:rsidP="008B286B">
      <w:pPr>
        <w:pStyle w:val="51Abs"/>
      </w:pPr>
      <w:r>
        <w:rPr>
          <w:rStyle w:val="991GldSymbol"/>
        </w:rPr>
        <w:t>Article 17.</w:t>
      </w:r>
      <w:r>
        <w:t xml:space="preserve"> (1) L’organisme central collecte ou prend les dispositions nécessaires pour la collecte de l’emballage de boissons à usage unique portant consigne repris par les </w:t>
      </w:r>
      <w:proofErr w:type="spellStart"/>
      <w:r>
        <w:t>racheteurs</w:t>
      </w:r>
      <w:proofErr w:type="spellEnd"/>
      <w:r>
        <w:t xml:space="preserve"> enregistrés conformément à l’article 5 à intervalles appropriés. Lors de la détermination des intervalles et des modalités de collecte, il faut tenir compte de la praticabilité pour les collecteurs, du rapport coût-efficacité de l’ensemble du système et de la réalisation assurée des objectifs de collecte.</w:t>
      </w:r>
    </w:p>
    <w:p w14:paraId="53F6D404" w14:textId="77777777" w:rsidR="008B286B" w:rsidRPr="001D6C6C" w:rsidRDefault="008B286B" w:rsidP="008B286B">
      <w:pPr>
        <w:pStyle w:val="51Abs"/>
      </w:pPr>
      <w:r>
        <w:t xml:space="preserve">(2) La collecte des emballages de boissons à usage unique </w:t>
      </w:r>
      <w:proofErr w:type="spellStart"/>
      <w:r>
        <w:t>consignenés</w:t>
      </w:r>
      <w:proofErr w:type="spellEnd"/>
      <w:r>
        <w:t xml:space="preserve"> doit être mise en adjudication par l’organisme central selon la base régionale et factuelle.</w:t>
      </w:r>
    </w:p>
    <w:p w14:paraId="3F308408" w14:textId="77777777" w:rsidR="00A25C65" w:rsidRPr="001D6C6C" w:rsidRDefault="008B286B" w:rsidP="00A25C65">
      <w:pPr>
        <w:pStyle w:val="51Abs"/>
      </w:pPr>
      <w:r>
        <w:t>(3) Par dérogation à l’article 8, paragraphe 2, l’organisme central peut prendre des dispositions pour que la collecte des emballages de boissons à usage unique retournés avec de la consigne soit effectuée par la logistique de livraison existante, par exemple par les chaînes de supermarchés ou les grossistes, sans mise en adjudication, à condition que cette collecte soit globalement plus efficace et nécessaire pour des raisons de protection de l’environnement.</w:t>
      </w:r>
    </w:p>
    <w:p w14:paraId="4345F3EF" w14:textId="77777777" w:rsidR="004A210C" w:rsidRPr="001D6C6C" w:rsidRDefault="004A210C" w:rsidP="00433C23">
      <w:pPr>
        <w:pStyle w:val="45UeberschrPara"/>
      </w:pPr>
      <w:r>
        <w:t>Points de comptage</w:t>
      </w:r>
    </w:p>
    <w:p w14:paraId="6DABE72C" w14:textId="77777777" w:rsidR="004A210C" w:rsidRPr="001D6C6C" w:rsidRDefault="004A210C" w:rsidP="004A210C">
      <w:pPr>
        <w:pStyle w:val="51Abs"/>
      </w:pPr>
      <w:r>
        <w:rPr>
          <w:rStyle w:val="991GldSymbol"/>
        </w:rPr>
        <w:t>Article 18.</w:t>
      </w:r>
      <w:r>
        <w:t xml:space="preserve"> L’organisme central met en place et exploite des points de comptage. Ces points de comptage sont utilisés pour enregistrer les emballages de boissons à usage unique retournés manuellement.</w:t>
      </w:r>
    </w:p>
    <w:p w14:paraId="76D06A88" w14:textId="77777777" w:rsidR="00D45E62" w:rsidRPr="001D6C6C" w:rsidRDefault="00415F33" w:rsidP="004A210C">
      <w:pPr>
        <w:pStyle w:val="45UeberschrPara"/>
      </w:pPr>
      <w:r>
        <w:t>Droit de préemption</w:t>
      </w:r>
    </w:p>
    <w:p w14:paraId="3493E4CF" w14:textId="77777777" w:rsidR="00DD02B8" w:rsidRPr="001D6C6C" w:rsidRDefault="004A210C" w:rsidP="00ED64E9">
      <w:pPr>
        <w:pStyle w:val="51Abs"/>
      </w:pPr>
      <w:r>
        <w:rPr>
          <w:rStyle w:val="991GldSymbol"/>
        </w:rPr>
        <w:t>Article 19.</w:t>
      </w:r>
      <w:r>
        <w:t xml:space="preserve"> L’organisme central propose à chaque premier distributeur, au prorata, l’emballage de boissons à usage unique trié par matériau et couleur pour achat aux prix du marché. Les prix respectifs doivent être publiés. La proportion est déterminée à partir de l’emballage de boisson à usage unique collecté mis en circulation par le premier distributeur respectif. Le droit de préemption est limité à 90 % des emballages de boissons à usage unique triés.</w:t>
      </w:r>
    </w:p>
    <w:p w14:paraId="28BDA75A" w14:textId="77777777" w:rsidR="0029685A" w:rsidRPr="001D6C6C" w:rsidRDefault="0029685A" w:rsidP="0029685A">
      <w:pPr>
        <w:pStyle w:val="45UeberschrPara"/>
      </w:pPr>
      <w:r>
        <w:t>Recyclage</w:t>
      </w:r>
    </w:p>
    <w:p w14:paraId="0EC9EC7C" w14:textId="77777777" w:rsidR="00AF4E5E" w:rsidRPr="001D6C6C" w:rsidRDefault="0029685A" w:rsidP="005470FB">
      <w:pPr>
        <w:pStyle w:val="51Abs"/>
      </w:pPr>
      <w:r>
        <w:rPr>
          <w:rStyle w:val="991GldSymbol"/>
        </w:rPr>
        <w:t>Article 20.</w:t>
      </w:r>
      <w:r>
        <w:t xml:space="preserve"> Les distributeurs initiaux et l’organisme central livrent les masses respectives d’emballages de boissons à usage unique en plastique ou en métal à une installation de recyclage et les recyclent autant que possible conformément à l’état de la technique. </w:t>
      </w:r>
    </w:p>
    <w:p w14:paraId="7381FAC7" w14:textId="77777777" w:rsidR="00415F33" w:rsidRPr="001D6C6C" w:rsidRDefault="00415F33" w:rsidP="00D72F48">
      <w:pPr>
        <w:pStyle w:val="41UeberschrG1"/>
      </w:pPr>
      <w:r>
        <w:t>6. Section</w:t>
      </w:r>
    </w:p>
    <w:p w14:paraId="5C7EAB2A" w14:textId="77777777" w:rsidR="00AF4E5E" w:rsidRPr="001D6C6C" w:rsidRDefault="00415F33" w:rsidP="00415F33">
      <w:pPr>
        <w:pStyle w:val="43UeberschrG2"/>
      </w:pPr>
      <w:r>
        <w:t>Gestion des données</w:t>
      </w:r>
    </w:p>
    <w:p w14:paraId="0279424D" w14:textId="77777777" w:rsidR="00AF4E5E" w:rsidRPr="001D6C6C" w:rsidRDefault="009238B5" w:rsidP="00AF4E5E">
      <w:pPr>
        <w:pStyle w:val="45UeberschrPara"/>
      </w:pPr>
      <w:r>
        <w:t>Registre</w:t>
      </w:r>
    </w:p>
    <w:p w14:paraId="00F147DD" w14:textId="77777777" w:rsidR="002566A1" w:rsidRPr="001D6C6C" w:rsidRDefault="00043F85" w:rsidP="00D906B7">
      <w:pPr>
        <w:pStyle w:val="51Abs"/>
      </w:pPr>
      <w:r>
        <w:rPr>
          <w:rStyle w:val="991GldSymbol"/>
        </w:rPr>
        <w:t>Article 21.</w:t>
      </w:r>
      <w:r>
        <w:t xml:space="preserve"> (1) L’organisme central établit et tient à jour un registre des données requises pour ses tâches des distributeurs initiaux, des collecteurs de retours, des distributeurs conformément à l’article 5, paragraphes 5 et 7, des points de comptage et des types de récipients. Il peut faire appel à un tiers indépendant à cette fin.</w:t>
      </w:r>
    </w:p>
    <w:p w14:paraId="435E8C21" w14:textId="77777777" w:rsidR="00810EAB" w:rsidRPr="001D6C6C" w:rsidRDefault="00810EAB" w:rsidP="00810EAB">
      <w:pPr>
        <w:pStyle w:val="51Abs"/>
      </w:pPr>
      <w:r>
        <w:t>(2) Dans ce registre</w:t>
      </w:r>
    </w:p>
    <w:p w14:paraId="1D32AA39" w14:textId="77777777" w:rsidR="00810EAB" w:rsidRPr="001D6C6C" w:rsidRDefault="002307EB" w:rsidP="00810EAB">
      <w:pPr>
        <w:pStyle w:val="52Aufzaehle1Ziffer"/>
      </w:pPr>
      <w:r>
        <w:lastRenderedPageBreak/>
        <w:tab/>
        <w:t>1.</w:t>
      </w:r>
      <w:r>
        <w:tab/>
        <w:t>les distributeurs initiaux,</w:t>
      </w:r>
    </w:p>
    <w:p w14:paraId="3BB90414" w14:textId="77777777" w:rsidR="00810EAB" w:rsidRPr="001D6C6C" w:rsidRDefault="00810EAB" w:rsidP="00810EAB">
      <w:pPr>
        <w:pStyle w:val="52Aufzaehle1Ziffer"/>
      </w:pPr>
      <w:r>
        <w:tab/>
        <w:t>2.</w:t>
      </w:r>
      <w:r>
        <w:tab/>
        <w:t>les parties obligées d’accepter les retours qui souhaitent bénéficier d’un recalcul de consigne,</w:t>
      </w:r>
    </w:p>
    <w:p w14:paraId="43DE5605" w14:textId="77777777" w:rsidR="00810EAB" w:rsidRPr="001D6C6C" w:rsidRDefault="00810EAB" w:rsidP="00810EAB">
      <w:pPr>
        <w:pStyle w:val="52Aufzaehle1Ziffer"/>
      </w:pPr>
      <w:r>
        <w:tab/>
        <w:t>3.</w:t>
      </w:r>
      <w:r>
        <w:tab/>
        <w:t>les récipiendaires volontaires qui souhaitent bénéficier d’un recalcul de consigne, et</w:t>
      </w:r>
    </w:p>
    <w:p w14:paraId="4396E717" w14:textId="77777777" w:rsidR="00810EAB" w:rsidRPr="001D6C6C" w:rsidRDefault="00810EAB" w:rsidP="00810EAB">
      <w:pPr>
        <w:pStyle w:val="52Aufzaehle1Ziffer"/>
      </w:pPr>
      <w:r>
        <w:tab/>
        <w:t>4.</w:t>
      </w:r>
      <w:r>
        <w:tab/>
        <w:t>les distributeurs conformément à l’article 5, paragraphes 5 et 7</w:t>
      </w:r>
    </w:p>
    <w:p w14:paraId="0F2C3F11" w14:textId="77777777" w:rsidR="00810EAB" w:rsidRPr="001D6C6C" w:rsidRDefault="00810EAB" w:rsidP="00810EAB">
      <w:pPr>
        <w:pStyle w:val="58Schlussteile0Abs"/>
      </w:pPr>
      <w:r>
        <w:t>doivent s’inscrire avec leurs données de base et de les tenir à jour.</w:t>
      </w:r>
    </w:p>
    <w:p w14:paraId="2F7C1D42" w14:textId="77777777" w:rsidR="00622BFB" w:rsidRPr="001D6C6C" w:rsidRDefault="009238B5" w:rsidP="00D906B7">
      <w:pPr>
        <w:pStyle w:val="51Abs"/>
      </w:pPr>
      <w:r>
        <w:t>(3) L’organisme central peut fixer des frais d’enregistrement ponctuels pour l’enregistrement des distributeurs initiaux. Aucun coût ne peut être facturé pour l’enregistrement des collecteurs de retour, des collecteurs de retour volontaires et des distributeurs conformément à l’article 5, paragraphes 5 et 7.</w:t>
      </w:r>
    </w:p>
    <w:p w14:paraId="477B3BA7" w14:textId="77777777" w:rsidR="00AF4E5E" w:rsidRPr="001D6C6C" w:rsidRDefault="00AF4E5E" w:rsidP="00AF4E5E">
      <w:pPr>
        <w:pStyle w:val="45UeberschrPara"/>
      </w:pPr>
      <w:r>
        <w:t>Enregistrement des types de récipients</w:t>
      </w:r>
    </w:p>
    <w:p w14:paraId="5DAC44DE" w14:textId="77777777" w:rsidR="00CA1DCA" w:rsidRPr="001D6C6C" w:rsidRDefault="00043F85" w:rsidP="00043F85">
      <w:pPr>
        <w:pStyle w:val="51Abs"/>
      </w:pPr>
      <w:r>
        <w:rPr>
          <w:rStyle w:val="991GldSymbol"/>
        </w:rPr>
        <w:t>Article 22.</w:t>
      </w:r>
      <w:r>
        <w:t xml:space="preserve"> (1) Les distributeurs initiaux doivent enregistrer les emballages de boissons à usage unique qu’ils utilisent avec une consigne par type de récipient auprès de l’organisme central. Le matériau (récipient, couvercle, étiquette), les dimensions, le volume de remplissage, le poids, l’épaisseur et la couleur du matériau doivent être spécifiés. En outre, un échantillon d’emballages de boissons à usage unique, y compris un code à barres, doit être soumis à l’organisme central ou à un tiers désigné par celui-ci.</w:t>
      </w:r>
    </w:p>
    <w:p w14:paraId="34DAD244" w14:textId="77777777" w:rsidR="002566A1" w:rsidRPr="001D6C6C" w:rsidRDefault="00043F85" w:rsidP="00043F85">
      <w:pPr>
        <w:pStyle w:val="51Abs"/>
      </w:pPr>
      <w:r>
        <w:t>(2) L’organisme central inclut chaque type de récipient qui satisfait aux exigences techniques du registre des données conformément à l’article 21 et fournit les données requises aux fabricants de distributeurs automatiques inversés aux fins de l’adaptation des distributeurs automatiques inversés.</w:t>
      </w:r>
    </w:p>
    <w:p w14:paraId="49C13778" w14:textId="77777777" w:rsidR="00043F85" w:rsidRPr="001D6C6C" w:rsidRDefault="00043F85" w:rsidP="00043F85">
      <w:pPr>
        <w:pStyle w:val="51Abs"/>
      </w:pPr>
      <w:r>
        <w:t>(3) L’organisme central perçoit une redevance d’enregistrement unique par type de récipient pour couvrir les frais d’immatriculation, de contrôle technique et de réglage des distributeurs automatiques inversés.</w:t>
      </w:r>
    </w:p>
    <w:p w14:paraId="1479DC59" w14:textId="77777777" w:rsidR="002467E6" w:rsidRPr="001D6C6C" w:rsidRDefault="002467E6" w:rsidP="002467E6">
      <w:pPr>
        <w:pStyle w:val="45UeberschrPara"/>
      </w:pPr>
      <w:r>
        <w:t>Notifications à l’organisme central</w:t>
      </w:r>
    </w:p>
    <w:p w14:paraId="22070F6F" w14:textId="77777777" w:rsidR="002467E6" w:rsidRPr="001D6C6C" w:rsidRDefault="00E129EF" w:rsidP="00E129EF">
      <w:pPr>
        <w:pStyle w:val="51Abs"/>
      </w:pPr>
      <w:r>
        <w:rPr>
          <w:rStyle w:val="991GldSymbol"/>
        </w:rPr>
        <w:t>Article 23.</w:t>
      </w:r>
      <w:r>
        <w:t xml:space="preserve"> (1) Les distributeurs initiaux sont tenus de déclarer la masse et le nombre d’emballages de boissons à usage unique mis sur le marché avec une consigne par type de récipient ou par code-barres à l’organisme central via le registre, conformément à l’article 21.</w:t>
      </w:r>
    </w:p>
    <w:p w14:paraId="03E7EBA5" w14:textId="77777777" w:rsidR="00622BFB" w:rsidRPr="001D6C6C" w:rsidRDefault="00A66477" w:rsidP="001C13E1">
      <w:pPr>
        <w:pStyle w:val="51Abs"/>
      </w:pPr>
      <w:r>
        <w:t>(2) Les collecteurs de retour conformément à l’article 5 qui utilisent des distributeurs automatiques inversés déclarent le nombre par code-barres d’emballages de boissons à usage unique récupérés à l’organisme central via le registre, conformément à l’article 21. Dans le cas d’un remboursement manuel, l’exploitant du point de comptage communique ces données, ventilées par chaque récipiendaire, à l’organisme central par l’intermédiaire du registre conformément à l’article 21.</w:t>
      </w:r>
    </w:p>
    <w:p w14:paraId="7347D601" w14:textId="77777777" w:rsidR="00303D17" w:rsidRPr="001D6C6C" w:rsidRDefault="00325D7D" w:rsidP="005E1053">
      <w:pPr>
        <w:pStyle w:val="51Abs"/>
      </w:pPr>
      <w:r>
        <w:t>(3) Les distributeurs initiaux fournissent à l’organisme central, au plus tard le 10 mars de l’année suivante, pour les masses par emballage repris en droit de préemption et remis au recycleur respectif, le nom et l’adresse de l’installation de recyclage et les masses recyclées respectives par matériau d’emballage, en tenant compte de la décision 2005/270/CE établissant les tableaux correspondant au système de bases de données conformément à la directive 94/62/CE du Parlement européen et du Conseil relative aux emballages et aux déchets d’emballages, JO L 86 du 5.4.2005, p. 6, tel que modifié par la décision d’exécution (UE) 2019/665 modifiant la décision 2005/270/CE, JO L 112 du 26.4.2019, p. 26.</w:t>
      </w:r>
    </w:p>
    <w:p w14:paraId="25E9E5FE" w14:textId="77777777" w:rsidR="0054768A" w:rsidRPr="001D6C6C" w:rsidRDefault="0054768A" w:rsidP="0054768A">
      <w:pPr>
        <w:pStyle w:val="51Abs"/>
      </w:pPr>
      <w:r>
        <w:t xml:space="preserve">(4) Les distributeurs initiaux sont tenus de déclarer à l’organisme central pour chaque année civile, au plus tard le 15 mars de l’année suivante, la masse du </w:t>
      </w:r>
      <w:proofErr w:type="spellStart"/>
      <w:r>
        <w:t>recyclat</w:t>
      </w:r>
      <w:proofErr w:type="spellEnd"/>
      <w:r>
        <w:t xml:space="preserve"> utilisé par l’intermédiaire du registre conformément à l’article 21 — en ce qui concerne:</w:t>
      </w:r>
    </w:p>
    <w:p w14:paraId="1928FE0B" w14:textId="77777777" w:rsidR="0054768A" w:rsidRPr="001D6C6C" w:rsidRDefault="0054768A" w:rsidP="0054768A">
      <w:pPr>
        <w:pStyle w:val="52Aufzaehle1Ziffer"/>
      </w:pPr>
      <w:r>
        <w:tab/>
        <w:t>1.</w:t>
      </w:r>
      <w:r>
        <w:tab/>
        <w:t xml:space="preserve">les bouteilles de boissons principalement en </w:t>
      </w:r>
      <w:proofErr w:type="spellStart"/>
      <w:r>
        <w:t>polytéréphtalate</w:t>
      </w:r>
      <w:proofErr w:type="spellEnd"/>
      <w:r>
        <w:t xml:space="preserve"> d’éthylène («bouteilles PET») qu’ils ont mis sur le marché au cours de l’année civile précédente — à déclarer pour la première fois au cours de l’année civile 2025;</w:t>
      </w:r>
    </w:p>
    <w:p w14:paraId="54A6AB62" w14:textId="77777777" w:rsidR="0054768A" w:rsidRPr="001D6C6C" w:rsidRDefault="0054768A" w:rsidP="00FD5D41">
      <w:pPr>
        <w:pStyle w:val="52Aufzaehle1Ziffer"/>
      </w:pPr>
      <w:r>
        <w:tab/>
        <w:t>2.</w:t>
      </w:r>
      <w:r>
        <w:tab/>
        <w:t>les bouteilles en plastique à usage unique qu’ils mettent sur le marché — à signaler pour la première fois pour l’année civile 2028.</w:t>
      </w:r>
    </w:p>
    <w:p w14:paraId="1909C212" w14:textId="77777777" w:rsidR="00325D7D" w:rsidRPr="001D6C6C" w:rsidRDefault="00325D7D" w:rsidP="00325D7D">
      <w:pPr>
        <w:pStyle w:val="45UeberschrPara"/>
      </w:pPr>
      <w:r>
        <w:t>Obligations déclaratives de l’organisme central</w:t>
      </w:r>
    </w:p>
    <w:p w14:paraId="2666DC7F" w14:textId="77777777" w:rsidR="009454B6" w:rsidRPr="001D6C6C" w:rsidRDefault="00325D7D" w:rsidP="001A5C0F">
      <w:pPr>
        <w:pStyle w:val="51Abs"/>
      </w:pPr>
      <w:r>
        <w:rPr>
          <w:rStyle w:val="991GldSymbol"/>
        </w:rPr>
        <w:t>Article 24.</w:t>
      </w:r>
      <w:r>
        <w:t xml:space="preserve"> (1) Chaque année, au plus tard le 10 avril de l’année suivante, l’organisme central communique les données suivantes par voie électronique au ministre fédéral de la protection du climat, de l’environnement, de l’énergie, de la mobilité, de l’innovation et de la technologie via le registre conformément à l’article 22 de la LGD 2002:</w:t>
      </w:r>
    </w:p>
    <w:p w14:paraId="5325B134" w14:textId="77777777" w:rsidR="001C13E1" w:rsidRPr="001D6C6C" w:rsidRDefault="00325D7D" w:rsidP="00325D7D">
      <w:pPr>
        <w:pStyle w:val="52Aufzaehle1Ziffer"/>
      </w:pPr>
      <w:r>
        <w:tab/>
        <w:t>1.</w:t>
      </w:r>
      <w:r>
        <w:tab/>
        <w:t>la masse et le nombre d’emballages de boissons à usage unique faisant l’objet d’une consigne mis sur le marché par les distributeurs initiaux en Autriche, ventilés par matériau d’emballage et, en outre, par le PET et autres récipients en plastique;</w:t>
      </w:r>
    </w:p>
    <w:p w14:paraId="680BF327" w14:textId="77777777" w:rsidR="001C13E1" w:rsidRPr="001D6C6C" w:rsidRDefault="00325D7D" w:rsidP="00325D7D">
      <w:pPr>
        <w:pStyle w:val="52Aufzaehle1Ziffer"/>
      </w:pPr>
      <w:r>
        <w:tab/>
        <w:t>2.</w:t>
      </w:r>
      <w:r>
        <w:tab/>
        <w:t>la masse et le nombre d’emballages de boissons à usage unique avec une consigne par type de récipient, ventilés par matériau d’emballage et, en outre, par le PET et autres récipients en plastique;</w:t>
      </w:r>
    </w:p>
    <w:p w14:paraId="2D7C0226" w14:textId="77777777" w:rsidR="006A4F52" w:rsidRPr="001D6C6C" w:rsidRDefault="00325D7D" w:rsidP="00325D7D">
      <w:pPr>
        <w:pStyle w:val="52Aufzaehle1Ziffer"/>
      </w:pPr>
      <w:r>
        <w:lastRenderedPageBreak/>
        <w:tab/>
        <w:t>3.</w:t>
      </w:r>
      <w:r>
        <w:tab/>
        <w:t>les données agrégées des masses recyclées déclarées par les distributeurs initiaux conformément à l’article 23, paragraphe 3;</w:t>
      </w:r>
    </w:p>
    <w:p w14:paraId="096B43A0" w14:textId="77777777" w:rsidR="006A4F52" w:rsidRPr="001D6C6C" w:rsidRDefault="006A4F52" w:rsidP="006A4F52">
      <w:pPr>
        <w:pStyle w:val="52Aufzaehle1Ziffer"/>
      </w:pPr>
      <w:r>
        <w:tab/>
        <w:t>4.</w:t>
      </w:r>
      <w:r>
        <w:tab/>
        <w:t>les masses remises par l’organisme central pour chaque entreprise de recyclage et matériel d’emballage, le nom et l’adresse de l’usine de recyclage et les masses recyclées respectives pour chaque matériau d’emballage et</w:t>
      </w:r>
    </w:p>
    <w:p w14:paraId="730E001A" w14:textId="77777777" w:rsidR="00FD5D41" w:rsidRPr="001D6C6C" w:rsidRDefault="009478EF" w:rsidP="00FD5D41">
      <w:pPr>
        <w:pStyle w:val="52Aufzaehle1Ziffer"/>
      </w:pPr>
      <w:r>
        <w:tab/>
        <w:t>5.</w:t>
      </w:r>
      <w:r>
        <w:tab/>
        <w:t>les données de l’année civile précédente communiquées conformément à l’article 23, paragraphe 4.</w:t>
      </w:r>
    </w:p>
    <w:p w14:paraId="7B26E160" w14:textId="77777777" w:rsidR="009454B6" w:rsidRPr="001D6C6C" w:rsidRDefault="009454B6" w:rsidP="009454B6">
      <w:pPr>
        <w:pStyle w:val="58Schlussteile0Abs"/>
      </w:pPr>
      <w:r>
        <w:t>Les documents et calculs correspondants relatifs à ces notifications sont conservés pendant sept ans et sont soumis sur demande au ministre fédéral de la protection du climat, de l’environnement, de l’énergie, de la mobilité, de l’innovation et de la technologie aux fins de surveillance.</w:t>
      </w:r>
    </w:p>
    <w:p w14:paraId="1DA10A80" w14:textId="77777777" w:rsidR="009454B6" w:rsidRPr="001D6C6C" w:rsidRDefault="009454B6" w:rsidP="00287D0D">
      <w:pPr>
        <w:pStyle w:val="51Abs"/>
      </w:pPr>
      <w:r>
        <w:t>(2) En outre, le ministre fédéral de la protection du climat, de l’environnement, de l’énergie, de la mobilité, de l’innovation et de la technologie doit recevoir régulièrement des évaluations agrégées à partir des données de l’organisme central.</w:t>
      </w:r>
    </w:p>
    <w:p w14:paraId="461C9642" w14:textId="77777777" w:rsidR="009454B6" w:rsidRPr="001D6C6C" w:rsidRDefault="001C13E1" w:rsidP="002F7F55">
      <w:pPr>
        <w:pStyle w:val="51Abs"/>
      </w:pPr>
      <w:r>
        <w:t>(3) Les secrets d’affaires et commerciaux doivent être protégés lors de la transmission des données. En particulier, les données ne peuvent être transmises à des tiers que sous forme agrégée, anonymisée et non traçable.</w:t>
      </w:r>
    </w:p>
    <w:p w14:paraId="51BD3FF0" w14:textId="77777777" w:rsidR="002F7F55" w:rsidRPr="001D6C6C" w:rsidRDefault="002F7F55" w:rsidP="002F7F55">
      <w:pPr>
        <w:pStyle w:val="51Abs"/>
      </w:pPr>
      <w:r>
        <w:t>(4) Les données visées au paragraphe 1 sont collectées en tenant compte:</w:t>
      </w:r>
    </w:p>
    <w:p w14:paraId="644AAB7C" w14:textId="77777777" w:rsidR="002F7F55" w:rsidRPr="001D6C6C" w:rsidRDefault="002F7F55" w:rsidP="002F7F55">
      <w:pPr>
        <w:pStyle w:val="52Aufzaehle1Ziffer"/>
      </w:pPr>
      <w:r>
        <w:tab/>
        <w:t>1.</w:t>
      </w:r>
      <w:r>
        <w:tab/>
        <w:t>de la décision 2005/270/CE établissant les tableaux correspondant aux système de bases de données conformément à la directive 94/62/CE relative aux emballages et aux déchets d’emballages, JO L 86 du 5.4.2005, p. 6, modifiée par la décision d’exécution (UE) 2019/665 modifiant la décision 2005/270/CE, JO nº L 112 du 26.4.2019, p. 26,</w:t>
      </w:r>
    </w:p>
    <w:p w14:paraId="1442E9D6" w14:textId="052DF0C5" w:rsidR="002F7F55" w:rsidRPr="001D6C6C" w:rsidRDefault="002F7F55" w:rsidP="00FB180A">
      <w:pPr>
        <w:pStyle w:val="52Aufzaehle1Ziffer"/>
      </w:pPr>
      <w:r>
        <w:tab/>
        <w:t>2.</w:t>
      </w:r>
      <w:r>
        <w:tab/>
        <w:t>de la décision d’exécution (UE) 2021/1752 portant modalités d’application de la directive (UE) 2019/904 en ce qui concerne le calcul, la vérification et la communication des données relatives à la collecte séparée des déchets de bouteilles pour boissons en plastique à usage unique (JO L 349 du 4.10.2021, p. 19).</w:t>
      </w:r>
    </w:p>
    <w:p w14:paraId="6611809F" w14:textId="77777777" w:rsidR="001D5AFD" w:rsidRPr="001D6C6C" w:rsidRDefault="001D5AFD" w:rsidP="00D72F48">
      <w:pPr>
        <w:pStyle w:val="41UeberschrG1"/>
      </w:pPr>
      <w:r>
        <w:t>7. Section</w:t>
      </w:r>
    </w:p>
    <w:p w14:paraId="48803159" w14:textId="77777777" w:rsidR="00AF4E5E" w:rsidRPr="001D6C6C" w:rsidRDefault="00AF4E5E" w:rsidP="00B3762B">
      <w:pPr>
        <w:pStyle w:val="43UeberschrG2"/>
      </w:pPr>
      <w:r>
        <w:t>Dispositions finales et transitoires</w:t>
      </w:r>
    </w:p>
    <w:p w14:paraId="78F1F826" w14:textId="77777777" w:rsidR="00AF4E5E" w:rsidRPr="001D6C6C" w:rsidRDefault="00AF4E5E" w:rsidP="00AF4E5E">
      <w:pPr>
        <w:pStyle w:val="45UeberschrPara"/>
      </w:pPr>
      <w:r>
        <w:t>Mise en œuvre du droit de l’UE</w:t>
      </w:r>
    </w:p>
    <w:p w14:paraId="75C9BB51" w14:textId="77777777" w:rsidR="00AF4E5E" w:rsidRPr="001D6C6C" w:rsidRDefault="00AF4E5E" w:rsidP="00AF4E5E">
      <w:pPr>
        <w:pStyle w:val="51Abs"/>
      </w:pPr>
      <w:r>
        <w:rPr>
          <w:rStyle w:val="991GldSymbol"/>
        </w:rPr>
        <w:t>Article 25.</w:t>
      </w:r>
      <w:r>
        <w:t xml:space="preserve"> Le présent décret sert à transposer:</w:t>
      </w:r>
    </w:p>
    <w:p w14:paraId="572419D2" w14:textId="77777777" w:rsidR="00AF4E5E" w:rsidRPr="001D6C6C" w:rsidRDefault="00AF4E5E" w:rsidP="00AF4E5E">
      <w:pPr>
        <w:pStyle w:val="52Aufzaehle1Ziffer"/>
      </w:pPr>
      <w:r>
        <w:tab/>
        <w:t>1.</w:t>
      </w:r>
      <w:r>
        <w:tab/>
        <w:t>la directive 94/62/CE relative aux emballages et aux déchets d’emballages, JO nº L 365 du 31.12.1994, p. 10;</w:t>
      </w:r>
    </w:p>
    <w:p w14:paraId="1EFF6FD2" w14:textId="77777777" w:rsidR="00AF4E5E" w:rsidRPr="001D6C6C" w:rsidRDefault="00AF4E5E" w:rsidP="00AF4E5E">
      <w:pPr>
        <w:pStyle w:val="52Aufzaehle1Ziffer"/>
      </w:pPr>
      <w:r>
        <w:tab/>
        <w:t>2.</w:t>
      </w:r>
      <w:r>
        <w:tab/>
        <w:t>la directive 2004/12/CE modifiant la directive 94/62/CE relative aux emballages et aux déchets d’emballages, JO L 47 du 18.2.2004, p. 26,</w:t>
      </w:r>
    </w:p>
    <w:p w14:paraId="48719FA8" w14:textId="77777777" w:rsidR="00AF4E5E" w:rsidRPr="001D6C6C" w:rsidRDefault="00AF4E5E" w:rsidP="00AF4E5E">
      <w:pPr>
        <w:pStyle w:val="52Aufzaehle1Ziffer"/>
      </w:pPr>
      <w:r>
        <w:tab/>
        <w:t>3.</w:t>
      </w:r>
      <w:r>
        <w:tab/>
        <w:t>la directive 2013/2/UE modifiant l’annexe I de la directive 94/62/CE relative aux emballages et aux déchets d’emballages, JO L 37 du 8.2.2013, p. 10;</w:t>
      </w:r>
    </w:p>
    <w:p w14:paraId="4A06DE1A" w14:textId="77777777" w:rsidR="00AF4E5E" w:rsidRPr="001D6C6C" w:rsidRDefault="00AF4E5E" w:rsidP="00AF4E5E">
      <w:pPr>
        <w:pStyle w:val="52Aufzaehle1Ziffer"/>
      </w:pPr>
      <w:r>
        <w:tab/>
        <w:t>4.</w:t>
      </w:r>
      <w:r>
        <w:tab/>
        <w:t>la directive (UE) 2018/852 modifiant la directive 94/62/CE relative aux emballages et aux déchets d’emballages, JO L 150 du 14.6.2018, p. 141,</w:t>
      </w:r>
    </w:p>
    <w:p w14:paraId="04835EC5" w14:textId="77777777" w:rsidR="00AF4E5E" w:rsidRPr="001D6C6C" w:rsidRDefault="00AF4E5E" w:rsidP="00AF4E5E">
      <w:pPr>
        <w:pStyle w:val="52Aufzaehle1Ziffer"/>
      </w:pPr>
      <w:r>
        <w:tab/>
        <w:t>5.</w:t>
      </w:r>
      <w:r>
        <w:tab/>
        <w:t>la directive (UE) 2018/851 modifiant la directive 2008/98/CE relative aux déchets, JO L 150 du 14.6.2018, p. 109,</w:t>
      </w:r>
    </w:p>
    <w:p w14:paraId="3ED75E71" w14:textId="77777777" w:rsidR="00AF4E5E" w:rsidRPr="001D6C6C" w:rsidRDefault="00AF4E5E" w:rsidP="00AF4E5E">
      <w:pPr>
        <w:pStyle w:val="52Aufzaehle1Ziffer"/>
      </w:pPr>
      <w:r>
        <w:tab/>
        <w:t>6.</w:t>
      </w:r>
      <w:r>
        <w:tab/>
        <w:t>la décision d’exécution (UE) 2019/665 de la Commission modifiant la décision 2005/270/CE établissant les tableaux correspondant au système de bases de données conformément à la directive 94/62/CE du Parlement européen et du Conseil relative aux emballages et aux déchets d’emballages, JO L 112 du 26.4.2019, p. 26, et</w:t>
      </w:r>
    </w:p>
    <w:p w14:paraId="5C1AFC62" w14:textId="2C6A4D8D" w:rsidR="00AF4E5E" w:rsidRPr="001D6C6C" w:rsidRDefault="00AF4E5E" w:rsidP="00FB180A">
      <w:pPr>
        <w:pStyle w:val="52Aufzaehle1Ziffer"/>
      </w:pPr>
      <w:r>
        <w:tab/>
        <w:t>7.</w:t>
      </w:r>
      <w:r>
        <w:tab/>
        <w:t>la directive (UE) 2019/904 relative à la réduction de l’incidence de certains produits en plastiques sur l’environnement, JO L 155 du 12.6.2019, p. 1.».</w:t>
      </w:r>
    </w:p>
    <w:p w14:paraId="12512D32" w14:textId="77777777" w:rsidR="00AF4E5E" w:rsidRPr="001D6C6C" w:rsidRDefault="00AF4E5E" w:rsidP="00AF4E5E">
      <w:pPr>
        <w:pStyle w:val="45UeberschrPara"/>
      </w:pPr>
      <w:r>
        <w:t>Notification</w:t>
      </w:r>
    </w:p>
    <w:p w14:paraId="4F3F98BA" w14:textId="77777777" w:rsidR="00AF4E5E" w:rsidRPr="001D6C6C" w:rsidRDefault="00AF4E5E" w:rsidP="001A5C0F">
      <w:pPr>
        <w:pStyle w:val="51Abs"/>
      </w:pPr>
      <w:r>
        <w:rPr>
          <w:rStyle w:val="991GldSymbol"/>
        </w:rPr>
        <w:t>Article 26.</w:t>
      </w:r>
      <w:r>
        <w:t xml:space="preserve"> L’ordonnance du ministre fédéral de la protection du climat, de l’environnement, de l’énergie, de la mobilité, de l’innovation et de la technologie relative à la consigne d’emballages de boissons à usage unique en plastique ou en métal (ordonnance relative à la consigne d’emballages de boissons à usage unique), gazette fédérale II nº xxx, a été notifiée conformément aux dispositions de la directive 98/34/CE prévoyant une procédure d’information dans le domaine des normes et réglementations techniques et des règles relatives aux services de la société de l’information, JO L 204 du 21.7.1998, p. 37, modifiée par la directive 98/48/CE, JO L 217 du 5.8.1998, p. 18 (numéro de notification: 2023/xxx/A).»</w:t>
      </w:r>
    </w:p>
    <w:p w14:paraId="55D2EEF0" w14:textId="77777777" w:rsidR="00AF4E5E" w:rsidRPr="001D6C6C" w:rsidRDefault="00AF4E5E" w:rsidP="00AF4E5E">
      <w:pPr>
        <w:pStyle w:val="45UeberschrPara"/>
      </w:pPr>
      <w:r>
        <w:lastRenderedPageBreak/>
        <w:t>Entrée en vigueur</w:t>
      </w:r>
    </w:p>
    <w:p w14:paraId="18253F16" w14:textId="77777777" w:rsidR="00AF4E5E" w:rsidRPr="001D6C6C" w:rsidRDefault="00AF4E5E" w:rsidP="00AF4E5E">
      <w:pPr>
        <w:pStyle w:val="51Abs"/>
      </w:pPr>
      <w:r>
        <w:rPr>
          <w:rStyle w:val="991GldSymbol"/>
        </w:rPr>
        <w:t>Article 27.</w:t>
      </w:r>
      <w:r>
        <w:t xml:space="preserve"> Le présent règlement entre en vigueur le 1 xxx 2023.</w:t>
      </w:r>
    </w:p>
    <w:p w14:paraId="67F1F6EC" w14:textId="77777777" w:rsidR="001D5AFD" w:rsidRPr="001D6C6C" w:rsidRDefault="001D5AFD" w:rsidP="001D5AFD">
      <w:pPr>
        <w:pStyle w:val="09Abstand"/>
      </w:pPr>
    </w:p>
    <w:p w14:paraId="489AA3F6" w14:textId="77777777" w:rsidR="001D5AFD" w:rsidRPr="001D6C6C" w:rsidRDefault="001D5AFD" w:rsidP="001D5AFD">
      <w:pPr>
        <w:pStyle w:val="09Abstand"/>
      </w:pPr>
    </w:p>
    <w:p w14:paraId="6F90E13E" w14:textId="77777777" w:rsidR="00AF4E5E" w:rsidRPr="001D6C6C" w:rsidRDefault="00593324" w:rsidP="00593324">
      <w:pPr>
        <w:pStyle w:val="71Anlagenbez"/>
      </w:pPr>
      <w:r>
        <w:t>Annexe</w:t>
      </w:r>
    </w:p>
    <w:p w14:paraId="241DEF4D" w14:textId="77777777" w:rsidR="000123DE" w:rsidRPr="001D6C6C" w:rsidRDefault="00593324" w:rsidP="00B3762B">
      <w:pPr>
        <w:pStyle w:val="41UeberschrG1"/>
      </w:pPr>
      <w:r>
        <w:t>Symbole de consigne</w:t>
      </w:r>
    </w:p>
    <w:p w14:paraId="2B72267B" w14:textId="77777777" w:rsidR="000123DE" w:rsidRPr="001D6C6C" w:rsidRDefault="000123DE" w:rsidP="00AF4E5E">
      <w:pPr>
        <w:pStyle w:val="51Abs"/>
      </w:pPr>
      <w:r>
        <w:t xml:space="preserve">Les récipients à boissons jetables, conformément à l’article 4, sont marqués de manière visible, reconnaissable et permanente du symbole de consigne indiqué ici (marque figurative verbale): </w:t>
      </w:r>
    </w:p>
    <w:p w14:paraId="553AF76D" w14:textId="77777777" w:rsidR="00852724" w:rsidRPr="001D6C6C" w:rsidRDefault="00216B88" w:rsidP="008A0D0F">
      <w:pPr>
        <w:pStyle w:val="18AbbildungoderObjekt"/>
      </w:pPr>
      <w:r>
        <w:rPr>
          <w:noProof/>
        </w:rPr>
        <w:drawing>
          <wp:inline distT="0" distB="0" distL="0" distR="0" wp14:anchorId="29A95812" wp14:editId="60A479F6">
            <wp:extent cx="1790700" cy="20193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790700" cy="2019300"/>
                    </a:xfrm>
                    <a:prstGeom prst="rect">
                      <a:avLst/>
                    </a:prstGeom>
                  </pic:spPr>
                </pic:pic>
              </a:graphicData>
            </a:graphic>
          </wp:inline>
        </w:drawing>
      </w:r>
    </w:p>
    <w:p w14:paraId="5232FA05" w14:textId="77777777" w:rsidR="00441DE6" w:rsidRPr="001D6C6C" w:rsidRDefault="00852724" w:rsidP="00852724">
      <w:pPr>
        <w:pStyle w:val="19Beschriftung"/>
      </w:pPr>
      <w:r>
        <w:t>Figure 1 Symbole de consigne</w:t>
      </w:r>
    </w:p>
    <w:p w14:paraId="08AE8177" w14:textId="77777777" w:rsidR="001D5AFD" w:rsidRPr="001D6C6C" w:rsidRDefault="001D5AFD" w:rsidP="00B3762B">
      <w:pPr>
        <w:pStyle w:val="09Abstand"/>
      </w:pPr>
    </w:p>
    <w:sectPr w:rsidR="001D5AFD" w:rsidRPr="001D6C6C" w:rsidSect="00104D5F">
      <w:headerReference w:type="even" r:id="rId13"/>
      <w:headerReference w:type="default" r:id="rId14"/>
      <w:footerReference w:type="even" r:id="rId15"/>
      <w:footerReference w:type="default" r:id="rId16"/>
      <w:headerReference w:type="first" r:id="rId17"/>
      <w:footerReference w:type="first" r:id="rId18"/>
      <w:pgSz w:w="11900" w:h="16840" w:code="9"/>
      <w:pgMar w:top="1701" w:right="1701" w:bottom="1701" w:left="1701" w:header="567" w:footer="130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926455" w14:textId="77777777" w:rsidR="00B3762B" w:rsidRDefault="00B3762B" w:rsidP="009D1A7C">
      <w:r>
        <w:separator/>
      </w:r>
    </w:p>
  </w:endnote>
  <w:endnote w:type="continuationSeparator" w:id="0">
    <w:p w14:paraId="5D4F16A0" w14:textId="77777777" w:rsidR="00B3762B" w:rsidRDefault="00B3762B" w:rsidP="009D1A7C">
      <w:r>
        <w:continuationSeparator/>
      </w:r>
    </w:p>
  </w:endnote>
  <w:endnote w:type="continuationNotice" w:id="1">
    <w:p w14:paraId="7EF005C3" w14:textId="77777777" w:rsidR="00B3762B" w:rsidRDefault="00B376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7C6E7" w14:textId="77777777" w:rsidR="000C677B" w:rsidRDefault="000C67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1CE5B" w14:textId="77777777" w:rsidR="000C677B" w:rsidRDefault="000C67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99193" w14:textId="77777777" w:rsidR="000C677B" w:rsidRDefault="000C67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E7C0E3" w14:textId="77777777" w:rsidR="00B3762B" w:rsidRDefault="00B3762B" w:rsidP="009D1A7C">
      <w:r>
        <w:separator/>
      </w:r>
    </w:p>
  </w:footnote>
  <w:footnote w:type="continuationSeparator" w:id="0">
    <w:p w14:paraId="1E530D50" w14:textId="77777777" w:rsidR="00B3762B" w:rsidRDefault="00B3762B" w:rsidP="009D1A7C">
      <w:r>
        <w:continuationSeparator/>
      </w:r>
    </w:p>
  </w:footnote>
  <w:footnote w:type="continuationNotice" w:id="1">
    <w:p w14:paraId="724C4AAE" w14:textId="77777777" w:rsidR="00B3762B" w:rsidRDefault="00B376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E283A" w14:textId="77777777" w:rsidR="00325D7D" w:rsidRPr="001D6C6C" w:rsidRDefault="00325D7D" w:rsidP="00104D5F">
    <w:pPr>
      <w:pStyle w:val="62Kopfzeile"/>
    </w:pPr>
    <w:r>
      <w:tab/>
    </w:r>
    <w:r>
      <w:tab/>
    </w:r>
    <w:r w:rsidRPr="001D6C6C">
      <w:fldChar w:fldCharType="begin"/>
    </w:r>
    <w:r w:rsidRPr="001D6C6C">
      <w:instrText xml:space="preserve"> PAGE  \* Arabic  \* MERGEFORMAT </w:instrText>
    </w:r>
    <w:r w:rsidRPr="001D6C6C">
      <w:fldChar w:fldCharType="separate"/>
    </w:r>
    <w:r w:rsidRPr="001D6C6C">
      <w:t>1</w:t>
    </w:r>
    <w:r w:rsidRPr="001D6C6C">
      <w:fldChar w:fldCharType="end"/>
    </w:r>
    <w:r>
      <w:t> sur </w:t>
    </w:r>
    <w:fldSimple w:instr=" NUMPAGES  \* Arabic  \* MERGEFORMAT ">
      <w:r w:rsidR="00F24E44" w:rsidRPr="001D6C6C">
        <w:t>9</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C58FF" w14:textId="77777777" w:rsidR="00325D7D" w:rsidRPr="001D6C6C" w:rsidRDefault="00325D7D" w:rsidP="00104D5F">
    <w:pPr>
      <w:pStyle w:val="62Kopfzeile"/>
    </w:pPr>
    <w:r>
      <w:tab/>
    </w:r>
    <w:r>
      <w:tab/>
    </w:r>
    <w:r w:rsidRPr="001D6C6C">
      <w:fldChar w:fldCharType="begin"/>
    </w:r>
    <w:r w:rsidRPr="001D6C6C">
      <w:instrText xml:space="preserve"> PAGE  \* Arabic  \* MERGEFORMAT </w:instrText>
    </w:r>
    <w:r w:rsidRPr="001D6C6C">
      <w:fldChar w:fldCharType="separate"/>
    </w:r>
    <w:r w:rsidR="00643B44">
      <w:t>2</w:t>
    </w:r>
    <w:r w:rsidRPr="001D6C6C">
      <w:fldChar w:fldCharType="end"/>
    </w:r>
    <w:r>
      <w:t> sur </w:t>
    </w:r>
    <w:fldSimple w:instr=" NUMPAGES  \* Arabic  \* MERGEFORMAT ">
      <w:r w:rsidR="00643B44">
        <w:t>9</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4E166" w14:textId="77777777" w:rsidR="00325D7D" w:rsidRPr="001D6C6C" w:rsidRDefault="00325D7D" w:rsidP="00104D5F">
    <w:pPr>
      <w:pStyle w:val="62Kopfzeile"/>
    </w:pPr>
    <w:r>
      <w:tab/>
    </w:r>
    <w:r>
      <w:tab/>
    </w:r>
    <w:r w:rsidRPr="001D6C6C">
      <w:fldChar w:fldCharType="begin"/>
    </w:r>
    <w:r w:rsidRPr="001D6C6C">
      <w:instrText xml:space="preserve"> PAGE  \* Arabic  \* MERGEFORMAT </w:instrText>
    </w:r>
    <w:r w:rsidRPr="001D6C6C">
      <w:fldChar w:fldCharType="separate"/>
    </w:r>
    <w:r w:rsidR="00643B44">
      <w:t>1</w:t>
    </w:r>
    <w:r w:rsidRPr="001D6C6C">
      <w:fldChar w:fldCharType="end"/>
    </w:r>
    <w:r>
      <w:t> sur </w:t>
    </w:r>
    <w:fldSimple w:instr=" NUMPAGES  \* Arabic  \* MERGEFORMAT ">
      <w:r w:rsidR="00643B44">
        <w:t>9</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716EC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802229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5E91E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E849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1CC8A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6607D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434A01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6D661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808A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4831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E2E69"/>
    <w:multiLevelType w:val="hybridMultilevel"/>
    <w:tmpl w:val="62EEAFDA"/>
    <w:lvl w:ilvl="0" w:tplc="60C6F420">
      <w:start w:val="1"/>
      <w:numFmt w:val="bullet"/>
      <w:pStyle w:val="ListParagraph"/>
      <w:lvlText w:val="•"/>
      <w:lvlJc w:val="left"/>
      <w:pPr>
        <w:ind w:left="720" w:hanging="360"/>
      </w:pPr>
      <w:rPr>
        <w:rFonts w:ascii="Corbel" w:hAnsi="Corbel" w:hint="default"/>
        <w:color w:val="E6320F"/>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5E56161"/>
    <w:multiLevelType w:val="multilevel"/>
    <w:tmpl w:val="E1F071FE"/>
    <w:lvl w:ilvl="0">
      <w:start w:val="1"/>
      <w:numFmt w:val="decimal"/>
      <w:pStyle w:val="Brief2nummeriert"/>
      <w:lvlText w:val="%1."/>
      <w:lvlJc w:val="left"/>
      <w:pPr>
        <w:tabs>
          <w:tab w:val="num" w:pos="567"/>
        </w:tabs>
        <w:ind w:left="567" w:hanging="567"/>
      </w:pPr>
      <w:rPr>
        <w:rFonts w:hint="default"/>
      </w:rPr>
    </w:lvl>
    <w:lvl w:ilvl="1">
      <w:start w:val="1"/>
      <w:numFmt w:val="decimal"/>
      <w:pStyle w:val="Brief2nummeriert"/>
      <w:lvlText w:val="%2."/>
      <w:lvlJc w:val="left"/>
      <w:pPr>
        <w:tabs>
          <w:tab w:val="num" w:pos="567"/>
        </w:tabs>
        <w:ind w:left="567" w:hanging="567"/>
      </w:pPr>
      <w:rPr>
        <w:rFonts w:hint="default"/>
      </w:rPr>
    </w:lvl>
    <w:lvl w:ilvl="2">
      <w:start w:val="1"/>
      <w:numFmt w:val="decimal"/>
      <w:lvlText w:val="%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decimal"/>
      <w:lvlText w:val="%1.%2.%3.%4.%5.%6."/>
      <w:lvlJc w:val="left"/>
      <w:pPr>
        <w:tabs>
          <w:tab w:val="num" w:pos="567"/>
        </w:tabs>
        <w:ind w:left="567" w:hanging="567"/>
      </w:pPr>
      <w:rPr>
        <w:rFonts w:hint="default"/>
      </w:rPr>
    </w:lvl>
    <w:lvl w:ilvl="6">
      <w:start w:val="1"/>
      <w:numFmt w:val="decimal"/>
      <w:lvlText w:val="%1.%2.%3.%4.%5.%6.%7."/>
      <w:lvlJc w:val="left"/>
      <w:pPr>
        <w:tabs>
          <w:tab w:val="num" w:pos="567"/>
        </w:tabs>
        <w:ind w:left="567" w:hanging="567"/>
      </w:pPr>
      <w:rPr>
        <w:rFonts w:hint="default"/>
      </w:rPr>
    </w:lvl>
    <w:lvl w:ilvl="7">
      <w:start w:val="1"/>
      <w:numFmt w:val="decimal"/>
      <w:lvlText w:val="%1.%2.%3.%4.%5.%6.%7.%8."/>
      <w:lvlJc w:val="left"/>
      <w:pPr>
        <w:tabs>
          <w:tab w:val="num" w:pos="567"/>
        </w:tabs>
        <w:ind w:left="567" w:hanging="567"/>
      </w:pPr>
      <w:rPr>
        <w:rFonts w:hint="default"/>
      </w:rPr>
    </w:lvl>
    <w:lvl w:ilvl="8">
      <w:start w:val="1"/>
      <w:numFmt w:val="decimal"/>
      <w:lvlText w:val="%1.%2.%3.%4.%5.%6.%7.%8.%9."/>
      <w:lvlJc w:val="left"/>
      <w:pPr>
        <w:tabs>
          <w:tab w:val="num" w:pos="567"/>
        </w:tabs>
        <w:ind w:left="567" w:hanging="567"/>
      </w:pPr>
      <w:rPr>
        <w:rFonts w:hint="default"/>
      </w:rPr>
    </w:lvl>
  </w:abstractNum>
  <w:abstractNum w:abstractNumId="12" w15:restartNumberingAfterBreak="0">
    <w:nsid w:val="08B83AD4"/>
    <w:multiLevelType w:val="multilevel"/>
    <w:tmpl w:val="728ABAB8"/>
    <w:styleLink w:val="ATberschriftennummeriert"/>
    <w:lvl w:ilvl="0">
      <w:start w:val="1"/>
      <w:numFmt w:val="decimal"/>
      <w:lvlText w:val="%1"/>
      <w:lvlJc w:val="left"/>
      <w:pPr>
        <w:tabs>
          <w:tab w:val="num" w:pos="567"/>
        </w:tabs>
        <w:ind w:left="0" w:firstLine="0"/>
      </w:pPr>
      <w:rPr>
        <w:rFonts w:hint="default"/>
      </w:rPr>
    </w:lvl>
    <w:lvl w:ilvl="1">
      <w:start w:val="1"/>
      <w:numFmt w:val="decimal"/>
      <w:lvlText w:val="%1.%2"/>
      <w:lvlJc w:val="left"/>
      <w:pPr>
        <w:tabs>
          <w:tab w:val="num" w:pos="567"/>
        </w:tabs>
        <w:ind w:left="0" w:firstLine="0"/>
      </w:pPr>
      <w:rPr>
        <w:rFonts w:hint="default"/>
      </w:rPr>
    </w:lvl>
    <w:lvl w:ilvl="2">
      <w:start w:val="1"/>
      <w:numFmt w:val="decimal"/>
      <w:lvlText w:val="%1.%2.%3"/>
      <w:lvlJc w:val="left"/>
      <w:pPr>
        <w:tabs>
          <w:tab w:val="num" w:pos="709"/>
        </w:tabs>
        <w:ind w:left="0" w:firstLine="0"/>
      </w:pPr>
      <w:rPr>
        <w:rFonts w:hint="default"/>
      </w:rPr>
    </w:lvl>
    <w:lvl w:ilvl="3">
      <w:start w:val="1"/>
      <w:numFmt w:val="decimal"/>
      <w:lvlText w:val="%1.%2.%3.%4"/>
      <w:lvlJc w:val="left"/>
      <w:pPr>
        <w:tabs>
          <w:tab w:val="num" w:pos="839"/>
        </w:tabs>
        <w:ind w:left="0" w:firstLine="0"/>
      </w:pPr>
      <w:rPr>
        <w:rFonts w:hint="default"/>
      </w:rPr>
    </w:lvl>
    <w:lvl w:ilvl="4">
      <w:start w:val="1"/>
      <w:numFmt w:val="decimal"/>
      <w:lvlText w:val="%1.%2.%3.%4.%5"/>
      <w:lvlJc w:val="left"/>
      <w:pPr>
        <w:tabs>
          <w:tab w:val="num" w:pos="1077"/>
        </w:tabs>
        <w:ind w:left="0" w:firstLine="0"/>
      </w:pPr>
      <w:rPr>
        <w:rFonts w:hint="default"/>
      </w:rPr>
    </w:lvl>
    <w:lvl w:ilvl="5">
      <w:start w:val="1"/>
      <w:numFmt w:val="decimal"/>
      <w:lvlText w:val="%1.%2.%3.%4.%5.%6."/>
      <w:lvlJc w:val="left"/>
      <w:pPr>
        <w:ind w:left="2552" w:hanging="567"/>
      </w:pPr>
      <w:rPr>
        <w:rFonts w:hint="default"/>
      </w:rPr>
    </w:lvl>
    <w:lvl w:ilvl="6">
      <w:start w:val="1"/>
      <w:numFmt w:val="decimal"/>
      <w:lvlText w:val="%1.%2.%3.%4.%5.%6.%7."/>
      <w:lvlJc w:val="left"/>
      <w:pPr>
        <w:ind w:left="2949" w:hanging="567"/>
      </w:pPr>
      <w:rPr>
        <w:rFonts w:hint="default"/>
      </w:rPr>
    </w:lvl>
    <w:lvl w:ilvl="7">
      <w:start w:val="1"/>
      <w:numFmt w:val="decimal"/>
      <w:lvlText w:val="%1.%2.%3.%4.%5.%6.%7.%8."/>
      <w:lvlJc w:val="left"/>
      <w:pPr>
        <w:ind w:left="3346" w:hanging="567"/>
      </w:pPr>
      <w:rPr>
        <w:rFonts w:hint="default"/>
      </w:rPr>
    </w:lvl>
    <w:lvl w:ilvl="8">
      <w:start w:val="1"/>
      <w:numFmt w:val="decimal"/>
      <w:lvlText w:val="%1.%2.%3.%4.%5.%6.%7.%8.%9."/>
      <w:lvlJc w:val="left"/>
      <w:pPr>
        <w:ind w:left="3743" w:hanging="567"/>
      </w:pPr>
      <w:rPr>
        <w:rFonts w:hint="default"/>
      </w:rPr>
    </w:lvl>
  </w:abstractNum>
  <w:abstractNum w:abstractNumId="13" w15:restartNumberingAfterBreak="0">
    <w:nsid w:val="09EF39BC"/>
    <w:multiLevelType w:val="multilevel"/>
    <w:tmpl w:val="7CAC2F4E"/>
    <w:styleLink w:val="eu2018atUnsortierteListe"/>
    <w:lvl w:ilvl="0">
      <w:start w:val="1"/>
      <w:numFmt w:val="bullet"/>
      <w:lvlText w:val="■"/>
      <w:lvlJc w:val="left"/>
      <w:pPr>
        <w:ind w:left="397" w:hanging="397"/>
      </w:pPr>
      <w:rPr>
        <w:rFonts w:ascii="Arial" w:hAnsi="Arial" w:hint="default"/>
        <w:b w:val="0"/>
        <w:i w:val="0"/>
        <w:color w:val="E6242F"/>
        <w:sz w:val="22"/>
        <w:szCs w:val="20"/>
      </w:rPr>
    </w:lvl>
    <w:lvl w:ilvl="1">
      <w:start w:val="1"/>
      <w:numFmt w:val="bullet"/>
      <w:lvlText w:val="–"/>
      <w:lvlJc w:val="left"/>
      <w:pPr>
        <w:ind w:left="794" w:hanging="397"/>
      </w:pPr>
      <w:rPr>
        <w:rFonts w:ascii="Arial" w:hAnsi="Arial" w:hint="default"/>
        <w:b/>
        <w:i w:val="0"/>
        <w:caps w:val="0"/>
        <w:strike w:val="0"/>
        <w:dstrike w:val="0"/>
        <w:vanish w:val="0"/>
        <w:color w:val="E6242F"/>
        <w:sz w:val="22"/>
        <w:szCs w:val="20"/>
        <w:vertAlign w:val="baseline"/>
      </w:rPr>
    </w:lvl>
    <w:lvl w:ilvl="2">
      <w:start w:val="1"/>
      <w:numFmt w:val="bullet"/>
      <w:lvlText w:val="□"/>
      <w:lvlJc w:val="left"/>
      <w:pPr>
        <w:ind w:left="1191" w:hanging="397"/>
      </w:pPr>
      <w:rPr>
        <w:rFonts w:ascii="Arial" w:hAnsi="Arial" w:hint="default"/>
        <w:color w:val="E6242F"/>
      </w:rPr>
    </w:lvl>
    <w:lvl w:ilvl="3">
      <w:start w:val="1"/>
      <w:numFmt w:val="bullet"/>
      <w:lvlText w:val="■"/>
      <w:lvlJc w:val="left"/>
      <w:pPr>
        <w:ind w:left="1588" w:hanging="397"/>
      </w:pPr>
      <w:rPr>
        <w:rFonts w:ascii="Arial" w:hAnsi="Arial" w:hint="default"/>
        <w:color w:val="E6242F"/>
      </w:rPr>
    </w:lvl>
    <w:lvl w:ilvl="4">
      <w:start w:val="1"/>
      <w:numFmt w:val="bullet"/>
      <w:lvlText w:val="–"/>
      <w:lvlJc w:val="left"/>
      <w:pPr>
        <w:ind w:left="1985" w:hanging="341"/>
      </w:pPr>
      <w:rPr>
        <w:rFonts w:ascii="Arial" w:hAnsi="Arial" w:hint="default"/>
        <w:color w:val="E6242F"/>
      </w:rPr>
    </w:lvl>
    <w:lvl w:ilvl="5">
      <w:start w:val="1"/>
      <w:numFmt w:val="bullet"/>
      <w:lvlText w:val="□"/>
      <w:lvlJc w:val="left"/>
      <w:pPr>
        <w:ind w:left="2381" w:hanging="396"/>
      </w:pPr>
      <w:rPr>
        <w:rFonts w:ascii="Arial" w:hAnsi="Arial" w:hint="default"/>
        <w:color w:val="E6242F"/>
      </w:rPr>
    </w:lvl>
    <w:lvl w:ilvl="6">
      <w:start w:val="1"/>
      <w:numFmt w:val="bullet"/>
      <w:lvlText w:val="■"/>
      <w:lvlJc w:val="left"/>
      <w:pPr>
        <w:ind w:left="2778" w:hanging="397"/>
      </w:pPr>
      <w:rPr>
        <w:rFonts w:ascii="Arial" w:hAnsi="Arial" w:hint="default"/>
        <w:color w:val="E6242F"/>
      </w:rPr>
    </w:lvl>
    <w:lvl w:ilvl="7">
      <w:start w:val="1"/>
      <w:numFmt w:val="bullet"/>
      <w:lvlText w:val="–"/>
      <w:lvlJc w:val="left"/>
      <w:pPr>
        <w:ind w:left="3175" w:hanging="397"/>
      </w:pPr>
      <w:rPr>
        <w:rFonts w:ascii="Arial" w:hAnsi="Arial" w:hint="default"/>
        <w:color w:val="E6242F"/>
      </w:rPr>
    </w:lvl>
    <w:lvl w:ilvl="8">
      <w:start w:val="1"/>
      <w:numFmt w:val="bullet"/>
      <w:lvlText w:val="□"/>
      <w:lvlJc w:val="left"/>
      <w:pPr>
        <w:ind w:left="3572" w:hanging="397"/>
      </w:pPr>
      <w:rPr>
        <w:rFonts w:ascii="Arial" w:hAnsi="Arial" w:hint="default"/>
        <w:color w:val="E6242F"/>
      </w:rPr>
    </w:lvl>
  </w:abstractNum>
  <w:abstractNum w:abstractNumId="14" w15:restartNumberingAfterBreak="0">
    <w:nsid w:val="0C640B47"/>
    <w:multiLevelType w:val="multilevel"/>
    <w:tmpl w:val="9C48DE4C"/>
    <w:styleLink w:val="ATGliederungsliste"/>
    <w:lvl w:ilvl="0">
      <w:start w:val="1"/>
      <w:numFmt w:val="decimal"/>
      <w:lvlText w:val="%1."/>
      <w:lvlJc w:val="left"/>
      <w:pPr>
        <w:ind w:left="397" w:hanging="397"/>
      </w:pPr>
      <w:rPr>
        <w:rFonts w:hint="default"/>
      </w:rPr>
    </w:lvl>
    <w:lvl w:ilvl="1">
      <w:start w:val="1"/>
      <w:numFmt w:val="decimal"/>
      <w:lvlText w:val="%1.%2."/>
      <w:lvlJc w:val="left"/>
      <w:pPr>
        <w:ind w:left="1361" w:hanging="964"/>
      </w:pPr>
      <w:rPr>
        <w:rFonts w:hint="default"/>
      </w:rPr>
    </w:lvl>
    <w:lvl w:ilvl="2">
      <w:start w:val="1"/>
      <w:numFmt w:val="decimal"/>
      <w:lvlText w:val="%1.%2.%3."/>
      <w:lvlJc w:val="left"/>
      <w:pPr>
        <w:ind w:left="2013" w:hanging="878"/>
      </w:pPr>
      <w:rPr>
        <w:rFonts w:hint="default"/>
      </w:rPr>
    </w:lvl>
    <w:lvl w:ilvl="3">
      <w:start w:val="1"/>
      <w:numFmt w:val="decimal"/>
      <w:lvlText w:val="%1.%2.%3.%4."/>
      <w:lvlJc w:val="left"/>
      <w:pPr>
        <w:ind w:left="2524" w:hanging="397"/>
      </w:pPr>
      <w:rPr>
        <w:rFonts w:hint="default"/>
      </w:rPr>
    </w:lvl>
    <w:lvl w:ilvl="4">
      <w:start w:val="1"/>
      <w:numFmt w:val="decimal"/>
      <w:lvlText w:val="%1.%2.%3.%4.%5."/>
      <w:lvlJc w:val="left"/>
      <w:pPr>
        <w:ind w:left="2921" w:hanging="397"/>
      </w:pPr>
      <w:rPr>
        <w:rFonts w:hint="default"/>
      </w:rPr>
    </w:lvl>
    <w:lvl w:ilvl="5">
      <w:start w:val="1"/>
      <w:numFmt w:val="decimal"/>
      <w:lvlText w:val="%1.%2.%3.%4.%5.%6."/>
      <w:lvlJc w:val="left"/>
      <w:pPr>
        <w:ind w:left="3317" w:hanging="396"/>
      </w:pPr>
      <w:rPr>
        <w:rFonts w:hint="default"/>
      </w:rPr>
    </w:lvl>
    <w:lvl w:ilvl="6">
      <w:start w:val="1"/>
      <w:numFmt w:val="decimal"/>
      <w:lvlText w:val="%1.%2.%3.%4.%5.%6.%7."/>
      <w:lvlJc w:val="left"/>
      <w:pPr>
        <w:ind w:left="3714" w:hanging="397"/>
      </w:pPr>
      <w:rPr>
        <w:rFonts w:hint="default"/>
      </w:rPr>
    </w:lvl>
    <w:lvl w:ilvl="7">
      <w:start w:val="1"/>
      <w:numFmt w:val="decimal"/>
      <w:lvlText w:val="%1.%2.%3.%4.%5.%6.%7.%8."/>
      <w:lvlJc w:val="left"/>
      <w:pPr>
        <w:ind w:left="4111" w:hanging="397"/>
      </w:pPr>
      <w:rPr>
        <w:rFonts w:hint="default"/>
      </w:rPr>
    </w:lvl>
    <w:lvl w:ilvl="8">
      <w:start w:val="1"/>
      <w:numFmt w:val="decimal"/>
      <w:lvlText w:val="%1.%2.%3.%4.%5.%6.%7.%8.%9."/>
      <w:lvlJc w:val="left"/>
      <w:pPr>
        <w:ind w:left="4508" w:hanging="397"/>
      </w:pPr>
      <w:rPr>
        <w:rFonts w:hint="default"/>
      </w:rPr>
    </w:lvl>
  </w:abstractNum>
  <w:abstractNum w:abstractNumId="15" w15:restartNumberingAfterBreak="0">
    <w:nsid w:val="10EE2ED1"/>
    <w:multiLevelType w:val="hybridMultilevel"/>
    <w:tmpl w:val="1C9E4220"/>
    <w:lvl w:ilvl="0" w:tplc="2AD47F7E">
      <w:start w:val="1"/>
      <w:numFmt w:val="bullet"/>
      <w:lvlText w:val=""/>
      <w:lvlJc w:val="left"/>
      <w:pPr>
        <w:ind w:left="720" w:hanging="360"/>
      </w:pPr>
      <w:rPr>
        <w:rFonts w:ascii="Symbol" w:hAnsi="Symbol" w:hint="default"/>
        <w:color w:val="C00000"/>
        <w:sz w:val="18"/>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17247383"/>
    <w:multiLevelType w:val="multilevel"/>
    <w:tmpl w:val="E0EEB672"/>
    <w:styleLink w:val="Programm-Liste"/>
    <w:lvl w:ilvl="0">
      <w:start w:val="1"/>
      <w:numFmt w:val="bullet"/>
      <w:lvlText w:val="•"/>
      <w:lvlJc w:val="left"/>
      <w:pPr>
        <w:ind w:left="2285" w:hanging="397"/>
      </w:pPr>
      <w:rPr>
        <w:rFonts w:ascii="Corbel" w:hAnsi="Corbel" w:hint="default"/>
        <w:sz w:val="23"/>
      </w:rPr>
    </w:lvl>
    <w:lvl w:ilvl="1">
      <w:start w:val="1"/>
      <w:numFmt w:val="bullet"/>
      <w:lvlText w:val="o"/>
      <w:lvlJc w:val="left"/>
      <w:pPr>
        <w:ind w:left="3708" w:hanging="360"/>
      </w:pPr>
      <w:rPr>
        <w:rFonts w:ascii="Courier New" w:hAnsi="Courier New" w:cs="Courier New" w:hint="default"/>
      </w:rPr>
    </w:lvl>
    <w:lvl w:ilvl="2">
      <w:start w:val="1"/>
      <w:numFmt w:val="bullet"/>
      <w:lvlText w:val=""/>
      <w:lvlJc w:val="left"/>
      <w:pPr>
        <w:ind w:left="4428" w:hanging="360"/>
      </w:pPr>
      <w:rPr>
        <w:rFonts w:ascii="Wingdings" w:hAnsi="Wingdings" w:hint="default"/>
      </w:rPr>
    </w:lvl>
    <w:lvl w:ilvl="3">
      <w:start w:val="1"/>
      <w:numFmt w:val="bullet"/>
      <w:lvlText w:val=""/>
      <w:lvlJc w:val="left"/>
      <w:pPr>
        <w:ind w:left="5148" w:hanging="360"/>
      </w:pPr>
      <w:rPr>
        <w:rFonts w:ascii="Symbol" w:hAnsi="Symbol" w:hint="default"/>
      </w:rPr>
    </w:lvl>
    <w:lvl w:ilvl="4">
      <w:start w:val="1"/>
      <w:numFmt w:val="bullet"/>
      <w:lvlText w:val="o"/>
      <w:lvlJc w:val="left"/>
      <w:pPr>
        <w:ind w:left="5868" w:hanging="360"/>
      </w:pPr>
      <w:rPr>
        <w:rFonts w:ascii="Courier New" w:hAnsi="Courier New" w:cs="Courier New" w:hint="default"/>
      </w:rPr>
    </w:lvl>
    <w:lvl w:ilvl="5">
      <w:start w:val="1"/>
      <w:numFmt w:val="bullet"/>
      <w:lvlText w:val=""/>
      <w:lvlJc w:val="left"/>
      <w:pPr>
        <w:ind w:left="6588" w:hanging="360"/>
      </w:pPr>
      <w:rPr>
        <w:rFonts w:ascii="Wingdings" w:hAnsi="Wingdings" w:hint="default"/>
      </w:rPr>
    </w:lvl>
    <w:lvl w:ilvl="6">
      <w:start w:val="1"/>
      <w:numFmt w:val="bullet"/>
      <w:lvlText w:val=""/>
      <w:lvlJc w:val="left"/>
      <w:pPr>
        <w:ind w:left="7308" w:hanging="360"/>
      </w:pPr>
      <w:rPr>
        <w:rFonts w:ascii="Symbol" w:hAnsi="Symbol" w:hint="default"/>
      </w:rPr>
    </w:lvl>
    <w:lvl w:ilvl="7">
      <w:start w:val="1"/>
      <w:numFmt w:val="bullet"/>
      <w:lvlText w:val="o"/>
      <w:lvlJc w:val="left"/>
      <w:pPr>
        <w:ind w:left="8028" w:hanging="360"/>
      </w:pPr>
      <w:rPr>
        <w:rFonts w:ascii="Courier New" w:hAnsi="Courier New" w:cs="Courier New" w:hint="default"/>
      </w:rPr>
    </w:lvl>
    <w:lvl w:ilvl="8">
      <w:start w:val="1"/>
      <w:numFmt w:val="bullet"/>
      <w:lvlText w:val=""/>
      <w:lvlJc w:val="left"/>
      <w:pPr>
        <w:ind w:left="8748" w:hanging="360"/>
      </w:pPr>
      <w:rPr>
        <w:rFonts w:ascii="Wingdings" w:hAnsi="Wingdings" w:hint="default"/>
      </w:rPr>
    </w:lvl>
  </w:abstractNum>
  <w:abstractNum w:abstractNumId="17" w15:restartNumberingAfterBreak="0">
    <w:nsid w:val="18C20564"/>
    <w:multiLevelType w:val="hybridMultilevel"/>
    <w:tmpl w:val="1DF83E78"/>
    <w:lvl w:ilvl="0" w:tplc="930EE8E4">
      <w:start w:val="1"/>
      <w:numFmt w:val="lowerLetter"/>
      <w:pStyle w:val="Listennummera"/>
      <w:lvlText w:val="%1)"/>
      <w:lvlJc w:val="left"/>
      <w:pPr>
        <w:ind w:left="360" w:hanging="360"/>
      </w:pPr>
    </w:lvl>
    <w:lvl w:ilvl="1" w:tplc="9B347F0A">
      <w:start w:val="1"/>
      <w:numFmt w:val="lowerLetter"/>
      <w:lvlText w:val="%2."/>
      <w:lvlJc w:val="left"/>
      <w:pPr>
        <w:ind w:left="0" w:firstLine="397"/>
      </w:pPr>
      <w:rPr>
        <w:rFonts w:hint="default"/>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1A2663A7"/>
    <w:multiLevelType w:val="multilevel"/>
    <w:tmpl w:val="D47C4C50"/>
    <w:numStyleLink w:val="ATNummerierteListe"/>
  </w:abstractNum>
  <w:abstractNum w:abstractNumId="19" w15:restartNumberingAfterBreak="0">
    <w:nsid w:val="2DBE0A26"/>
    <w:multiLevelType w:val="hybridMultilevel"/>
    <w:tmpl w:val="FC8AE052"/>
    <w:lvl w:ilvl="0" w:tplc="2AD47F7E">
      <w:start w:val="1"/>
      <w:numFmt w:val="bullet"/>
      <w:lvlText w:val=""/>
      <w:lvlJc w:val="left"/>
      <w:pPr>
        <w:ind w:left="720" w:hanging="360"/>
      </w:pPr>
      <w:rPr>
        <w:rFonts w:ascii="Symbol" w:hAnsi="Symbol" w:hint="default"/>
        <w:color w:val="C00000"/>
        <w:sz w:val="18"/>
      </w:rPr>
    </w:lvl>
    <w:lvl w:ilvl="1" w:tplc="E5C2CAAE">
      <w:start w:val="1"/>
      <w:numFmt w:val="bullet"/>
      <w:lvlText w:val=""/>
      <w:lvlJc w:val="left"/>
      <w:pPr>
        <w:ind w:left="1440" w:hanging="360"/>
      </w:pPr>
      <w:rPr>
        <w:rFonts w:ascii="Symbol" w:hAnsi="Symbol" w:hint="default"/>
        <w:b w:val="0"/>
        <w:color w:val="4D86A0" w:themeColor="background1" w:themeShade="80"/>
        <w:sz w:val="18"/>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15:restartNumberingAfterBreak="0">
    <w:nsid w:val="31B7673D"/>
    <w:multiLevelType w:val="multilevel"/>
    <w:tmpl w:val="1F50C09E"/>
    <w:styleLink w:val="ATUnsortierteListe"/>
    <w:lvl w:ilvl="0">
      <w:start w:val="1"/>
      <w:numFmt w:val="bullet"/>
      <w:lvlText w:val="•"/>
      <w:lvlJc w:val="left"/>
      <w:pPr>
        <w:ind w:left="397" w:hanging="397"/>
      </w:pPr>
      <w:rPr>
        <w:rFonts w:asciiTheme="minorHAnsi" w:hAnsiTheme="minorHAnsi" w:cs="Times New Roman" w:hint="default"/>
        <w:b w:val="0"/>
        <w:i w:val="0"/>
        <w:color w:val="E6242F"/>
        <w:sz w:val="23"/>
        <w:szCs w:val="20"/>
      </w:rPr>
    </w:lvl>
    <w:lvl w:ilvl="1">
      <w:start w:val="1"/>
      <w:numFmt w:val="bullet"/>
      <w:lvlText w:val="−"/>
      <w:lvlJc w:val="left"/>
      <w:pPr>
        <w:ind w:left="794" w:hanging="397"/>
      </w:pPr>
      <w:rPr>
        <w:rFonts w:asciiTheme="minorHAnsi" w:hAnsiTheme="minorHAnsi" w:hint="default"/>
        <w:b/>
        <w:i w:val="0"/>
        <w:caps w:val="0"/>
        <w:strike w:val="0"/>
        <w:dstrike w:val="0"/>
        <w:vanish w:val="0"/>
        <w:color w:val="auto"/>
        <w:sz w:val="23"/>
        <w:szCs w:val="20"/>
        <w:vertAlign w:val="baseline"/>
      </w:rPr>
    </w:lvl>
    <w:lvl w:ilvl="2">
      <w:start w:val="1"/>
      <w:numFmt w:val="bullet"/>
      <w:lvlText w:val="•"/>
      <w:lvlJc w:val="left"/>
      <w:pPr>
        <w:ind w:left="1191" w:hanging="397"/>
      </w:pPr>
      <w:rPr>
        <w:rFonts w:asciiTheme="minorHAnsi" w:hAnsiTheme="minorHAnsi" w:cs="Times New Roman" w:hint="default"/>
        <w:color w:val="auto"/>
        <w:sz w:val="23"/>
      </w:rPr>
    </w:lvl>
    <w:lvl w:ilvl="3">
      <w:start w:val="1"/>
      <w:numFmt w:val="bullet"/>
      <w:lvlText w:val="–"/>
      <w:lvlJc w:val="left"/>
      <w:pPr>
        <w:ind w:left="1588" w:hanging="397"/>
      </w:pPr>
      <w:rPr>
        <w:rFonts w:asciiTheme="minorHAnsi" w:hAnsiTheme="minorHAnsi" w:cs="Times New Roman" w:hint="default"/>
        <w:color w:val="E6320F" w:themeColor="text2"/>
        <w:sz w:val="23"/>
      </w:rPr>
    </w:lvl>
    <w:lvl w:ilvl="4">
      <w:start w:val="1"/>
      <w:numFmt w:val="bullet"/>
      <w:lvlText w:val="•"/>
      <w:lvlJc w:val="left"/>
      <w:pPr>
        <w:ind w:left="1985" w:hanging="341"/>
      </w:pPr>
      <w:rPr>
        <w:rFonts w:asciiTheme="minorHAnsi" w:hAnsiTheme="minorHAnsi" w:cs="Times New Roman" w:hint="default"/>
        <w:color w:val="E6242F"/>
      </w:rPr>
    </w:lvl>
    <w:lvl w:ilvl="5">
      <w:start w:val="1"/>
      <w:numFmt w:val="bullet"/>
      <w:lvlText w:val="–"/>
      <w:lvlJc w:val="left"/>
      <w:pPr>
        <w:ind w:left="2381" w:hanging="396"/>
      </w:pPr>
      <w:rPr>
        <w:rFonts w:asciiTheme="minorHAnsi" w:hAnsiTheme="minorHAnsi" w:cs="Times New Roman" w:hint="default"/>
        <w:color w:val="auto"/>
      </w:rPr>
    </w:lvl>
    <w:lvl w:ilvl="6">
      <w:start w:val="1"/>
      <w:numFmt w:val="bullet"/>
      <w:lvlText w:val="•"/>
      <w:lvlJc w:val="left"/>
      <w:pPr>
        <w:ind w:left="2778" w:hanging="397"/>
      </w:pPr>
      <w:rPr>
        <w:rFonts w:asciiTheme="minorHAnsi" w:hAnsiTheme="minorHAnsi" w:cs="Times New Roman" w:hint="default"/>
        <w:color w:val="auto"/>
      </w:rPr>
    </w:lvl>
    <w:lvl w:ilvl="7">
      <w:start w:val="1"/>
      <w:numFmt w:val="bullet"/>
      <w:lvlText w:val="–"/>
      <w:lvlJc w:val="left"/>
      <w:pPr>
        <w:ind w:left="3175" w:hanging="397"/>
      </w:pPr>
      <w:rPr>
        <w:rFonts w:asciiTheme="minorHAnsi" w:hAnsiTheme="minorHAnsi" w:cs="Times New Roman" w:hint="default"/>
        <w:color w:val="E6242F"/>
      </w:rPr>
    </w:lvl>
    <w:lvl w:ilvl="8">
      <w:start w:val="1"/>
      <w:numFmt w:val="bullet"/>
      <w:lvlText w:val="•"/>
      <w:lvlJc w:val="left"/>
      <w:pPr>
        <w:ind w:left="3572" w:hanging="397"/>
      </w:pPr>
      <w:rPr>
        <w:rFonts w:asciiTheme="minorHAnsi" w:hAnsiTheme="minorHAnsi" w:cs="Times New Roman" w:hint="default"/>
        <w:color w:val="E6242F"/>
      </w:rPr>
    </w:lvl>
  </w:abstractNum>
  <w:abstractNum w:abstractNumId="21" w15:restartNumberingAfterBreak="0">
    <w:nsid w:val="33DA788C"/>
    <w:multiLevelType w:val="hybridMultilevel"/>
    <w:tmpl w:val="939AF7C4"/>
    <w:lvl w:ilvl="0" w:tplc="CB52A934">
      <w:start w:val="1"/>
      <w:numFmt w:val="bullet"/>
      <w:pStyle w:val="BoxUL1"/>
      <w:lvlText w:val="•"/>
      <w:lvlJc w:val="left"/>
      <w:pPr>
        <w:ind w:left="720" w:hanging="360"/>
      </w:pPr>
      <w:rPr>
        <w:rFonts w:ascii="Corbel" w:hAnsi="Corbe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13A1237"/>
    <w:multiLevelType w:val="hybridMultilevel"/>
    <w:tmpl w:val="0A70E5BC"/>
    <w:lvl w:ilvl="0" w:tplc="1EE001E2">
      <w:start w:val="1"/>
      <w:numFmt w:val="bullet"/>
      <w:lvlText w:val=""/>
      <w:lvlJc w:val="left"/>
      <w:pPr>
        <w:ind w:left="720" w:hanging="360"/>
      </w:pPr>
      <w:rPr>
        <w:rFonts w:ascii="Symbol" w:hAnsi="Symbol" w:hint="default"/>
        <w:color w:val="auto"/>
        <w:sz w:val="16"/>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3" w15:restartNumberingAfterBreak="0">
    <w:nsid w:val="4EAA19BA"/>
    <w:multiLevelType w:val="multilevel"/>
    <w:tmpl w:val="D47C4C50"/>
    <w:styleLink w:val="ATNummerierteListe"/>
    <w:lvl w:ilvl="0">
      <w:start w:val="1"/>
      <w:numFmt w:val="decimal"/>
      <w:isLgl/>
      <w:lvlText w:val="%1."/>
      <w:lvlJc w:val="left"/>
      <w:pPr>
        <w:ind w:left="397" w:hanging="397"/>
      </w:pPr>
      <w:rPr>
        <w:rFonts w:asciiTheme="minorHAnsi" w:hAnsiTheme="minorHAnsi" w:hint="default"/>
        <w:color w:val="E6320F" w:themeColor="text2"/>
        <w:sz w:val="23"/>
      </w:rPr>
    </w:lvl>
    <w:lvl w:ilvl="1">
      <w:start w:val="1"/>
      <w:numFmt w:val="lowerLetter"/>
      <w:lvlText w:val="%2)"/>
      <w:lvlJc w:val="left"/>
      <w:pPr>
        <w:ind w:left="794" w:hanging="397"/>
      </w:pPr>
      <w:rPr>
        <w:rFonts w:asciiTheme="minorHAnsi" w:hAnsiTheme="minorHAnsi" w:hint="default"/>
        <w:sz w:val="23"/>
      </w:rPr>
    </w:lvl>
    <w:lvl w:ilvl="2">
      <w:start w:val="1"/>
      <w:numFmt w:val="lowerRoman"/>
      <w:lvlText w:val="%3)"/>
      <w:lvlJc w:val="left"/>
      <w:pPr>
        <w:ind w:left="1191" w:hanging="397"/>
      </w:pPr>
      <w:rPr>
        <w:rFonts w:hint="default"/>
      </w:rPr>
    </w:lvl>
    <w:lvl w:ilvl="3">
      <w:start w:val="1"/>
      <w:numFmt w:val="decimal"/>
      <w:lvlText w:val="%4."/>
      <w:lvlJc w:val="left"/>
      <w:pPr>
        <w:ind w:left="1588" w:hanging="397"/>
      </w:pPr>
      <w:rPr>
        <w:rFonts w:asciiTheme="minorHAnsi" w:hAnsiTheme="minorHAnsi" w:hint="default"/>
      </w:rPr>
    </w:lvl>
    <w:lvl w:ilvl="4">
      <w:start w:val="1"/>
      <w:numFmt w:val="lowerLetter"/>
      <w:lvlText w:val="%5)"/>
      <w:lvlJc w:val="left"/>
      <w:pPr>
        <w:ind w:left="1985" w:hanging="397"/>
      </w:pPr>
      <w:rPr>
        <w:rFonts w:asciiTheme="minorHAnsi" w:hAnsiTheme="minorHAnsi" w:hint="default"/>
      </w:rPr>
    </w:lvl>
    <w:lvl w:ilvl="5">
      <w:start w:val="1"/>
      <w:numFmt w:val="lowerRoman"/>
      <w:lvlText w:val="%6)"/>
      <w:lvlJc w:val="left"/>
      <w:pPr>
        <w:ind w:left="2382" w:hanging="397"/>
      </w:pPr>
      <w:rPr>
        <w:rFonts w:asciiTheme="minorHAnsi" w:hAnsiTheme="minorHAnsi" w:hint="default"/>
      </w:rPr>
    </w:lvl>
    <w:lvl w:ilvl="6">
      <w:start w:val="1"/>
      <w:numFmt w:val="decimal"/>
      <w:lvlText w:val="%7."/>
      <w:lvlJc w:val="left"/>
      <w:pPr>
        <w:ind w:left="2779" w:hanging="397"/>
      </w:pPr>
      <w:rPr>
        <w:rFonts w:asciiTheme="minorHAnsi" w:hAnsiTheme="minorHAnsi" w:hint="default"/>
      </w:rPr>
    </w:lvl>
    <w:lvl w:ilvl="7">
      <w:start w:val="1"/>
      <w:numFmt w:val="lowerLetter"/>
      <w:lvlText w:val="%8."/>
      <w:lvlJc w:val="left"/>
      <w:pPr>
        <w:ind w:left="3176" w:hanging="397"/>
      </w:pPr>
      <w:rPr>
        <w:rFonts w:asciiTheme="minorHAnsi" w:hAnsiTheme="minorHAnsi" w:hint="default"/>
      </w:rPr>
    </w:lvl>
    <w:lvl w:ilvl="8">
      <w:start w:val="1"/>
      <w:numFmt w:val="lowerRoman"/>
      <w:lvlText w:val="%9."/>
      <w:lvlJc w:val="left"/>
      <w:pPr>
        <w:ind w:left="3573" w:hanging="397"/>
      </w:pPr>
      <w:rPr>
        <w:rFonts w:asciiTheme="minorHAnsi" w:hAnsiTheme="minorHAnsi" w:hint="default"/>
      </w:rPr>
    </w:lvl>
  </w:abstractNum>
  <w:abstractNum w:abstractNumId="24" w15:restartNumberingAfterBreak="0">
    <w:nsid w:val="55D87CCC"/>
    <w:multiLevelType w:val="multilevel"/>
    <w:tmpl w:val="9C48DE4C"/>
    <w:numStyleLink w:val="ATGliederungsliste"/>
  </w:abstractNum>
  <w:abstractNum w:abstractNumId="25" w15:restartNumberingAfterBreak="0">
    <w:nsid w:val="610722F4"/>
    <w:multiLevelType w:val="multilevel"/>
    <w:tmpl w:val="AAB0C8CC"/>
    <w:styleLink w:val="eu2018atGliederungsliste2"/>
    <w:lvl w:ilvl="0">
      <w:start w:val="1"/>
      <w:numFmt w:val="decimal"/>
      <w:lvlText w:val="%1)"/>
      <w:lvlJc w:val="left"/>
      <w:pPr>
        <w:ind w:left="397" w:hanging="397"/>
      </w:pPr>
      <w:rPr>
        <w:rFonts w:hint="default"/>
        <w:b w:val="0"/>
        <w:i w:val="0"/>
        <w:color w:val="auto"/>
        <w:sz w:val="22"/>
      </w:rPr>
    </w:lvl>
    <w:lvl w:ilvl="1">
      <w:start w:val="1"/>
      <w:numFmt w:val="lowerLetter"/>
      <w:lvlText w:val="%2)"/>
      <w:lvlJc w:val="left"/>
      <w:pPr>
        <w:ind w:left="794" w:hanging="397"/>
      </w:pPr>
      <w:rPr>
        <w:rFonts w:hint="default"/>
        <w:b w:val="0"/>
        <w:i w:val="0"/>
        <w:color w:val="auto"/>
        <w:sz w:val="22"/>
      </w:rPr>
    </w:lvl>
    <w:lvl w:ilvl="2">
      <w:start w:val="1"/>
      <w:numFmt w:val="lowerRoman"/>
      <w:lvlText w:val="%3)"/>
      <w:lvlJc w:val="left"/>
      <w:pPr>
        <w:ind w:left="1191" w:hanging="397"/>
      </w:pPr>
      <w:rPr>
        <w:rFonts w:hint="default"/>
        <w:b w:val="0"/>
        <w:i w:val="0"/>
        <w:color w:val="auto"/>
        <w:sz w:val="22"/>
      </w:rPr>
    </w:lvl>
    <w:lvl w:ilvl="3">
      <w:start w:val="1"/>
      <w:numFmt w:val="decimal"/>
      <w:lvlText w:val="(%4)"/>
      <w:lvlJc w:val="left"/>
      <w:pPr>
        <w:ind w:left="1588" w:hanging="397"/>
      </w:pPr>
      <w:rPr>
        <w:rFonts w:hint="default"/>
        <w:b w:val="0"/>
        <w:i w:val="0"/>
        <w:color w:val="auto"/>
        <w:sz w:val="22"/>
      </w:rPr>
    </w:lvl>
    <w:lvl w:ilvl="4">
      <w:start w:val="1"/>
      <w:numFmt w:val="lowerLetter"/>
      <w:lvlText w:val="(%5)"/>
      <w:lvlJc w:val="left"/>
      <w:pPr>
        <w:ind w:left="1985" w:hanging="397"/>
      </w:pPr>
      <w:rPr>
        <w:rFonts w:hint="default"/>
        <w:b/>
        <w:i w:val="0"/>
        <w:color w:val="E6242F"/>
      </w:rPr>
    </w:lvl>
    <w:lvl w:ilvl="5">
      <w:start w:val="1"/>
      <w:numFmt w:val="lowerRoman"/>
      <w:lvlText w:val="(%6)"/>
      <w:lvlJc w:val="left"/>
      <w:pPr>
        <w:ind w:left="2381" w:hanging="396"/>
      </w:pPr>
      <w:rPr>
        <w:rFonts w:hint="default"/>
        <w:b/>
        <w:i w:val="0"/>
        <w:color w:val="E6242F"/>
      </w:rPr>
    </w:lvl>
    <w:lvl w:ilvl="6">
      <w:start w:val="1"/>
      <w:numFmt w:val="decimal"/>
      <w:lvlText w:val="%7."/>
      <w:lvlJc w:val="left"/>
      <w:pPr>
        <w:ind w:left="2778" w:hanging="397"/>
      </w:pPr>
      <w:rPr>
        <w:rFonts w:hint="default"/>
        <w:b/>
        <w:i w:val="0"/>
        <w:color w:val="E6242F"/>
      </w:rPr>
    </w:lvl>
    <w:lvl w:ilvl="7">
      <w:start w:val="1"/>
      <w:numFmt w:val="lowerLetter"/>
      <w:lvlText w:val="%8."/>
      <w:lvlJc w:val="left"/>
      <w:pPr>
        <w:ind w:left="3175" w:hanging="397"/>
      </w:pPr>
      <w:rPr>
        <w:rFonts w:hint="default"/>
        <w:b/>
        <w:i w:val="0"/>
        <w:color w:val="E6242F"/>
      </w:rPr>
    </w:lvl>
    <w:lvl w:ilvl="8">
      <w:start w:val="1"/>
      <w:numFmt w:val="lowerRoman"/>
      <w:lvlText w:val="%9."/>
      <w:lvlJc w:val="left"/>
      <w:pPr>
        <w:ind w:left="3572" w:hanging="397"/>
      </w:pPr>
      <w:rPr>
        <w:rFonts w:hint="default"/>
        <w:b/>
        <w:i w:val="0"/>
        <w:color w:val="E6242F"/>
      </w:rPr>
    </w:lvl>
  </w:abstractNum>
  <w:num w:numId="1" w16cid:durableId="185674136">
    <w:abstractNumId w:val="14"/>
  </w:num>
  <w:num w:numId="2" w16cid:durableId="136651222">
    <w:abstractNumId w:val="23"/>
  </w:num>
  <w:num w:numId="3" w16cid:durableId="837959650">
    <w:abstractNumId w:val="12"/>
  </w:num>
  <w:num w:numId="4" w16cid:durableId="1072780073">
    <w:abstractNumId w:val="20"/>
  </w:num>
  <w:num w:numId="5" w16cid:durableId="206066076">
    <w:abstractNumId w:val="20"/>
  </w:num>
  <w:num w:numId="6" w16cid:durableId="880945695">
    <w:abstractNumId w:val="21"/>
  </w:num>
  <w:num w:numId="7" w16cid:durableId="1999574521">
    <w:abstractNumId w:val="11"/>
  </w:num>
  <w:num w:numId="8" w16cid:durableId="227032966">
    <w:abstractNumId w:val="25"/>
  </w:num>
  <w:num w:numId="9" w16cid:durableId="1474325188">
    <w:abstractNumId w:val="13"/>
  </w:num>
  <w:num w:numId="10" w16cid:durableId="1481076557">
    <w:abstractNumId w:val="10"/>
  </w:num>
  <w:num w:numId="11" w16cid:durableId="580067975">
    <w:abstractNumId w:val="24"/>
  </w:num>
  <w:num w:numId="12" w16cid:durableId="1856649691">
    <w:abstractNumId w:val="25"/>
  </w:num>
  <w:num w:numId="13" w16cid:durableId="217742719">
    <w:abstractNumId w:val="18"/>
  </w:num>
  <w:num w:numId="14" w16cid:durableId="1396394689">
    <w:abstractNumId w:val="17"/>
  </w:num>
  <w:num w:numId="15" w16cid:durableId="1124348492">
    <w:abstractNumId w:val="16"/>
  </w:num>
  <w:num w:numId="16" w16cid:durableId="282426968">
    <w:abstractNumId w:val="12"/>
  </w:num>
  <w:num w:numId="17" w16cid:durableId="1720713393">
    <w:abstractNumId w:val="9"/>
  </w:num>
  <w:num w:numId="18" w16cid:durableId="1362971608">
    <w:abstractNumId w:val="7"/>
  </w:num>
  <w:num w:numId="19" w16cid:durableId="60059346">
    <w:abstractNumId w:val="6"/>
  </w:num>
  <w:num w:numId="20" w16cid:durableId="1036389218">
    <w:abstractNumId w:val="5"/>
  </w:num>
  <w:num w:numId="21" w16cid:durableId="1538539745">
    <w:abstractNumId w:val="4"/>
  </w:num>
  <w:num w:numId="22" w16cid:durableId="1661690790">
    <w:abstractNumId w:val="8"/>
  </w:num>
  <w:num w:numId="23" w16cid:durableId="1643078849">
    <w:abstractNumId w:val="3"/>
  </w:num>
  <w:num w:numId="24" w16cid:durableId="871261237">
    <w:abstractNumId w:val="2"/>
  </w:num>
  <w:num w:numId="25" w16cid:durableId="964962930">
    <w:abstractNumId w:val="1"/>
  </w:num>
  <w:num w:numId="26" w16cid:durableId="1960139877">
    <w:abstractNumId w:val="0"/>
  </w:num>
  <w:num w:numId="27" w16cid:durableId="983967170">
    <w:abstractNumId w:val="22"/>
  </w:num>
  <w:num w:numId="28" w16cid:durableId="1479296977">
    <w:abstractNumId w:val="15"/>
  </w:num>
  <w:num w:numId="29" w16cid:durableId="2000844828">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de-DE" w:vendorID="64" w:dllVersion="6" w:nlCheck="1" w:checkStyle="0"/>
  <w:activeWritingStyle w:appName="MSWord" w:lang="de-AT" w:vendorID="64" w:dllVersion="6" w:nlCheck="1" w:checkStyle="0"/>
  <w:activeWritingStyle w:appName="MSWord" w:lang="en-GB" w:vendorID="64" w:dllVersion="0" w:nlCheck="1" w:checkStyle="0"/>
  <w:activeWritingStyle w:appName="MSWord" w:lang="fr-FR" w:vendorID="64" w:dllVersion="0" w:nlCheck="1" w:checkStyle="0"/>
  <w:proofState w:spelling="clean" w:grammar="clean"/>
  <w:attachedTemplate r:id="rId1"/>
  <w:doNotTrackFormatting/>
  <w:defaultTabStop w:val="708"/>
  <w:hyphenationZone w:val="425"/>
  <w:clickAndTypeStyle w:val="51Abs"/>
  <w:drawingGridHorizontalSpacing w:val="108"/>
  <w:drawingGridVerticalSpacing w:val="108"/>
  <w:displayHorizontalDrawingGridEvery w:val="2"/>
  <w:displayVerticalDrawingGridEvery w:val="2"/>
  <w:doNotUseMarginsForDrawingGridOrigin/>
  <w:drawingGridHorizontalOrigin w:val="0"/>
  <w:drawingGridVerticalOrigin w:val="0"/>
  <w:characterSpacingControl w:val="doNotCompress"/>
  <w:hdrShapeDefaults>
    <o:shapedefaults v:ext="edit" spidmax="552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D5F"/>
    <w:rsid w:val="0000022D"/>
    <w:rsid w:val="00001EE6"/>
    <w:rsid w:val="00003F95"/>
    <w:rsid w:val="00006D12"/>
    <w:rsid w:val="0000735E"/>
    <w:rsid w:val="000078A6"/>
    <w:rsid w:val="000100F8"/>
    <w:rsid w:val="00011FC5"/>
    <w:rsid w:val="000123DE"/>
    <w:rsid w:val="000123FF"/>
    <w:rsid w:val="00013491"/>
    <w:rsid w:val="000137A1"/>
    <w:rsid w:val="00013ADB"/>
    <w:rsid w:val="00014A5F"/>
    <w:rsid w:val="0001507C"/>
    <w:rsid w:val="000164EF"/>
    <w:rsid w:val="0001698D"/>
    <w:rsid w:val="00017121"/>
    <w:rsid w:val="000179DC"/>
    <w:rsid w:val="00020030"/>
    <w:rsid w:val="00020616"/>
    <w:rsid w:val="000212EF"/>
    <w:rsid w:val="000226DF"/>
    <w:rsid w:val="00024177"/>
    <w:rsid w:val="00025850"/>
    <w:rsid w:val="00025F0E"/>
    <w:rsid w:val="000268FB"/>
    <w:rsid w:val="00026F3D"/>
    <w:rsid w:val="00027F51"/>
    <w:rsid w:val="00030101"/>
    <w:rsid w:val="000305E9"/>
    <w:rsid w:val="000330C7"/>
    <w:rsid w:val="0003329B"/>
    <w:rsid w:val="0003484D"/>
    <w:rsid w:val="000358F6"/>
    <w:rsid w:val="00036400"/>
    <w:rsid w:val="0003687D"/>
    <w:rsid w:val="00037450"/>
    <w:rsid w:val="00040931"/>
    <w:rsid w:val="00042028"/>
    <w:rsid w:val="00043907"/>
    <w:rsid w:val="00043F85"/>
    <w:rsid w:val="00044475"/>
    <w:rsid w:val="00045099"/>
    <w:rsid w:val="000455E1"/>
    <w:rsid w:val="00046417"/>
    <w:rsid w:val="00046B8B"/>
    <w:rsid w:val="000478AB"/>
    <w:rsid w:val="000479FE"/>
    <w:rsid w:val="000503BA"/>
    <w:rsid w:val="00050FA9"/>
    <w:rsid w:val="00051020"/>
    <w:rsid w:val="00052BE7"/>
    <w:rsid w:val="000539BF"/>
    <w:rsid w:val="00053A9A"/>
    <w:rsid w:val="00053ACB"/>
    <w:rsid w:val="00054736"/>
    <w:rsid w:val="00054CF4"/>
    <w:rsid w:val="000551D8"/>
    <w:rsid w:val="00055860"/>
    <w:rsid w:val="00057008"/>
    <w:rsid w:val="0005722D"/>
    <w:rsid w:val="000619DC"/>
    <w:rsid w:val="0006392A"/>
    <w:rsid w:val="00064AC4"/>
    <w:rsid w:val="00065628"/>
    <w:rsid w:val="00065AF8"/>
    <w:rsid w:val="00067072"/>
    <w:rsid w:val="000673D0"/>
    <w:rsid w:val="00071587"/>
    <w:rsid w:val="0007177B"/>
    <w:rsid w:val="000726AA"/>
    <w:rsid w:val="000727F2"/>
    <w:rsid w:val="0007435D"/>
    <w:rsid w:val="00075471"/>
    <w:rsid w:val="00075EB7"/>
    <w:rsid w:val="00076F2E"/>
    <w:rsid w:val="00077736"/>
    <w:rsid w:val="00080D0C"/>
    <w:rsid w:val="0008182B"/>
    <w:rsid w:val="00082EBE"/>
    <w:rsid w:val="00083280"/>
    <w:rsid w:val="00084FA0"/>
    <w:rsid w:val="0008509E"/>
    <w:rsid w:val="00085C4F"/>
    <w:rsid w:val="00086FE8"/>
    <w:rsid w:val="000916B1"/>
    <w:rsid w:val="000919BA"/>
    <w:rsid w:val="00092D19"/>
    <w:rsid w:val="0009367F"/>
    <w:rsid w:val="00095015"/>
    <w:rsid w:val="00095B78"/>
    <w:rsid w:val="00095C6D"/>
    <w:rsid w:val="0009605F"/>
    <w:rsid w:val="0009611D"/>
    <w:rsid w:val="000967A1"/>
    <w:rsid w:val="00096AAF"/>
    <w:rsid w:val="00096E4F"/>
    <w:rsid w:val="00096E99"/>
    <w:rsid w:val="00097023"/>
    <w:rsid w:val="0009756A"/>
    <w:rsid w:val="0009781A"/>
    <w:rsid w:val="000A0372"/>
    <w:rsid w:val="000A12E3"/>
    <w:rsid w:val="000A28EE"/>
    <w:rsid w:val="000A3787"/>
    <w:rsid w:val="000A3C6D"/>
    <w:rsid w:val="000A4CA0"/>
    <w:rsid w:val="000A6BFD"/>
    <w:rsid w:val="000A7BD4"/>
    <w:rsid w:val="000B1770"/>
    <w:rsid w:val="000B1AE2"/>
    <w:rsid w:val="000B350F"/>
    <w:rsid w:val="000B413F"/>
    <w:rsid w:val="000B57F3"/>
    <w:rsid w:val="000B5ECC"/>
    <w:rsid w:val="000B63AF"/>
    <w:rsid w:val="000C2BFA"/>
    <w:rsid w:val="000C2D13"/>
    <w:rsid w:val="000C34EA"/>
    <w:rsid w:val="000C3D4B"/>
    <w:rsid w:val="000C47A0"/>
    <w:rsid w:val="000C4906"/>
    <w:rsid w:val="000C498C"/>
    <w:rsid w:val="000C677B"/>
    <w:rsid w:val="000D0CAE"/>
    <w:rsid w:val="000D1353"/>
    <w:rsid w:val="000D1ADB"/>
    <w:rsid w:val="000D5054"/>
    <w:rsid w:val="000D5B4B"/>
    <w:rsid w:val="000D6CD6"/>
    <w:rsid w:val="000D6D11"/>
    <w:rsid w:val="000D7AB0"/>
    <w:rsid w:val="000E0111"/>
    <w:rsid w:val="000E0443"/>
    <w:rsid w:val="000E075E"/>
    <w:rsid w:val="000E1225"/>
    <w:rsid w:val="000E15DF"/>
    <w:rsid w:val="000E18F3"/>
    <w:rsid w:val="000E1D65"/>
    <w:rsid w:val="000E235B"/>
    <w:rsid w:val="000E2622"/>
    <w:rsid w:val="000E3D1F"/>
    <w:rsid w:val="000E43D9"/>
    <w:rsid w:val="000E534A"/>
    <w:rsid w:val="000E594D"/>
    <w:rsid w:val="000E59E3"/>
    <w:rsid w:val="000E6501"/>
    <w:rsid w:val="000E7831"/>
    <w:rsid w:val="000E7EEB"/>
    <w:rsid w:val="000F0E59"/>
    <w:rsid w:val="000F4D65"/>
    <w:rsid w:val="000F709C"/>
    <w:rsid w:val="000F753C"/>
    <w:rsid w:val="000F7F3C"/>
    <w:rsid w:val="001015A4"/>
    <w:rsid w:val="00101813"/>
    <w:rsid w:val="00101EAA"/>
    <w:rsid w:val="001029A1"/>
    <w:rsid w:val="00102D80"/>
    <w:rsid w:val="001039AD"/>
    <w:rsid w:val="00104D5F"/>
    <w:rsid w:val="00106E85"/>
    <w:rsid w:val="00107A20"/>
    <w:rsid w:val="00110D8F"/>
    <w:rsid w:val="001119D1"/>
    <w:rsid w:val="00112197"/>
    <w:rsid w:val="00112599"/>
    <w:rsid w:val="00113267"/>
    <w:rsid w:val="00113572"/>
    <w:rsid w:val="00113919"/>
    <w:rsid w:val="0011419F"/>
    <w:rsid w:val="0011495D"/>
    <w:rsid w:val="00114F89"/>
    <w:rsid w:val="0011569C"/>
    <w:rsid w:val="001156F8"/>
    <w:rsid w:val="00115D81"/>
    <w:rsid w:val="001166B3"/>
    <w:rsid w:val="00117276"/>
    <w:rsid w:val="0011790D"/>
    <w:rsid w:val="00117F31"/>
    <w:rsid w:val="0012001B"/>
    <w:rsid w:val="001208AC"/>
    <w:rsid w:val="001215E0"/>
    <w:rsid w:val="00122BAA"/>
    <w:rsid w:val="001243FE"/>
    <w:rsid w:val="00124E19"/>
    <w:rsid w:val="00125FFA"/>
    <w:rsid w:val="0012606E"/>
    <w:rsid w:val="001276F2"/>
    <w:rsid w:val="00127D0B"/>
    <w:rsid w:val="00130BB6"/>
    <w:rsid w:val="00131B87"/>
    <w:rsid w:val="00133015"/>
    <w:rsid w:val="0013315E"/>
    <w:rsid w:val="0013364E"/>
    <w:rsid w:val="001336C3"/>
    <w:rsid w:val="001344E9"/>
    <w:rsid w:val="001370F3"/>
    <w:rsid w:val="001377E0"/>
    <w:rsid w:val="00141857"/>
    <w:rsid w:val="001436A9"/>
    <w:rsid w:val="00143D5C"/>
    <w:rsid w:val="001446E7"/>
    <w:rsid w:val="00144DE8"/>
    <w:rsid w:val="001463BA"/>
    <w:rsid w:val="00147179"/>
    <w:rsid w:val="0014767B"/>
    <w:rsid w:val="001477E8"/>
    <w:rsid w:val="00147A44"/>
    <w:rsid w:val="001515FB"/>
    <w:rsid w:val="00154118"/>
    <w:rsid w:val="00154F46"/>
    <w:rsid w:val="0015577F"/>
    <w:rsid w:val="00155809"/>
    <w:rsid w:val="00155B50"/>
    <w:rsid w:val="001561D5"/>
    <w:rsid w:val="00156322"/>
    <w:rsid w:val="001573F8"/>
    <w:rsid w:val="00157696"/>
    <w:rsid w:val="00160742"/>
    <w:rsid w:val="00162458"/>
    <w:rsid w:val="001625F1"/>
    <w:rsid w:val="001639CF"/>
    <w:rsid w:val="001641A4"/>
    <w:rsid w:val="00164C69"/>
    <w:rsid w:val="00164CBC"/>
    <w:rsid w:val="00165461"/>
    <w:rsid w:val="001668FE"/>
    <w:rsid w:val="00166AB5"/>
    <w:rsid w:val="001675E0"/>
    <w:rsid w:val="0017029E"/>
    <w:rsid w:val="00170724"/>
    <w:rsid w:val="00170937"/>
    <w:rsid w:val="00171351"/>
    <w:rsid w:val="00171F16"/>
    <w:rsid w:val="001729AD"/>
    <w:rsid w:val="00172C06"/>
    <w:rsid w:val="00173DD0"/>
    <w:rsid w:val="001741F8"/>
    <w:rsid w:val="001752CA"/>
    <w:rsid w:val="001762AE"/>
    <w:rsid w:val="00176306"/>
    <w:rsid w:val="00176A9D"/>
    <w:rsid w:val="00176DA2"/>
    <w:rsid w:val="00177F92"/>
    <w:rsid w:val="001810CC"/>
    <w:rsid w:val="00181294"/>
    <w:rsid w:val="001815FF"/>
    <w:rsid w:val="001831B3"/>
    <w:rsid w:val="00183237"/>
    <w:rsid w:val="00183392"/>
    <w:rsid w:val="00183440"/>
    <w:rsid w:val="00183C26"/>
    <w:rsid w:val="001852F6"/>
    <w:rsid w:val="00187E73"/>
    <w:rsid w:val="001938CC"/>
    <w:rsid w:val="001946E1"/>
    <w:rsid w:val="0019477F"/>
    <w:rsid w:val="00194C37"/>
    <w:rsid w:val="001958CF"/>
    <w:rsid w:val="00197CE8"/>
    <w:rsid w:val="001A0101"/>
    <w:rsid w:val="001A04BA"/>
    <w:rsid w:val="001A2228"/>
    <w:rsid w:val="001A2CC1"/>
    <w:rsid w:val="001A3036"/>
    <w:rsid w:val="001A3757"/>
    <w:rsid w:val="001A3B66"/>
    <w:rsid w:val="001A5C0F"/>
    <w:rsid w:val="001A6DFB"/>
    <w:rsid w:val="001A6E5D"/>
    <w:rsid w:val="001A6E8A"/>
    <w:rsid w:val="001A7241"/>
    <w:rsid w:val="001A7F32"/>
    <w:rsid w:val="001B2D59"/>
    <w:rsid w:val="001B38CF"/>
    <w:rsid w:val="001B4834"/>
    <w:rsid w:val="001B4C11"/>
    <w:rsid w:val="001B553A"/>
    <w:rsid w:val="001B5755"/>
    <w:rsid w:val="001B7E2C"/>
    <w:rsid w:val="001B7E49"/>
    <w:rsid w:val="001C0796"/>
    <w:rsid w:val="001C0BC4"/>
    <w:rsid w:val="001C12D4"/>
    <w:rsid w:val="001C13E1"/>
    <w:rsid w:val="001C18C0"/>
    <w:rsid w:val="001C1950"/>
    <w:rsid w:val="001C1B9F"/>
    <w:rsid w:val="001C2A6C"/>
    <w:rsid w:val="001C4606"/>
    <w:rsid w:val="001C4785"/>
    <w:rsid w:val="001C4998"/>
    <w:rsid w:val="001C4B2F"/>
    <w:rsid w:val="001C5508"/>
    <w:rsid w:val="001C5556"/>
    <w:rsid w:val="001C7A71"/>
    <w:rsid w:val="001D1031"/>
    <w:rsid w:val="001D12CE"/>
    <w:rsid w:val="001D3194"/>
    <w:rsid w:val="001D36C9"/>
    <w:rsid w:val="001D50A4"/>
    <w:rsid w:val="001D5AFD"/>
    <w:rsid w:val="001D68D0"/>
    <w:rsid w:val="001D6C6C"/>
    <w:rsid w:val="001D7225"/>
    <w:rsid w:val="001E0EF2"/>
    <w:rsid w:val="001E10BC"/>
    <w:rsid w:val="001E1361"/>
    <w:rsid w:val="001E13E3"/>
    <w:rsid w:val="001E23C7"/>
    <w:rsid w:val="001E41C4"/>
    <w:rsid w:val="001E4458"/>
    <w:rsid w:val="001E4E98"/>
    <w:rsid w:val="001E4FEE"/>
    <w:rsid w:val="001E7BFD"/>
    <w:rsid w:val="001F1FED"/>
    <w:rsid w:val="001F212F"/>
    <w:rsid w:val="001F2959"/>
    <w:rsid w:val="001F30B0"/>
    <w:rsid w:val="001F37CE"/>
    <w:rsid w:val="001F3897"/>
    <w:rsid w:val="001F4630"/>
    <w:rsid w:val="001F52EA"/>
    <w:rsid w:val="001F537F"/>
    <w:rsid w:val="001F548C"/>
    <w:rsid w:val="001F6D2D"/>
    <w:rsid w:val="001F7A2B"/>
    <w:rsid w:val="001F7E7B"/>
    <w:rsid w:val="002003B7"/>
    <w:rsid w:val="00202817"/>
    <w:rsid w:val="00202A96"/>
    <w:rsid w:val="00203EE0"/>
    <w:rsid w:val="002040F3"/>
    <w:rsid w:val="0020498C"/>
    <w:rsid w:val="002054B0"/>
    <w:rsid w:val="00207169"/>
    <w:rsid w:val="00207668"/>
    <w:rsid w:val="00207AF1"/>
    <w:rsid w:val="002111D9"/>
    <w:rsid w:val="002123BE"/>
    <w:rsid w:val="0021281A"/>
    <w:rsid w:val="002134A1"/>
    <w:rsid w:val="00213E1D"/>
    <w:rsid w:val="002149BA"/>
    <w:rsid w:val="00216B88"/>
    <w:rsid w:val="0021798B"/>
    <w:rsid w:val="00221089"/>
    <w:rsid w:val="00221C56"/>
    <w:rsid w:val="00222AD3"/>
    <w:rsid w:val="002248DC"/>
    <w:rsid w:val="00225FFF"/>
    <w:rsid w:val="002264C1"/>
    <w:rsid w:val="0022683F"/>
    <w:rsid w:val="00227414"/>
    <w:rsid w:val="002303F8"/>
    <w:rsid w:val="002307EB"/>
    <w:rsid w:val="0023094D"/>
    <w:rsid w:val="00230AA3"/>
    <w:rsid w:val="00232ABD"/>
    <w:rsid w:val="00232B46"/>
    <w:rsid w:val="002337B3"/>
    <w:rsid w:val="00233DBB"/>
    <w:rsid w:val="0023449A"/>
    <w:rsid w:val="00234D9D"/>
    <w:rsid w:val="0023527E"/>
    <w:rsid w:val="00235642"/>
    <w:rsid w:val="00236ACB"/>
    <w:rsid w:val="00236D20"/>
    <w:rsid w:val="00236E3F"/>
    <w:rsid w:val="0023706A"/>
    <w:rsid w:val="00240144"/>
    <w:rsid w:val="002417E4"/>
    <w:rsid w:val="00241FB1"/>
    <w:rsid w:val="00242865"/>
    <w:rsid w:val="002429C4"/>
    <w:rsid w:val="00242C84"/>
    <w:rsid w:val="00243DC9"/>
    <w:rsid w:val="00244452"/>
    <w:rsid w:val="00246075"/>
    <w:rsid w:val="002467E6"/>
    <w:rsid w:val="002476C4"/>
    <w:rsid w:val="00250049"/>
    <w:rsid w:val="00250210"/>
    <w:rsid w:val="002505E0"/>
    <w:rsid w:val="002515DA"/>
    <w:rsid w:val="00251992"/>
    <w:rsid w:val="00251B46"/>
    <w:rsid w:val="00251FE9"/>
    <w:rsid w:val="00252BF1"/>
    <w:rsid w:val="00253028"/>
    <w:rsid w:val="002553AD"/>
    <w:rsid w:val="00255A03"/>
    <w:rsid w:val="002566A1"/>
    <w:rsid w:val="00257A86"/>
    <w:rsid w:val="00257E11"/>
    <w:rsid w:val="00262685"/>
    <w:rsid w:val="00263291"/>
    <w:rsid w:val="00263C66"/>
    <w:rsid w:val="002642AB"/>
    <w:rsid w:val="00265A39"/>
    <w:rsid w:val="00267023"/>
    <w:rsid w:val="002670E9"/>
    <w:rsid w:val="0026716E"/>
    <w:rsid w:val="00271668"/>
    <w:rsid w:val="00272194"/>
    <w:rsid w:val="0027294F"/>
    <w:rsid w:val="00273620"/>
    <w:rsid w:val="0027389B"/>
    <w:rsid w:val="00275EBF"/>
    <w:rsid w:val="00277059"/>
    <w:rsid w:val="00277391"/>
    <w:rsid w:val="002810E6"/>
    <w:rsid w:val="0028158C"/>
    <w:rsid w:val="002819DF"/>
    <w:rsid w:val="00281B7F"/>
    <w:rsid w:val="00282EE0"/>
    <w:rsid w:val="00284A5A"/>
    <w:rsid w:val="00287D0D"/>
    <w:rsid w:val="002901B7"/>
    <w:rsid w:val="002902F6"/>
    <w:rsid w:val="00290732"/>
    <w:rsid w:val="00292476"/>
    <w:rsid w:val="00292BA2"/>
    <w:rsid w:val="00292BD1"/>
    <w:rsid w:val="002936BF"/>
    <w:rsid w:val="0029493C"/>
    <w:rsid w:val="00295C2A"/>
    <w:rsid w:val="00295E5C"/>
    <w:rsid w:val="0029685A"/>
    <w:rsid w:val="002A0B69"/>
    <w:rsid w:val="002A1617"/>
    <w:rsid w:val="002A162F"/>
    <w:rsid w:val="002A268D"/>
    <w:rsid w:val="002A431C"/>
    <w:rsid w:val="002A47E9"/>
    <w:rsid w:val="002A521F"/>
    <w:rsid w:val="002A5380"/>
    <w:rsid w:val="002A722E"/>
    <w:rsid w:val="002A736A"/>
    <w:rsid w:val="002A7649"/>
    <w:rsid w:val="002A76E7"/>
    <w:rsid w:val="002B0950"/>
    <w:rsid w:val="002B1E1D"/>
    <w:rsid w:val="002B2CE2"/>
    <w:rsid w:val="002B3487"/>
    <w:rsid w:val="002B3762"/>
    <w:rsid w:val="002B62ED"/>
    <w:rsid w:val="002B7156"/>
    <w:rsid w:val="002B72C1"/>
    <w:rsid w:val="002B735B"/>
    <w:rsid w:val="002B769B"/>
    <w:rsid w:val="002B7F17"/>
    <w:rsid w:val="002C0831"/>
    <w:rsid w:val="002C184B"/>
    <w:rsid w:val="002C3642"/>
    <w:rsid w:val="002C4C4F"/>
    <w:rsid w:val="002C5BB4"/>
    <w:rsid w:val="002C70C9"/>
    <w:rsid w:val="002D0250"/>
    <w:rsid w:val="002D06A3"/>
    <w:rsid w:val="002D219A"/>
    <w:rsid w:val="002D474E"/>
    <w:rsid w:val="002D5F78"/>
    <w:rsid w:val="002D6B95"/>
    <w:rsid w:val="002E01DC"/>
    <w:rsid w:val="002E0DFD"/>
    <w:rsid w:val="002E185D"/>
    <w:rsid w:val="002E1DE5"/>
    <w:rsid w:val="002E24A0"/>
    <w:rsid w:val="002E3580"/>
    <w:rsid w:val="002E4226"/>
    <w:rsid w:val="002E4545"/>
    <w:rsid w:val="002E4735"/>
    <w:rsid w:val="002E4BB6"/>
    <w:rsid w:val="002E4C38"/>
    <w:rsid w:val="002E64EA"/>
    <w:rsid w:val="002E6CED"/>
    <w:rsid w:val="002E7DD1"/>
    <w:rsid w:val="002E7FAC"/>
    <w:rsid w:val="002F09F4"/>
    <w:rsid w:val="002F1616"/>
    <w:rsid w:val="002F1BFC"/>
    <w:rsid w:val="002F3801"/>
    <w:rsid w:val="002F3BCB"/>
    <w:rsid w:val="002F5116"/>
    <w:rsid w:val="002F58CF"/>
    <w:rsid w:val="002F5B98"/>
    <w:rsid w:val="002F7429"/>
    <w:rsid w:val="002F7B3B"/>
    <w:rsid w:val="002F7F10"/>
    <w:rsid w:val="002F7F55"/>
    <w:rsid w:val="003004CC"/>
    <w:rsid w:val="003016B2"/>
    <w:rsid w:val="00301898"/>
    <w:rsid w:val="00301927"/>
    <w:rsid w:val="00301C71"/>
    <w:rsid w:val="00302806"/>
    <w:rsid w:val="003032F1"/>
    <w:rsid w:val="00303D17"/>
    <w:rsid w:val="00304094"/>
    <w:rsid w:val="00304C54"/>
    <w:rsid w:val="00305500"/>
    <w:rsid w:val="003075C2"/>
    <w:rsid w:val="003077B7"/>
    <w:rsid w:val="00307BE8"/>
    <w:rsid w:val="00307FEF"/>
    <w:rsid w:val="00310B4A"/>
    <w:rsid w:val="003117DD"/>
    <w:rsid w:val="0031194C"/>
    <w:rsid w:val="0031263C"/>
    <w:rsid w:val="00315FE4"/>
    <w:rsid w:val="00316CF5"/>
    <w:rsid w:val="003171A1"/>
    <w:rsid w:val="00320333"/>
    <w:rsid w:val="00320F64"/>
    <w:rsid w:val="0032106A"/>
    <w:rsid w:val="00321959"/>
    <w:rsid w:val="003230C5"/>
    <w:rsid w:val="00325D7D"/>
    <w:rsid w:val="00326810"/>
    <w:rsid w:val="00331A8F"/>
    <w:rsid w:val="00332959"/>
    <w:rsid w:val="0033302F"/>
    <w:rsid w:val="003337E7"/>
    <w:rsid w:val="003340AD"/>
    <w:rsid w:val="003368B1"/>
    <w:rsid w:val="00336913"/>
    <w:rsid w:val="003401EA"/>
    <w:rsid w:val="003406EA"/>
    <w:rsid w:val="003408F6"/>
    <w:rsid w:val="00340C96"/>
    <w:rsid w:val="00341CF0"/>
    <w:rsid w:val="00342B6A"/>
    <w:rsid w:val="00343D51"/>
    <w:rsid w:val="003446A8"/>
    <w:rsid w:val="00344B9A"/>
    <w:rsid w:val="00346745"/>
    <w:rsid w:val="00347E5F"/>
    <w:rsid w:val="00350EC8"/>
    <w:rsid w:val="003516CD"/>
    <w:rsid w:val="00353057"/>
    <w:rsid w:val="0035319B"/>
    <w:rsid w:val="003533AF"/>
    <w:rsid w:val="00353DA2"/>
    <w:rsid w:val="00354756"/>
    <w:rsid w:val="00354A81"/>
    <w:rsid w:val="0036125B"/>
    <w:rsid w:val="003615AB"/>
    <w:rsid w:val="0036214B"/>
    <w:rsid w:val="00362D8F"/>
    <w:rsid w:val="00363557"/>
    <w:rsid w:val="003657C7"/>
    <w:rsid w:val="003664D5"/>
    <w:rsid w:val="00366A86"/>
    <w:rsid w:val="003672B1"/>
    <w:rsid w:val="003703A4"/>
    <w:rsid w:val="00370952"/>
    <w:rsid w:val="003714B5"/>
    <w:rsid w:val="00371F7B"/>
    <w:rsid w:val="003732ED"/>
    <w:rsid w:val="00375572"/>
    <w:rsid w:val="00376328"/>
    <w:rsid w:val="003769B8"/>
    <w:rsid w:val="00380142"/>
    <w:rsid w:val="00380164"/>
    <w:rsid w:val="00380572"/>
    <w:rsid w:val="003817CB"/>
    <w:rsid w:val="00381990"/>
    <w:rsid w:val="00382BE7"/>
    <w:rsid w:val="00382F60"/>
    <w:rsid w:val="00383149"/>
    <w:rsid w:val="0038357C"/>
    <w:rsid w:val="00383D93"/>
    <w:rsid w:val="00383F7C"/>
    <w:rsid w:val="0038456E"/>
    <w:rsid w:val="00384FD0"/>
    <w:rsid w:val="003853EF"/>
    <w:rsid w:val="0038576C"/>
    <w:rsid w:val="003869A7"/>
    <w:rsid w:val="00386B86"/>
    <w:rsid w:val="00387ED7"/>
    <w:rsid w:val="00387F8F"/>
    <w:rsid w:val="00390A0F"/>
    <w:rsid w:val="00391C56"/>
    <w:rsid w:val="00392E7D"/>
    <w:rsid w:val="003939FF"/>
    <w:rsid w:val="00394469"/>
    <w:rsid w:val="00395C21"/>
    <w:rsid w:val="00397AFC"/>
    <w:rsid w:val="003A0501"/>
    <w:rsid w:val="003A0627"/>
    <w:rsid w:val="003A370C"/>
    <w:rsid w:val="003A4E05"/>
    <w:rsid w:val="003A5731"/>
    <w:rsid w:val="003A603A"/>
    <w:rsid w:val="003A6397"/>
    <w:rsid w:val="003A64A8"/>
    <w:rsid w:val="003A6754"/>
    <w:rsid w:val="003A782A"/>
    <w:rsid w:val="003B04F6"/>
    <w:rsid w:val="003B25F1"/>
    <w:rsid w:val="003B3F0E"/>
    <w:rsid w:val="003B4DA6"/>
    <w:rsid w:val="003B4EE4"/>
    <w:rsid w:val="003B5B7C"/>
    <w:rsid w:val="003B66DE"/>
    <w:rsid w:val="003C0393"/>
    <w:rsid w:val="003C12BD"/>
    <w:rsid w:val="003C1DAB"/>
    <w:rsid w:val="003C2600"/>
    <w:rsid w:val="003C3304"/>
    <w:rsid w:val="003C3EEC"/>
    <w:rsid w:val="003C4C13"/>
    <w:rsid w:val="003C518D"/>
    <w:rsid w:val="003C61AC"/>
    <w:rsid w:val="003C7B64"/>
    <w:rsid w:val="003D09FA"/>
    <w:rsid w:val="003D0AA7"/>
    <w:rsid w:val="003D1109"/>
    <w:rsid w:val="003D25A6"/>
    <w:rsid w:val="003D25DD"/>
    <w:rsid w:val="003D2FBC"/>
    <w:rsid w:val="003D31DB"/>
    <w:rsid w:val="003D3C72"/>
    <w:rsid w:val="003D474E"/>
    <w:rsid w:val="003D55AA"/>
    <w:rsid w:val="003D5F85"/>
    <w:rsid w:val="003D6321"/>
    <w:rsid w:val="003D7172"/>
    <w:rsid w:val="003D72EC"/>
    <w:rsid w:val="003E0220"/>
    <w:rsid w:val="003E1712"/>
    <w:rsid w:val="003E2476"/>
    <w:rsid w:val="003E26C8"/>
    <w:rsid w:val="003E2D08"/>
    <w:rsid w:val="003E38AD"/>
    <w:rsid w:val="003E66D1"/>
    <w:rsid w:val="003E73F3"/>
    <w:rsid w:val="003F4F43"/>
    <w:rsid w:val="003F598F"/>
    <w:rsid w:val="003F6059"/>
    <w:rsid w:val="003F638C"/>
    <w:rsid w:val="003F7BEC"/>
    <w:rsid w:val="004007B9"/>
    <w:rsid w:val="00402DBD"/>
    <w:rsid w:val="004034D3"/>
    <w:rsid w:val="0040393A"/>
    <w:rsid w:val="0040395E"/>
    <w:rsid w:val="00403C98"/>
    <w:rsid w:val="004046D6"/>
    <w:rsid w:val="00404ACD"/>
    <w:rsid w:val="00405F6E"/>
    <w:rsid w:val="004061DD"/>
    <w:rsid w:val="00406C8F"/>
    <w:rsid w:val="004072D5"/>
    <w:rsid w:val="004101A9"/>
    <w:rsid w:val="00410EBA"/>
    <w:rsid w:val="0041251D"/>
    <w:rsid w:val="00412763"/>
    <w:rsid w:val="00412E33"/>
    <w:rsid w:val="004149A7"/>
    <w:rsid w:val="00415B42"/>
    <w:rsid w:val="00415F33"/>
    <w:rsid w:val="0041649D"/>
    <w:rsid w:val="00417388"/>
    <w:rsid w:val="00417A6D"/>
    <w:rsid w:val="00421862"/>
    <w:rsid w:val="00424085"/>
    <w:rsid w:val="00424FDF"/>
    <w:rsid w:val="004278A6"/>
    <w:rsid w:val="00430B49"/>
    <w:rsid w:val="00430FA7"/>
    <w:rsid w:val="00431289"/>
    <w:rsid w:val="00433093"/>
    <w:rsid w:val="00433C23"/>
    <w:rsid w:val="00435668"/>
    <w:rsid w:val="00436B70"/>
    <w:rsid w:val="00440CD3"/>
    <w:rsid w:val="00441CBA"/>
    <w:rsid w:val="00441DE6"/>
    <w:rsid w:val="00441FD1"/>
    <w:rsid w:val="004421D6"/>
    <w:rsid w:val="0044284A"/>
    <w:rsid w:val="00445050"/>
    <w:rsid w:val="00445122"/>
    <w:rsid w:val="00445FC1"/>
    <w:rsid w:val="004466CE"/>
    <w:rsid w:val="004479CA"/>
    <w:rsid w:val="00450768"/>
    <w:rsid w:val="00450BBD"/>
    <w:rsid w:val="00451533"/>
    <w:rsid w:val="00451C22"/>
    <w:rsid w:val="0045230C"/>
    <w:rsid w:val="0045394F"/>
    <w:rsid w:val="00453975"/>
    <w:rsid w:val="00453F2B"/>
    <w:rsid w:val="00454184"/>
    <w:rsid w:val="004560BF"/>
    <w:rsid w:val="00456184"/>
    <w:rsid w:val="0046017D"/>
    <w:rsid w:val="00460AC9"/>
    <w:rsid w:val="00460CA2"/>
    <w:rsid w:val="00460E08"/>
    <w:rsid w:val="004620D6"/>
    <w:rsid w:val="00462B9E"/>
    <w:rsid w:val="0046391D"/>
    <w:rsid w:val="004640DC"/>
    <w:rsid w:val="00464700"/>
    <w:rsid w:val="0046589F"/>
    <w:rsid w:val="00465BA8"/>
    <w:rsid w:val="00465D3F"/>
    <w:rsid w:val="00466C16"/>
    <w:rsid w:val="004708FB"/>
    <w:rsid w:val="004710A7"/>
    <w:rsid w:val="00471F06"/>
    <w:rsid w:val="0047218F"/>
    <w:rsid w:val="00472669"/>
    <w:rsid w:val="00472ADD"/>
    <w:rsid w:val="00472B73"/>
    <w:rsid w:val="00472EEA"/>
    <w:rsid w:val="00472FF4"/>
    <w:rsid w:val="004735C8"/>
    <w:rsid w:val="0047463E"/>
    <w:rsid w:val="0047730A"/>
    <w:rsid w:val="004802E4"/>
    <w:rsid w:val="00480550"/>
    <w:rsid w:val="00482773"/>
    <w:rsid w:val="00482C78"/>
    <w:rsid w:val="00483FA1"/>
    <w:rsid w:val="00485DE8"/>
    <w:rsid w:val="00486558"/>
    <w:rsid w:val="00487628"/>
    <w:rsid w:val="00487D4D"/>
    <w:rsid w:val="0049063D"/>
    <w:rsid w:val="0049068A"/>
    <w:rsid w:val="00490F0C"/>
    <w:rsid w:val="00492BA0"/>
    <w:rsid w:val="0049458E"/>
    <w:rsid w:val="00494FB6"/>
    <w:rsid w:val="0049689C"/>
    <w:rsid w:val="00497448"/>
    <w:rsid w:val="004978BE"/>
    <w:rsid w:val="004A00A8"/>
    <w:rsid w:val="004A02C1"/>
    <w:rsid w:val="004A062D"/>
    <w:rsid w:val="004A18E6"/>
    <w:rsid w:val="004A1C61"/>
    <w:rsid w:val="004A210C"/>
    <w:rsid w:val="004A2998"/>
    <w:rsid w:val="004A2DD0"/>
    <w:rsid w:val="004A4666"/>
    <w:rsid w:val="004A56BA"/>
    <w:rsid w:val="004A766E"/>
    <w:rsid w:val="004B0265"/>
    <w:rsid w:val="004B0B4F"/>
    <w:rsid w:val="004B0F99"/>
    <w:rsid w:val="004B101D"/>
    <w:rsid w:val="004B3BF6"/>
    <w:rsid w:val="004B40F0"/>
    <w:rsid w:val="004B427A"/>
    <w:rsid w:val="004B472E"/>
    <w:rsid w:val="004B4C2C"/>
    <w:rsid w:val="004B4D9F"/>
    <w:rsid w:val="004B5537"/>
    <w:rsid w:val="004B6247"/>
    <w:rsid w:val="004B637B"/>
    <w:rsid w:val="004B6EBA"/>
    <w:rsid w:val="004B7239"/>
    <w:rsid w:val="004B7319"/>
    <w:rsid w:val="004B741B"/>
    <w:rsid w:val="004C15BB"/>
    <w:rsid w:val="004C1F01"/>
    <w:rsid w:val="004C24F6"/>
    <w:rsid w:val="004C707C"/>
    <w:rsid w:val="004C737C"/>
    <w:rsid w:val="004D089A"/>
    <w:rsid w:val="004D10EE"/>
    <w:rsid w:val="004D1C2C"/>
    <w:rsid w:val="004D3829"/>
    <w:rsid w:val="004D39F5"/>
    <w:rsid w:val="004D3E4A"/>
    <w:rsid w:val="004D46D1"/>
    <w:rsid w:val="004D676E"/>
    <w:rsid w:val="004D6F12"/>
    <w:rsid w:val="004D7B28"/>
    <w:rsid w:val="004E0263"/>
    <w:rsid w:val="004E1CCD"/>
    <w:rsid w:val="004E2619"/>
    <w:rsid w:val="004E2DA6"/>
    <w:rsid w:val="004E36D5"/>
    <w:rsid w:val="004E39D5"/>
    <w:rsid w:val="004E47AD"/>
    <w:rsid w:val="004E633A"/>
    <w:rsid w:val="004E67D1"/>
    <w:rsid w:val="004E73B6"/>
    <w:rsid w:val="004E74BA"/>
    <w:rsid w:val="004E7971"/>
    <w:rsid w:val="004E7C0E"/>
    <w:rsid w:val="004F0193"/>
    <w:rsid w:val="004F16E8"/>
    <w:rsid w:val="004F1F88"/>
    <w:rsid w:val="004F591C"/>
    <w:rsid w:val="004F6AA0"/>
    <w:rsid w:val="004F7620"/>
    <w:rsid w:val="0050108C"/>
    <w:rsid w:val="00501C02"/>
    <w:rsid w:val="00501D14"/>
    <w:rsid w:val="00501D87"/>
    <w:rsid w:val="005034BF"/>
    <w:rsid w:val="00503D52"/>
    <w:rsid w:val="005042C1"/>
    <w:rsid w:val="005044FD"/>
    <w:rsid w:val="00505222"/>
    <w:rsid w:val="00505717"/>
    <w:rsid w:val="00505FC7"/>
    <w:rsid w:val="005072DB"/>
    <w:rsid w:val="00507B67"/>
    <w:rsid w:val="00507F9A"/>
    <w:rsid w:val="00510392"/>
    <w:rsid w:val="005111CB"/>
    <w:rsid w:val="00511894"/>
    <w:rsid w:val="00511FCA"/>
    <w:rsid w:val="00512C3C"/>
    <w:rsid w:val="005130BF"/>
    <w:rsid w:val="00513CC5"/>
    <w:rsid w:val="00514B3F"/>
    <w:rsid w:val="0051662D"/>
    <w:rsid w:val="005204CA"/>
    <w:rsid w:val="005204EC"/>
    <w:rsid w:val="0052185A"/>
    <w:rsid w:val="00522FC5"/>
    <w:rsid w:val="00524500"/>
    <w:rsid w:val="00524837"/>
    <w:rsid w:val="00525813"/>
    <w:rsid w:val="005278FC"/>
    <w:rsid w:val="00530C05"/>
    <w:rsid w:val="00530EB2"/>
    <w:rsid w:val="00533220"/>
    <w:rsid w:val="00534694"/>
    <w:rsid w:val="0053498C"/>
    <w:rsid w:val="0053565A"/>
    <w:rsid w:val="0053627F"/>
    <w:rsid w:val="00536299"/>
    <w:rsid w:val="005367FD"/>
    <w:rsid w:val="00537D26"/>
    <w:rsid w:val="0054079F"/>
    <w:rsid w:val="00540AA3"/>
    <w:rsid w:val="00542322"/>
    <w:rsid w:val="0054244D"/>
    <w:rsid w:val="00543E1B"/>
    <w:rsid w:val="00545869"/>
    <w:rsid w:val="00546BBD"/>
    <w:rsid w:val="005470FB"/>
    <w:rsid w:val="0054768A"/>
    <w:rsid w:val="005476FC"/>
    <w:rsid w:val="00547942"/>
    <w:rsid w:val="00550969"/>
    <w:rsid w:val="00551A51"/>
    <w:rsid w:val="00551B59"/>
    <w:rsid w:val="00553A30"/>
    <w:rsid w:val="00553AB4"/>
    <w:rsid w:val="00555114"/>
    <w:rsid w:val="00555BFB"/>
    <w:rsid w:val="00555CC6"/>
    <w:rsid w:val="0055652C"/>
    <w:rsid w:val="00557612"/>
    <w:rsid w:val="0056116B"/>
    <w:rsid w:val="0056170E"/>
    <w:rsid w:val="00561881"/>
    <w:rsid w:val="00563F5D"/>
    <w:rsid w:val="005646E0"/>
    <w:rsid w:val="00564D6B"/>
    <w:rsid w:val="00566570"/>
    <w:rsid w:val="0056680D"/>
    <w:rsid w:val="005670E3"/>
    <w:rsid w:val="005671E0"/>
    <w:rsid w:val="00567DC8"/>
    <w:rsid w:val="0057002A"/>
    <w:rsid w:val="00570DC5"/>
    <w:rsid w:val="00571E01"/>
    <w:rsid w:val="00573936"/>
    <w:rsid w:val="00573DB5"/>
    <w:rsid w:val="005746DC"/>
    <w:rsid w:val="00575D19"/>
    <w:rsid w:val="0057680A"/>
    <w:rsid w:val="005803B9"/>
    <w:rsid w:val="005803C4"/>
    <w:rsid w:val="0058070C"/>
    <w:rsid w:val="0058132C"/>
    <w:rsid w:val="005817FF"/>
    <w:rsid w:val="00581C86"/>
    <w:rsid w:val="00582FC3"/>
    <w:rsid w:val="00583DDF"/>
    <w:rsid w:val="0058497B"/>
    <w:rsid w:val="005856F0"/>
    <w:rsid w:val="00585BC3"/>
    <w:rsid w:val="0058647C"/>
    <w:rsid w:val="00586A12"/>
    <w:rsid w:val="0058762A"/>
    <w:rsid w:val="005907C6"/>
    <w:rsid w:val="00591062"/>
    <w:rsid w:val="00591F3A"/>
    <w:rsid w:val="00592208"/>
    <w:rsid w:val="00592C51"/>
    <w:rsid w:val="005931DA"/>
    <w:rsid w:val="00593321"/>
    <w:rsid w:val="00593324"/>
    <w:rsid w:val="00593658"/>
    <w:rsid w:val="00593978"/>
    <w:rsid w:val="00593ADC"/>
    <w:rsid w:val="00593E95"/>
    <w:rsid w:val="0059419B"/>
    <w:rsid w:val="0059456F"/>
    <w:rsid w:val="005945F4"/>
    <w:rsid w:val="00595E35"/>
    <w:rsid w:val="00596963"/>
    <w:rsid w:val="005A1882"/>
    <w:rsid w:val="005A2119"/>
    <w:rsid w:val="005A2BFE"/>
    <w:rsid w:val="005A3FDC"/>
    <w:rsid w:val="005A4582"/>
    <w:rsid w:val="005A50A0"/>
    <w:rsid w:val="005A58ED"/>
    <w:rsid w:val="005A6FBE"/>
    <w:rsid w:val="005A7B8D"/>
    <w:rsid w:val="005B0145"/>
    <w:rsid w:val="005B0959"/>
    <w:rsid w:val="005B0F3D"/>
    <w:rsid w:val="005B133A"/>
    <w:rsid w:val="005B16BD"/>
    <w:rsid w:val="005B25A0"/>
    <w:rsid w:val="005B2DA3"/>
    <w:rsid w:val="005B30CC"/>
    <w:rsid w:val="005B353C"/>
    <w:rsid w:val="005B512E"/>
    <w:rsid w:val="005B5215"/>
    <w:rsid w:val="005B6E21"/>
    <w:rsid w:val="005B6E49"/>
    <w:rsid w:val="005C1440"/>
    <w:rsid w:val="005C20D7"/>
    <w:rsid w:val="005C2781"/>
    <w:rsid w:val="005C34C2"/>
    <w:rsid w:val="005C3AFC"/>
    <w:rsid w:val="005C3C71"/>
    <w:rsid w:val="005C4BA5"/>
    <w:rsid w:val="005C5806"/>
    <w:rsid w:val="005C5C1D"/>
    <w:rsid w:val="005C76A8"/>
    <w:rsid w:val="005C790D"/>
    <w:rsid w:val="005D0771"/>
    <w:rsid w:val="005D080F"/>
    <w:rsid w:val="005D1229"/>
    <w:rsid w:val="005D3C24"/>
    <w:rsid w:val="005D4095"/>
    <w:rsid w:val="005D43D0"/>
    <w:rsid w:val="005D5D22"/>
    <w:rsid w:val="005D5D4B"/>
    <w:rsid w:val="005D6373"/>
    <w:rsid w:val="005D674F"/>
    <w:rsid w:val="005D6DDA"/>
    <w:rsid w:val="005D719C"/>
    <w:rsid w:val="005D7297"/>
    <w:rsid w:val="005D752B"/>
    <w:rsid w:val="005E02A5"/>
    <w:rsid w:val="005E05F9"/>
    <w:rsid w:val="005E0A99"/>
    <w:rsid w:val="005E1053"/>
    <w:rsid w:val="005E19F4"/>
    <w:rsid w:val="005E3C74"/>
    <w:rsid w:val="005E4488"/>
    <w:rsid w:val="005E4A81"/>
    <w:rsid w:val="005E6D2F"/>
    <w:rsid w:val="005F0489"/>
    <w:rsid w:val="005F04C3"/>
    <w:rsid w:val="005F05F4"/>
    <w:rsid w:val="005F1D5B"/>
    <w:rsid w:val="005F217D"/>
    <w:rsid w:val="005F4A32"/>
    <w:rsid w:val="005F5D2F"/>
    <w:rsid w:val="005F5E23"/>
    <w:rsid w:val="005F641B"/>
    <w:rsid w:val="005F72FB"/>
    <w:rsid w:val="00600464"/>
    <w:rsid w:val="0060097F"/>
    <w:rsid w:val="006016FF"/>
    <w:rsid w:val="006020DE"/>
    <w:rsid w:val="00605DB9"/>
    <w:rsid w:val="00605F73"/>
    <w:rsid w:val="006064E0"/>
    <w:rsid w:val="006066A0"/>
    <w:rsid w:val="00606D99"/>
    <w:rsid w:val="00607F4D"/>
    <w:rsid w:val="0061361F"/>
    <w:rsid w:val="00614779"/>
    <w:rsid w:val="006149AE"/>
    <w:rsid w:val="006162EF"/>
    <w:rsid w:val="00617CA7"/>
    <w:rsid w:val="00620487"/>
    <w:rsid w:val="006204B1"/>
    <w:rsid w:val="006207ED"/>
    <w:rsid w:val="0062081C"/>
    <w:rsid w:val="00622BF0"/>
    <w:rsid w:val="00622BFB"/>
    <w:rsid w:val="00623944"/>
    <w:rsid w:val="00624495"/>
    <w:rsid w:val="006247D8"/>
    <w:rsid w:val="00625EF2"/>
    <w:rsid w:val="00632A93"/>
    <w:rsid w:val="006331A4"/>
    <w:rsid w:val="00634BEE"/>
    <w:rsid w:val="00634C35"/>
    <w:rsid w:val="00636651"/>
    <w:rsid w:val="00636C7E"/>
    <w:rsid w:val="00637164"/>
    <w:rsid w:val="00640F88"/>
    <w:rsid w:val="006429F5"/>
    <w:rsid w:val="00642ECB"/>
    <w:rsid w:val="00643B44"/>
    <w:rsid w:val="006456D7"/>
    <w:rsid w:val="00646449"/>
    <w:rsid w:val="006465BC"/>
    <w:rsid w:val="006476B4"/>
    <w:rsid w:val="006479F8"/>
    <w:rsid w:val="006505B2"/>
    <w:rsid w:val="00651F40"/>
    <w:rsid w:val="0065256D"/>
    <w:rsid w:val="00653511"/>
    <w:rsid w:val="00653E0C"/>
    <w:rsid w:val="00653E3A"/>
    <w:rsid w:val="00654591"/>
    <w:rsid w:val="00654D9D"/>
    <w:rsid w:val="00656CFA"/>
    <w:rsid w:val="00657EF7"/>
    <w:rsid w:val="00657F48"/>
    <w:rsid w:val="0066041A"/>
    <w:rsid w:val="0066061F"/>
    <w:rsid w:val="0066171B"/>
    <w:rsid w:val="00661837"/>
    <w:rsid w:val="006627DA"/>
    <w:rsid w:val="0066322D"/>
    <w:rsid w:val="00664A00"/>
    <w:rsid w:val="00664FF8"/>
    <w:rsid w:val="00665F36"/>
    <w:rsid w:val="00666D36"/>
    <w:rsid w:val="006672DF"/>
    <w:rsid w:val="00667628"/>
    <w:rsid w:val="00667CD0"/>
    <w:rsid w:val="006715A8"/>
    <w:rsid w:val="00671D5C"/>
    <w:rsid w:val="006720C5"/>
    <w:rsid w:val="00675024"/>
    <w:rsid w:val="00677CA4"/>
    <w:rsid w:val="00680196"/>
    <w:rsid w:val="006801B7"/>
    <w:rsid w:val="006804AF"/>
    <w:rsid w:val="00680916"/>
    <w:rsid w:val="00680E58"/>
    <w:rsid w:val="00681786"/>
    <w:rsid w:val="00682650"/>
    <w:rsid w:val="00682EAD"/>
    <w:rsid w:val="00683809"/>
    <w:rsid w:val="00684F2B"/>
    <w:rsid w:val="00686857"/>
    <w:rsid w:val="00687BCB"/>
    <w:rsid w:val="0069040B"/>
    <w:rsid w:val="0069114A"/>
    <w:rsid w:val="006978CE"/>
    <w:rsid w:val="00697914"/>
    <w:rsid w:val="006A0403"/>
    <w:rsid w:val="006A19C4"/>
    <w:rsid w:val="006A2F8F"/>
    <w:rsid w:val="006A360A"/>
    <w:rsid w:val="006A3782"/>
    <w:rsid w:val="006A4F52"/>
    <w:rsid w:val="006A77FE"/>
    <w:rsid w:val="006A78BC"/>
    <w:rsid w:val="006A7E89"/>
    <w:rsid w:val="006B2268"/>
    <w:rsid w:val="006B2C18"/>
    <w:rsid w:val="006B35B1"/>
    <w:rsid w:val="006B3B84"/>
    <w:rsid w:val="006B575D"/>
    <w:rsid w:val="006B76A5"/>
    <w:rsid w:val="006C01B3"/>
    <w:rsid w:val="006C2F79"/>
    <w:rsid w:val="006C3FEE"/>
    <w:rsid w:val="006C4712"/>
    <w:rsid w:val="006C4B6A"/>
    <w:rsid w:val="006C5DA1"/>
    <w:rsid w:val="006C5E66"/>
    <w:rsid w:val="006C62AA"/>
    <w:rsid w:val="006C6A7A"/>
    <w:rsid w:val="006C7425"/>
    <w:rsid w:val="006C76FB"/>
    <w:rsid w:val="006D0297"/>
    <w:rsid w:val="006D0A84"/>
    <w:rsid w:val="006D0EA0"/>
    <w:rsid w:val="006D38B0"/>
    <w:rsid w:val="006D4659"/>
    <w:rsid w:val="006D5DDD"/>
    <w:rsid w:val="006D615A"/>
    <w:rsid w:val="006D71C0"/>
    <w:rsid w:val="006E0417"/>
    <w:rsid w:val="006E124B"/>
    <w:rsid w:val="006E1F71"/>
    <w:rsid w:val="006E4492"/>
    <w:rsid w:val="006E5DA4"/>
    <w:rsid w:val="006E71F7"/>
    <w:rsid w:val="006E7BA7"/>
    <w:rsid w:val="006E7F94"/>
    <w:rsid w:val="006F0F6A"/>
    <w:rsid w:val="006F1F8C"/>
    <w:rsid w:val="006F2187"/>
    <w:rsid w:val="006F2D47"/>
    <w:rsid w:val="006F2F66"/>
    <w:rsid w:val="006F31C8"/>
    <w:rsid w:val="006F362E"/>
    <w:rsid w:val="006F432A"/>
    <w:rsid w:val="006F466B"/>
    <w:rsid w:val="006F494C"/>
    <w:rsid w:val="006F54EA"/>
    <w:rsid w:val="006F573A"/>
    <w:rsid w:val="006F6AAC"/>
    <w:rsid w:val="006F72FF"/>
    <w:rsid w:val="006F73F7"/>
    <w:rsid w:val="006F7FA0"/>
    <w:rsid w:val="0070062E"/>
    <w:rsid w:val="00700E81"/>
    <w:rsid w:val="00700F1E"/>
    <w:rsid w:val="00702A7F"/>
    <w:rsid w:val="00702E02"/>
    <w:rsid w:val="007041CC"/>
    <w:rsid w:val="00704BF2"/>
    <w:rsid w:val="00705A28"/>
    <w:rsid w:val="0070632C"/>
    <w:rsid w:val="007071BC"/>
    <w:rsid w:val="00707358"/>
    <w:rsid w:val="0070794F"/>
    <w:rsid w:val="00707B75"/>
    <w:rsid w:val="007125E5"/>
    <w:rsid w:val="007131C4"/>
    <w:rsid w:val="00714348"/>
    <w:rsid w:val="00714731"/>
    <w:rsid w:val="00714981"/>
    <w:rsid w:val="0071661A"/>
    <w:rsid w:val="00717600"/>
    <w:rsid w:val="00717D2D"/>
    <w:rsid w:val="00717FAF"/>
    <w:rsid w:val="00720F2A"/>
    <w:rsid w:val="00721F3A"/>
    <w:rsid w:val="007222BF"/>
    <w:rsid w:val="00722B1E"/>
    <w:rsid w:val="007316EC"/>
    <w:rsid w:val="00731D1D"/>
    <w:rsid w:val="00731E79"/>
    <w:rsid w:val="007326FD"/>
    <w:rsid w:val="00733231"/>
    <w:rsid w:val="00733489"/>
    <w:rsid w:val="00733798"/>
    <w:rsid w:val="00733C8F"/>
    <w:rsid w:val="00734A43"/>
    <w:rsid w:val="007367B7"/>
    <w:rsid w:val="00736DBD"/>
    <w:rsid w:val="00737C0D"/>
    <w:rsid w:val="007403E0"/>
    <w:rsid w:val="0074105E"/>
    <w:rsid w:val="0074167D"/>
    <w:rsid w:val="0074204D"/>
    <w:rsid w:val="00744AB5"/>
    <w:rsid w:val="00744F39"/>
    <w:rsid w:val="00744FC5"/>
    <w:rsid w:val="0074577C"/>
    <w:rsid w:val="00745C43"/>
    <w:rsid w:val="00747E62"/>
    <w:rsid w:val="007508D6"/>
    <w:rsid w:val="007519A1"/>
    <w:rsid w:val="00752550"/>
    <w:rsid w:val="0075338D"/>
    <w:rsid w:val="007538F1"/>
    <w:rsid w:val="00754CF1"/>
    <w:rsid w:val="00754E01"/>
    <w:rsid w:val="00754FC4"/>
    <w:rsid w:val="0075521E"/>
    <w:rsid w:val="0075561E"/>
    <w:rsid w:val="007559A2"/>
    <w:rsid w:val="0075766E"/>
    <w:rsid w:val="007608A8"/>
    <w:rsid w:val="007608E5"/>
    <w:rsid w:val="0076251C"/>
    <w:rsid w:val="00762CF2"/>
    <w:rsid w:val="00762F41"/>
    <w:rsid w:val="00763C0B"/>
    <w:rsid w:val="00764A06"/>
    <w:rsid w:val="00764AB8"/>
    <w:rsid w:val="00765484"/>
    <w:rsid w:val="007664F8"/>
    <w:rsid w:val="00767C56"/>
    <w:rsid w:val="007711B4"/>
    <w:rsid w:val="00771B07"/>
    <w:rsid w:val="007731C7"/>
    <w:rsid w:val="007738B6"/>
    <w:rsid w:val="007748B2"/>
    <w:rsid w:val="00775CF4"/>
    <w:rsid w:val="0077633F"/>
    <w:rsid w:val="0077719B"/>
    <w:rsid w:val="00780B72"/>
    <w:rsid w:val="00782174"/>
    <w:rsid w:val="007828F2"/>
    <w:rsid w:val="00782FFF"/>
    <w:rsid w:val="007830A5"/>
    <w:rsid w:val="00784055"/>
    <w:rsid w:val="00785BC6"/>
    <w:rsid w:val="007863E6"/>
    <w:rsid w:val="007867C0"/>
    <w:rsid w:val="00787B3F"/>
    <w:rsid w:val="00790D6A"/>
    <w:rsid w:val="00791495"/>
    <w:rsid w:val="00793C98"/>
    <w:rsid w:val="00794F90"/>
    <w:rsid w:val="007955EF"/>
    <w:rsid w:val="007A0513"/>
    <w:rsid w:val="007A1F3C"/>
    <w:rsid w:val="007A43A6"/>
    <w:rsid w:val="007A4E39"/>
    <w:rsid w:val="007A58CA"/>
    <w:rsid w:val="007A5F82"/>
    <w:rsid w:val="007A7894"/>
    <w:rsid w:val="007B09FB"/>
    <w:rsid w:val="007B0B05"/>
    <w:rsid w:val="007B0E2A"/>
    <w:rsid w:val="007B120A"/>
    <w:rsid w:val="007B371C"/>
    <w:rsid w:val="007B5795"/>
    <w:rsid w:val="007B6D17"/>
    <w:rsid w:val="007C12BC"/>
    <w:rsid w:val="007C1982"/>
    <w:rsid w:val="007C32B2"/>
    <w:rsid w:val="007C4396"/>
    <w:rsid w:val="007C46ED"/>
    <w:rsid w:val="007C4E4A"/>
    <w:rsid w:val="007C7D10"/>
    <w:rsid w:val="007D19E6"/>
    <w:rsid w:val="007D1C54"/>
    <w:rsid w:val="007D3C92"/>
    <w:rsid w:val="007D4131"/>
    <w:rsid w:val="007D431E"/>
    <w:rsid w:val="007D54AB"/>
    <w:rsid w:val="007D618B"/>
    <w:rsid w:val="007D6675"/>
    <w:rsid w:val="007D678F"/>
    <w:rsid w:val="007D78A4"/>
    <w:rsid w:val="007E014A"/>
    <w:rsid w:val="007E196A"/>
    <w:rsid w:val="007E1BD9"/>
    <w:rsid w:val="007E2D8D"/>
    <w:rsid w:val="007E3FD5"/>
    <w:rsid w:val="007E4294"/>
    <w:rsid w:val="007E5477"/>
    <w:rsid w:val="007E67FD"/>
    <w:rsid w:val="007E6C01"/>
    <w:rsid w:val="007F045F"/>
    <w:rsid w:val="007F1923"/>
    <w:rsid w:val="007F1F39"/>
    <w:rsid w:val="007F208A"/>
    <w:rsid w:val="007F3AB7"/>
    <w:rsid w:val="007F437D"/>
    <w:rsid w:val="007F4EE5"/>
    <w:rsid w:val="007F5B91"/>
    <w:rsid w:val="007F6177"/>
    <w:rsid w:val="007F6D61"/>
    <w:rsid w:val="008001D3"/>
    <w:rsid w:val="00802848"/>
    <w:rsid w:val="0080358D"/>
    <w:rsid w:val="0080363F"/>
    <w:rsid w:val="00805858"/>
    <w:rsid w:val="00805AE0"/>
    <w:rsid w:val="00806828"/>
    <w:rsid w:val="00806A28"/>
    <w:rsid w:val="00807AD8"/>
    <w:rsid w:val="008108D2"/>
    <w:rsid w:val="00810BF1"/>
    <w:rsid w:val="00810EAB"/>
    <w:rsid w:val="00811204"/>
    <w:rsid w:val="0081161E"/>
    <w:rsid w:val="008117FA"/>
    <w:rsid w:val="0081318C"/>
    <w:rsid w:val="00813DB9"/>
    <w:rsid w:val="00815D55"/>
    <w:rsid w:val="00815E4F"/>
    <w:rsid w:val="00816AEC"/>
    <w:rsid w:val="00817A83"/>
    <w:rsid w:val="00817FD9"/>
    <w:rsid w:val="00821D14"/>
    <w:rsid w:val="00821FE0"/>
    <w:rsid w:val="00822817"/>
    <w:rsid w:val="008232B4"/>
    <w:rsid w:val="008237D1"/>
    <w:rsid w:val="0082452B"/>
    <w:rsid w:val="00824D11"/>
    <w:rsid w:val="00824D59"/>
    <w:rsid w:val="00824E40"/>
    <w:rsid w:val="00824F60"/>
    <w:rsid w:val="00825C00"/>
    <w:rsid w:val="00826648"/>
    <w:rsid w:val="0082695C"/>
    <w:rsid w:val="00827E2C"/>
    <w:rsid w:val="00827F62"/>
    <w:rsid w:val="00830A6A"/>
    <w:rsid w:val="00830BD4"/>
    <w:rsid w:val="00831FB3"/>
    <w:rsid w:val="008323EB"/>
    <w:rsid w:val="0083382F"/>
    <w:rsid w:val="00833D64"/>
    <w:rsid w:val="008352A8"/>
    <w:rsid w:val="00835B92"/>
    <w:rsid w:val="00835F0E"/>
    <w:rsid w:val="008366FB"/>
    <w:rsid w:val="0083718A"/>
    <w:rsid w:val="008375E1"/>
    <w:rsid w:val="0084086A"/>
    <w:rsid w:val="008422B2"/>
    <w:rsid w:val="00843CCD"/>
    <w:rsid w:val="00844378"/>
    <w:rsid w:val="00844617"/>
    <w:rsid w:val="00844F1E"/>
    <w:rsid w:val="00844F3B"/>
    <w:rsid w:val="00845A28"/>
    <w:rsid w:val="00845C35"/>
    <w:rsid w:val="008469B4"/>
    <w:rsid w:val="008473AF"/>
    <w:rsid w:val="008500AD"/>
    <w:rsid w:val="00850BAC"/>
    <w:rsid w:val="00852724"/>
    <w:rsid w:val="00853C84"/>
    <w:rsid w:val="00853FBC"/>
    <w:rsid w:val="008546C9"/>
    <w:rsid w:val="00855640"/>
    <w:rsid w:val="00856E37"/>
    <w:rsid w:val="00856F94"/>
    <w:rsid w:val="00857491"/>
    <w:rsid w:val="008610AB"/>
    <w:rsid w:val="00861D98"/>
    <w:rsid w:val="00861EA8"/>
    <w:rsid w:val="00861F95"/>
    <w:rsid w:val="00862FD8"/>
    <w:rsid w:val="00863936"/>
    <w:rsid w:val="00864420"/>
    <w:rsid w:val="008655E8"/>
    <w:rsid w:val="00865F4E"/>
    <w:rsid w:val="0086666D"/>
    <w:rsid w:val="008672A8"/>
    <w:rsid w:val="00867BDA"/>
    <w:rsid w:val="00867C70"/>
    <w:rsid w:val="00870CBD"/>
    <w:rsid w:val="00873CCE"/>
    <w:rsid w:val="008742DC"/>
    <w:rsid w:val="00874A0D"/>
    <w:rsid w:val="00874AC2"/>
    <w:rsid w:val="0087546C"/>
    <w:rsid w:val="008757CF"/>
    <w:rsid w:val="00875835"/>
    <w:rsid w:val="008770F7"/>
    <w:rsid w:val="00877E3A"/>
    <w:rsid w:val="00877F5C"/>
    <w:rsid w:val="00880866"/>
    <w:rsid w:val="00881F8C"/>
    <w:rsid w:val="0088216A"/>
    <w:rsid w:val="00882FB0"/>
    <w:rsid w:val="00884457"/>
    <w:rsid w:val="00884678"/>
    <w:rsid w:val="00886063"/>
    <w:rsid w:val="008874F3"/>
    <w:rsid w:val="00887541"/>
    <w:rsid w:val="00890E40"/>
    <w:rsid w:val="00891EA8"/>
    <w:rsid w:val="0089203A"/>
    <w:rsid w:val="0089215B"/>
    <w:rsid w:val="00892A2A"/>
    <w:rsid w:val="00892CB0"/>
    <w:rsid w:val="00892F58"/>
    <w:rsid w:val="00893593"/>
    <w:rsid w:val="00894171"/>
    <w:rsid w:val="00894554"/>
    <w:rsid w:val="00895AFB"/>
    <w:rsid w:val="00896E33"/>
    <w:rsid w:val="00896E93"/>
    <w:rsid w:val="008977D9"/>
    <w:rsid w:val="008A0D0F"/>
    <w:rsid w:val="008A15DE"/>
    <w:rsid w:val="008A1BC1"/>
    <w:rsid w:val="008A21BF"/>
    <w:rsid w:val="008A24B9"/>
    <w:rsid w:val="008A2BD8"/>
    <w:rsid w:val="008A3837"/>
    <w:rsid w:val="008A46CD"/>
    <w:rsid w:val="008A5EF1"/>
    <w:rsid w:val="008A6EFA"/>
    <w:rsid w:val="008A7673"/>
    <w:rsid w:val="008B01BF"/>
    <w:rsid w:val="008B286B"/>
    <w:rsid w:val="008B386F"/>
    <w:rsid w:val="008B4D1A"/>
    <w:rsid w:val="008B4DEA"/>
    <w:rsid w:val="008B5C5C"/>
    <w:rsid w:val="008B7926"/>
    <w:rsid w:val="008C0536"/>
    <w:rsid w:val="008C0DAA"/>
    <w:rsid w:val="008C16D0"/>
    <w:rsid w:val="008C3167"/>
    <w:rsid w:val="008C379D"/>
    <w:rsid w:val="008C521F"/>
    <w:rsid w:val="008C5373"/>
    <w:rsid w:val="008C5D40"/>
    <w:rsid w:val="008C664E"/>
    <w:rsid w:val="008C7932"/>
    <w:rsid w:val="008D0B26"/>
    <w:rsid w:val="008D2082"/>
    <w:rsid w:val="008D387A"/>
    <w:rsid w:val="008D3A2A"/>
    <w:rsid w:val="008D3BF1"/>
    <w:rsid w:val="008D3EAF"/>
    <w:rsid w:val="008D4001"/>
    <w:rsid w:val="008D4034"/>
    <w:rsid w:val="008D4C4B"/>
    <w:rsid w:val="008D4D3C"/>
    <w:rsid w:val="008D4F98"/>
    <w:rsid w:val="008D516A"/>
    <w:rsid w:val="008D554A"/>
    <w:rsid w:val="008D6653"/>
    <w:rsid w:val="008E072F"/>
    <w:rsid w:val="008E0F71"/>
    <w:rsid w:val="008E18A5"/>
    <w:rsid w:val="008E25E4"/>
    <w:rsid w:val="008E2771"/>
    <w:rsid w:val="008E3164"/>
    <w:rsid w:val="008E456B"/>
    <w:rsid w:val="008E4746"/>
    <w:rsid w:val="008E4CAA"/>
    <w:rsid w:val="008E586E"/>
    <w:rsid w:val="008E596A"/>
    <w:rsid w:val="008E5BDD"/>
    <w:rsid w:val="008E607A"/>
    <w:rsid w:val="008E7722"/>
    <w:rsid w:val="008F0024"/>
    <w:rsid w:val="008F22C2"/>
    <w:rsid w:val="008F2970"/>
    <w:rsid w:val="008F3B81"/>
    <w:rsid w:val="008F43DA"/>
    <w:rsid w:val="008F4A10"/>
    <w:rsid w:val="009008ED"/>
    <w:rsid w:val="00900BBA"/>
    <w:rsid w:val="00901689"/>
    <w:rsid w:val="00902F50"/>
    <w:rsid w:val="00904814"/>
    <w:rsid w:val="00905466"/>
    <w:rsid w:val="00905576"/>
    <w:rsid w:val="00905A39"/>
    <w:rsid w:val="0090606A"/>
    <w:rsid w:val="00906C81"/>
    <w:rsid w:val="00907B94"/>
    <w:rsid w:val="00907E29"/>
    <w:rsid w:val="009109C4"/>
    <w:rsid w:val="00911E53"/>
    <w:rsid w:val="00912730"/>
    <w:rsid w:val="00913FE3"/>
    <w:rsid w:val="00914F1C"/>
    <w:rsid w:val="0091683C"/>
    <w:rsid w:val="009176CC"/>
    <w:rsid w:val="009201DC"/>
    <w:rsid w:val="009204BD"/>
    <w:rsid w:val="00921639"/>
    <w:rsid w:val="009238B5"/>
    <w:rsid w:val="00923C59"/>
    <w:rsid w:val="0092510D"/>
    <w:rsid w:val="009258FF"/>
    <w:rsid w:val="0092593A"/>
    <w:rsid w:val="00925DA2"/>
    <w:rsid w:val="00925F74"/>
    <w:rsid w:val="00926424"/>
    <w:rsid w:val="009267D2"/>
    <w:rsid w:val="00927A59"/>
    <w:rsid w:val="00927E19"/>
    <w:rsid w:val="0093034A"/>
    <w:rsid w:val="00931E44"/>
    <w:rsid w:val="00932E24"/>
    <w:rsid w:val="00933195"/>
    <w:rsid w:val="00933749"/>
    <w:rsid w:val="00933B27"/>
    <w:rsid w:val="00934296"/>
    <w:rsid w:val="009345CD"/>
    <w:rsid w:val="00934F80"/>
    <w:rsid w:val="00934FB1"/>
    <w:rsid w:val="0093790D"/>
    <w:rsid w:val="00940448"/>
    <w:rsid w:val="00940501"/>
    <w:rsid w:val="009406F6"/>
    <w:rsid w:val="009415EB"/>
    <w:rsid w:val="00942272"/>
    <w:rsid w:val="0094404F"/>
    <w:rsid w:val="009449A4"/>
    <w:rsid w:val="009454B6"/>
    <w:rsid w:val="00945D55"/>
    <w:rsid w:val="00946E62"/>
    <w:rsid w:val="009475FB"/>
    <w:rsid w:val="009478EF"/>
    <w:rsid w:val="0095006F"/>
    <w:rsid w:val="00950322"/>
    <w:rsid w:val="00950490"/>
    <w:rsid w:val="00950EC0"/>
    <w:rsid w:val="009539E2"/>
    <w:rsid w:val="009546A2"/>
    <w:rsid w:val="00954773"/>
    <w:rsid w:val="00954FAC"/>
    <w:rsid w:val="00955612"/>
    <w:rsid w:val="0095614F"/>
    <w:rsid w:val="009565F2"/>
    <w:rsid w:val="00957B1A"/>
    <w:rsid w:val="00957B55"/>
    <w:rsid w:val="0096189B"/>
    <w:rsid w:val="00964E3C"/>
    <w:rsid w:val="00965DCF"/>
    <w:rsid w:val="00967112"/>
    <w:rsid w:val="00967B97"/>
    <w:rsid w:val="00971082"/>
    <w:rsid w:val="00972185"/>
    <w:rsid w:val="00972468"/>
    <w:rsid w:val="009724A5"/>
    <w:rsid w:val="0097298D"/>
    <w:rsid w:val="00972D4A"/>
    <w:rsid w:val="00973A68"/>
    <w:rsid w:val="00974DE9"/>
    <w:rsid w:val="009753D3"/>
    <w:rsid w:val="00977555"/>
    <w:rsid w:val="0097758B"/>
    <w:rsid w:val="0097765C"/>
    <w:rsid w:val="00977F0B"/>
    <w:rsid w:val="00982DB8"/>
    <w:rsid w:val="009830EE"/>
    <w:rsid w:val="00984531"/>
    <w:rsid w:val="00985418"/>
    <w:rsid w:val="00985807"/>
    <w:rsid w:val="00986C87"/>
    <w:rsid w:val="00986E87"/>
    <w:rsid w:val="00986FCE"/>
    <w:rsid w:val="00986FEB"/>
    <w:rsid w:val="009903C6"/>
    <w:rsid w:val="009904E3"/>
    <w:rsid w:val="009911C5"/>
    <w:rsid w:val="009921AE"/>
    <w:rsid w:val="009925C9"/>
    <w:rsid w:val="009925DA"/>
    <w:rsid w:val="00993ED2"/>
    <w:rsid w:val="00995DC6"/>
    <w:rsid w:val="00996334"/>
    <w:rsid w:val="00997971"/>
    <w:rsid w:val="00997A93"/>
    <w:rsid w:val="00997B3E"/>
    <w:rsid w:val="009A25E9"/>
    <w:rsid w:val="009A3993"/>
    <w:rsid w:val="009A504B"/>
    <w:rsid w:val="009A5AE7"/>
    <w:rsid w:val="009A732B"/>
    <w:rsid w:val="009A7650"/>
    <w:rsid w:val="009A77F7"/>
    <w:rsid w:val="009B0A16"/>
    <w:rsid w:val="009B14F3"/>
    <w:rsid w:val="009B1E48"/>
    <w:rsid w:val="009B3C57"/>
    <w:rsid w:val="009B502B"/>
    <w:rsid w:val="009B5A69"/>
    <w:rsid w:val="009B72B6"/>
    <w:rsid w:val="009C13CF"/>
    <w:rsid w:val="009C14E1"/>
    <w:rsid w:val="009C3F8D"/>
    <w:rsid w:val="009C3FA4"/>
    <w:rsid w:val="009C4475"/>
    <w:rsid w:val="009C4B76"/>
    <w:rsid w:val="009C5AA5"/>
    <w:rsid w:val="009C6BE0"/>
    <w:rsid w:val="009D03A1"/>
    <w:rsid w:val="009D0608"/>
    <w:rsid w:val="009D1A7C"/>
    <w:rsid w:val="009D1B5E"/>
    <w:rsid w:val="009D2149"/>
    <w:rsid w:val="009D288D"/>
    <w:rsid w:val="009D2A2A"/>
    <w:rsid w:val="009D2F4B"/>
    <w:rsid w:val="009D3758"/>
    <w:rsid w:val="009D3B69"/>
    <w:rsid w:val="009D443B"/>
    <w:rsid w:val="009D5490"/>
    <w:rsid w:val="009D594D"/>
    <w:rsid w:val="009D5B1E"/>
    <w:rsid w:val="009D6E37"/>
    <w:rsid w:val="009E0030"/>
    <w:rsid w:val="009E0785"/>
    <w:rsid w:val="009E3293"/>
    <w:rsid w:val="009E42C9"/>
    <w:rsid w:val="009E5DC0"/>
    <w:rsid w:val="009E76BC"/>
    <w:rsid w:val="009E76CD"/>
    <w:rsid w:val="009E7C1B"/>
    <w:rsid w:val="009E7F14"/>
    <w:rsid w:val="009F124E"/>
    <w:rsid w:val="009F12C4"/>
    <w:rsid w:val="009F1347"/>
    <w:rsid w:val="009F197F"/>
    <w:rsid w:val="009F1C4B"/>
    <w:rsid w:val="009F2341"/>
    <w:rsid w:val="009F2E4A"/>
    <w:rsid w:val="009F4E4F"/>
    <w:rsid w:val="009F4E95"/>
    <w:rsid w:val="009F4F81"/>
    <w:rsid w:val="009F54B2"/>
    <w:rsid w:val="009F7C18"/>
    <w:rsid w:val="009F7F39"/>
    <w:rsid w:val="00A0008F"/>
    <w:rsid w:val="00A0083A"/>
    <w:rsid w:val="00A015B5"/>
    <w:rsid w:val="00A01A10"/>
    <w:rsid w:val="00A02919"/>
    <w:rsid w:val="00A033D2"/>
    <w:rsid w:val="00A03C56"/>
    <w:rsid w:val="00A04C83"/>
    <w:rsid w:val="00A04C85"/>
    <w:rsid w:val="00A050A9"/>
    <w:rsid w:val="00A05544"/>
    <w:rsid w:val="00A05F09"/>
    <w:rsid w:val="00A06154"/>
    <w:rsid w:val="00A06E87"/>
    <w:rsid w:val="00A101C3"/>
    <w:rsid w:val="00A10B11"/>
    <w:rsid w:val="00A1105A"/>
    <w:rsid w:val="00A11670"/>
    <w:rsid w:val="00A11FF5"/>
    <w:rsid w:val="00A12213"/>
    <w:rsid w:val="00A12D57"/>
    <w:rsid w:val="00A12F2E"/>
    <w:rsid w:val="00A13371"/>
    <w:rsid w:val="00A141DA"/>
    <w:rsid w:val="00A1633E"/>
    <w:rsid w:val="00A17E47"/>
    <w:rsid w:val="00A200B0"/>
    <w:rsid w:val="00A20106"/>
    <w:rsid w:val="00A20C8D"/>
    <w:rsid w:val="00A213AE"/>
    <w:rsid w:val="00A217B6"/>
    <w:rsid w:val="00A2242A"/>
    <w:rsid w:val="00A226E0"/>
    <w:rsid w:val="00A226E4"/>
    <w:rsid w:val="00A22B3A"/>
    <w:rsid w:val="00A23314"/>
    <w:rsid w:val="00A23CEB"/>
    <w:rsid w:val="00A24339"/>
    <w:rsid w:val="00A24BB4"/>
    <w:rsid w:val="00A25B09"/>
    <w:rsid w:val="00A25C65"/>
    <w:rsid w:val="00A25DAA"/>
    <w:rsid w:val="00A26D77"/>
    <w:rsid w:val="00A279C5"/>
    <w:rsid w:val="00A27E2E"/>
    <w:rsid w:val="00A318C0"/>
    <w:rsid w:val="00A31925"/>
    <w:rsid w:val="00A31CB5"/>
    <w:rsid w:val="00A3334A"/>
    <w:rsid w:val="00A3385A"/>
    <w:rsid w:val="00A343CB"/>
    <w:rsid w:val="00A36014"/>
    <w:rsid w:val="00A366DD"/>
    <w:rsid w:val="00A36D4D"/>
    <w:rsid w:val="00A375E8"/>
    <w:rsid w:val="00A37BA3"/>
    <w:rsid w:val="00A40641"/>
    <w:rsid w:val="00A408B4"/>
    <w:rsid w:val="00A408CD"/>
    <w:rsid w:val="00A40E26"/>
    <w:rsid w:val="00A412B3"/>
    <w:rsid w:val="00A41A58"/>
    <w:rsid w:val="00A43819"/>
    <w:rsid w:val="00A43D96"/>
    <w:rsid w:val="00A44D07"/>
    <w:rsid w:val="00A45DCC"/>
    <w:rsid w:val="00A4603F"/>
    <w:rsid w:val="00A47A59"/>
    <w:rsid w:val="00A47C87"/>
    <w:rsid w:val="00A5083D"/>
    <w:rsid w:val="00A52436"/>
    <w:rsid w:val="00A527EA"/>
    <w:rsid w:val="00A52F36"/>
    <w:rsid w:val="00A533AB"/>
    <w:rsid w:val="00A538F4"/>
    <w:rsid w:val="00A53979"/>
    <w:rsid w:val="00A53D20"/>
    <w:rsid w:val="00A545E0"/>
    <w:rsid w:val="00A557FF"/>
    <w:rsid w:val="00A56997"/>
    <w:rsid w:val="00A5741D"/>
    <w:rsid w:val="00A57B44"/>
    <w:rsid w:val="00A60E24"/>
    <w:rsid w:val="00A61A67"/>
    <w:rsid w:val="00A62650"/>
    <w:rsid w:val="00A62CED"/>
    <w:rsid w:val="00A637D4"/>
    <w:rsid w:val="00A649B5"/>
    <w:rsid w:val="00A6524D"/>
    <w:rsid w:val="00A65C15"/>
    <w:rsid w:val="00A66477"/>
    <w:rsid w:val="00A66789"/>
    <w:rsid w:val="00A66B45"/>
    <w:rsid w:val="00A67BF1"/>
    <w:rsid w:val="00A71E14"/>
    <w:rsid w:val="00A724CA"/>
    <w:rsid w:val="00A73737"/>
    <w:rsid w:val="00A7395C"/>
    <w:rsid w:val="00A752A4"/>
    <w:rsid w:val="00A76AF0"/>
    <w:rsid w:val="00A771B8"/>
    <w:rsid w:val="00A7794D"/>
    <w:rsid w:val="00A812B7"/>
    <w:rsid w:val="00A8144D"/>
    <w:rsid w:val="00A81898"/>
    <w:rsid w:val="00A8290D"/>
    <w:rsid w:val="00A832A4"/>
    <w:rsid w:val="00A83F09"/>
    <w:rsid w:val="00A85281"/>
    <w:rsid w:val="00A854BD"/>
    <w:rsid w:val="00A85A7F"/>
    <w:rsid w:val="00A86CF1"/>
    <w:rsid w:val="00A86D5F"/>
    <w:rsid w:val="00A87123"/>
    <w:rsid w:val="00A8780C"/>
    <w:rsid w:val="00A903FF"/>
    <w:rsid w:val="00A9054D"/>
    <w:rsid w:val="00A905F0"/>
    <w:rsid w:val="00A932B2"/>
    <w:rsid w:val="00A93337"/>
    <w:rsid w:val="00A93961"/>
    <w:rsid w:val="00A95496"/>
    <w:rsid w:val="00A96A5B"/>
    <w:rsid w:val="00A97C9E"/>
    <w:rsid w:val="00AA052D"/>
    <w:rsid w:val="00AA06D8"/>
    <w:rsid w:val="00AA0E61"/>
    <w:rsid w:val="00AA12D5"/>
    <w:rsid w:val="00AA2294"/>
    <w:rsid w:val="00AA2932"/>
    <w:rsid w:val="00AA325C"/>
    <w:rsid w:val="00AA3284"/>
    <w:rsid w:val="00AA3CC8"/>
    <w:rsid w:val="00AA40E8"/>
    <w:rsid w:val="00AA4154"/>
    <w:rsid w:val="00AA50FC"/>
    <w:rsid w:val="00AA555D"/>
    <w:rsid w:val="00AA63D1"/>
    <w:rsid w:val="00AA690E"/>
    <w:rsid w:val="00AA70A4"/>
    <w:rsid w:val="00AA73CA"/>
    <w:rsid w:val="00AB0A98"/>
    <w:rsid w:val="00AB0D4F"/>
    <w:rsid w:val="00AB1C7C"/>
    <w:rsid w:val="00AB1FF8"/>
    <w:rsid w:val="00AB33ED"/>
    <w:rsid w:val="00AB3E38"/>
    <w:rsid w:val="00AB3E92"/>
    <w:rsid w:val="00AB453A"/>
    <w:rsid w:val="00AB4E69"/>
    <w:rsid w:val="00AB5853"/>
    <w:rsid w:val="00AB5E7E"/>
    <w:rsid w:val="00AB6D52"/>
    <w:rsid w:val="00AB791D"/>
    <w:rsid w:val="00AC0858"/>
    <w:rsid w:val="00AC114A"/>
    <w:rsid w:val="00AC11A3"/>
    <w:rsid w:val="00AC2639"/>
    <w:rsid w:val="00AC2B47"/>
    <w:rsid w:val="00AC3A76"/>
    <w:rsid w:val="00AC50A0"/>
    <w:rsid w:val="00AC51AB"/>
    <w:rsid w:val="00AC534D"/>
    <w:rsid w:val="00AC584F"/>
    <w:rsid w:val="00AC612E"/>
    <w:rsid w:val="00AC6174"/>
    <w:rsid w:val="00AC6269"/>
    <w:rsid w:val="00AC7C4B"/>
    <w:rsid w:val="00AD0E21"/>
    <w:rsid w:val="00AD15D7"/>
    <w:rsid w:val="00AD1943"/>
    <w:rsid w:val="00AD2ED2"/>
    <w:rsid w:val="00AD3457"/>
    <w:rsid w:val="00AD5829"/>
    <w:rsid w:val="00AD62FC"/>
    <w:rsid w:val="00AE0E03"/>
    <w:rsid w:val="00AE159B"/>
    <w:rsid w:val="00AE3135"/>
    <w:rsid w:val="00AE62EA"/>
    <w:rsid w:val="00AE746C"/>
    <w:rsid w:val="00AE7A88"/>
    <w:rsid w:val="00AE7BC3"/>
    <w:rsid w:val="00AF045E"/>
    <w:rsid w:val="00AF1C0B"/>
    <w:rsid w:val="00AF47CE"/>
    <w:rsid w:val="00AF4D2A"/>
    <w:rsid w:val="00AF4E5E"/>
    <w:rsid w:val="00AF4F7B"/>
    <w:rsid w:val="00AF5C7E"/>
    <w:rsid w:val="00AF5D2A"/>
    <w:rsid w:val="00AF6604"/>
    <w:rsid w:val="00AF6E34"/>
    <w:rsid w:val="00AF6FB6"/>
    <w:rsid w:val="00AF7308"/>
    <w:rsid w:val="00B02941"/>
    <w:rsid w:val="00B04010"/>
    <w:rsid w:val="00B056B7"/>
    <w:rsid w:val="00B0684C"/>
    <w:rsid w:val="00B06BF5"/>
    <w:rsid w:val="00B076A2"/>
    <w:rsid w:val="00B079F5"/>
    <w:rsid w:val="00B1023A"/>
    <w:rsid w:val="00B107A4"/>
    <w:rsid w:val="00B130F5"/>
    <w:rsid w:val="00B13159"/>
    <w:rsid w:val="00B151FF"/>
    <w:rsid w:val="00B155E3"/>
    <w:rsid w:val="00B15E12"/>
    <w:rsid w:val="00B214CF"/>
    <w:rsid w:val="00B22DC8"/>
    <w:rsid w:val="00B24088"/>
    <w:rsid w:val="00B251E6"/>
    <w:rsid w:val="00B25955"/>
    <w:rsid w:val="00B25A00"/>
    <w:rsid w:val="00B25F6D"/>
    <w:rsid w:val="00B26571"/>
    <w:rsid w:val="00B2657C"/>
    <w:rsid w:val="00B2693B"/>
    <w:rsid w:val="00B26FE8"/>
    <w:rsid w:val="00B3211E"/>
    <w:rsid w:val="00B330DF"/>
    <w:rsid w:val="00B3369E"/>
    <w:rsid w:val="00B33A24"/>
    <w:rsid w:val="00B341BC"/>
    <w:rsid w:val="00B34F72"/>
    <w:rsid w:val="00B3553B"/>
    <w:rsid w:val="00B35621"/>
    <w:rsid w:val="00B35696"/>
    <w:rsid w:val="00B35E07"/>
    <w:rsid w:val="00B3675A"/>
    <w:rsid w:val="00B3762B"/>
    <w:rsid w:val="00B400F9"/>
    <w:rsid w:val="00B405CD"/>
    <w:rsid w:val="00B41974"/>
    <w:rsid w:val="00B45971"/>
    <w:rsid w:val="00B47AA6"/>
    <w:rsid w:val="00B50935"/>
    <w:rsid w:val="00B51504"/>
    <w:rsid w:val="00B522F9"/>
    <w:rsid w:val="00B52650"/>
    <w:rsid w:val="00B52EF8"/>
    <w:rsid w:val="00B52FA5"/>
    <w:rsid w:val="00B533B5"/>
    <w:rsid w:val="00B5378F"/>
    <w:rsid w:val="00B54276"/>
    <w:rsid w:val="00B5502D"/>
    <w:rsid w:val="00B554E6"/>
    <w:rsid w:val="00B558A0"/>
    <w:rsid w:val="00B600B6"/>
    <w:rsid w:val="00B6081F"/>
    <w:rsid w:val="00B610B2"/>
    <w:rsid w:val="00B61CBF"/>
    <w:rsid w:val="00B62532"/>
    <w:rsid w:val="00B63AAA"/>
    <w:rsid w:val="00B64C7B"/>
    <w:rsid w:val="00B64C7C"/>
    <w:rsid w:val="00B656E8"/>
    <w:rsid w:val="00B67098"/>
    <w:rsid w:val="00B707ED"/>
    <w:rsid w:val="00B7134B"/>
    <w:rsid w:val="00B716C6"/>
    <w:rsid w:val="00B71EC5"/>
    <w:rsid w:val="00B726F1"/>
    <w:rsid w:val="00B727A3"/>
    <w:rsid w:val="00B7288E"/>
    <w:rsid w:val="00B74022"/>
    <w:rsid w:val="00B74621"/>
    <w:rsid w:val="00B7496E"/>
    <w:rsid w:val="00B77871"/>
    <w:rsid w:val="00B80A59"/>
    <w:rsid w:val="00B80BC2"/>
    <w:rsid w:val="00B81D6D"/>
    <w:rsid w:val="00B823B1"/>
    <w:rsid w:val="00B8260E"/>
    <w:rsid w:val="00B826A1"/>
    <w:rsid w:val="00B84572"/>
    <w:rsid w:val="00B8488E"/>
    <w:rsid w:val="00B84C5E"/>
    <w:rsid w:val="00B84D91"/>
    <w:rsid w:val="00B85391"/>
    <w:rsid w:val="00B85F1C"/>
    <w:rsid w:val="00B86852"/>
    <w:rsid w:val="00B86A67"/>
    <w:rsid w:val="00B90221"/>
    <w:rsid w:val="00B90372"/>
    <w:rsid w:val="00B90498"/>
    <w:rsid w:val="00B91527"/>
    <w:rsid w:val="00B958BA"/>
    <w:rsid w:val="00BA0C3F"/>
    <w:rsid w:val="00BA106F"/>
    <w:rsid w:val="00BA1695"/>
    <w:rsid w:val="00BA23F6"/>
    <w:rsid w:val="00BA39A2"/>
    <w:rsid w:val="00BA3ECA"/>
    <w:rsid w:val="00BA4B5E"/>
    <w:rsid w:val="00BA549B"/>
    <w:rsid w:val="00BA585D"/>
    <w:rsid w:val="00BA70E1"/>
    <w:rsid w:val="00BA7A96"/>
    <w:rsid w:val="00BA7AAE"/>
    <w:rsid w:val="00BA7E5C"/>
    <w:rsid w:val="00BB03F6"/>
    <w:rsid w:val="00BB07FA"/>
    <w:rsid w:val="00BB3FD0"/>
    <w:rsid w:val="00BB4265"/>
    <w:rsid w:val="00BB43BE"/>
    <w:rsid w:val="00BB5D1D"/>
    <w:rsid w:val="00BB6E6F"/>
    <w:rsid w:val="00BB7979"/>
    <w:rsid w:val="00BC14E6"/>
    <w:rsid w:val="00BC1E58"/>
    <w:rsid w:val="00BC242C"/>
    <w:rsid w:val="00BC2CB8"/>
    <w:rsid w:val="00BC472A"/>
    <w:rsid w:val="00BC49BF"/>
    <w:rsid w:val="00BC4D70"/>
    <w:rsid w:val="00BC4E35"/>
    <w:rsid w:val="00BC5852"/>
    <w:rsid w:val="00BC62AC"/>
    <w:rsid w:val="00BC685A"/>
    <w:rsid w:val="00BC6C9A"/>
    <w:rsid w:val="00BC6F86"/>
    <w:rsid w:val="00BC7423"/>
    <w:rsid w:val="00BC765C"/>
    <w:rsid w:val="00BD05B4"/>
    <w:rsid w:val="00BD05ED"/>
    <w:rsid w:val="00BD0D84"/>
    <w:rsid w:val="00BD1D56"/>
    <w:rsid w:val="00BD20E2"/>
    <w:rsid w:val="00BD27B7"/>
    <w:rsid w:val="00BD3A0C"/>
    <w:rsid w:val="00BD3A74"/>
    <w:rsid w:val="00BD3B0F"/>
    <w:rsid w:val="00BD43A6"/>
    <w:rsid w:val="00BD6A59"/>
    <w:rsid w:val="00BD6E69"/>
    <w:rsid w:val="00BD6F4E"/>
    <w:rsid w:val="00BD6F61"/>
    <w:rsid w:val="00BE02DF"/>
    <w:rsid w:val="00BE233F"/>
    <w:rsid w:val="00BE31BE"/>
    <w:rsid w:val="00BE416F"/>
    <w:rsid w:val="00BE55A5"/>
    <w:rsid w:val="00BE56D0"/>
    <w:rsid w:val="00BE5AD2"/>
    <w:rsid w:val="00BE638E"/>
    <w:rsid w:val="00BE6B16"/>
    <w:rsid w:val="00BE7AE7"/>
    <w:rsid w:val="00BE7BE1"/>
    <w:rsid w:val="00BF0B3F"/>
    <w:rsid w:val="00BF0E1A"/>
    <w:rsid w:val="00BF1A10"/>
    <w:rsid w:val="00BF2285"/>
    <w:rsid w:val="00BF4127"/>
    <w:rsid w:val="00BF4B45"/>
    <w:rsid w:val="00BF6EDE"/>
    <w:rsid w:val="00BF7328"/>
    <w:rsid w:val="00BF7418"/>
    <w:rsid w:val="00BF7C69"/>
    <w:rsid w:val="00BF7CEA"/>
    <w:rsid w:val="00C00276"/>
    <w:rsid w:val="00C0027C"/>
    <w:rsid w:val="00C007A7"/>
    <w:rsid w:val="00C03B9E"/>
    <w:rsid w:val="00C04972"/>
    <w:rsid w:val="00C05BD4"/>
    <w:rsid w:val="00C06551"/>
    <w:rsid w:val="00C07E78"/>
    <w:rsid w:val="00C102F1"/>
    <w:rsid w:val="00C113E2"/>
    <w:rsid w:val="00C11756"/>
    <w:rsid w:val="00C1230A"/>
    <w:rsid w:val="00C124EB"/>
    <w:rsid w:val="00C1305C"/>
    <w:rsid w:val="00C13D58"/>
    <w:rsid w:val="00C1555D"/>
    <w:rsid w:val="00C16E13"/>
    <w:rsid w:val="00C171E1"/>
    <w:rsid w:val="00C176E0"/>
    <w:rsid w:val="00C17CD0"/>
    <w:rsid w:val="00C17EC4"/>
    <w:rsid w:val="00C20AFA"/>
    <w:rsid w:val="00C20B35"/>
    <w:rsid w:val="00C20C62"/>
    <w:rsid w:val="00C21ED5"/>
    <w:rsid w:val="00C228FF"/>
    <w:rsid w:val="00C232C2"/>
    <w:rsid w:val="00C2442E"/>
    <w:rsid w:val="00C275F9"/>
    <w:rsid w:val="00C27821"/>
    <w:rsid w:val="00C3086B"/>
    <w:rsid w:val="00C3204A"/>
    <w:rsid w:val="00C33732"/>
    <w:rsid w:val="00C34605"/>
    <w:rsid w:val="00C34B73"/>
    <w:rsid w:val="00C34D6C"/>
    <w:rsid w:val="00C360B8"/>
    <w:rsid w:val="00C3645C"/>
    <w:rsid w:val="00C37146"/>
    <w:rsid w:val="00C4116C"/>
    <w:rsid w:val="00C41484"/>
    <w:rsid w:val="00C42327"/>
    <w:rsid w:val="00C427CD"/>
    <w:rsid w:val="00C429AD"/>
    <w:rsid w:val="00C429B4"/>
    <w:rsid w:val="00C42C62"/>
    <w:rsid w:val="00C43133"/>
    <w:rsid w:val="00C4592C"/>
    <w:rsid w:val="00C47156"/>
    <w:rsid w:val="00C50224"/>
    <w:rsid w:val="00C5225F"/>
    <w:rsid w:val="00C5323A"/>
    <w:rsid w:val="00C535B8"/>
    <w:rsid w:val="00C53D17"/>
    <w:rsid w:val="00C545E5"/>
    <w:rsid w:val="00C5510D"/>
    <w:rsid w:val="00C56017"/>
    <w:rsid w:val="00C5670A"/>
    <w:rsid w:val="00C57027"/>
    <w:rsid w:val="00C577B8"/>
    <w:rsid w:val="00C60789"/>
    <w:rsid w:val="00C61674"/>
    <w:rsid w:val="00C617BE"/>
    <w:rsid w:val="00C61DB9"/>
    <w:rsid w:val="00C629B5"/>
    <w:rsid w:val="00C62CDF"/>
    <w:rsid w:val="00C646D8"/>
    <w:rsid w:val="00C64BEA"/>
    <w:rsid w:val="00C64E8C"/>
    <w:rsid w:val="00C6543D"/>
    <w:rsid w:val="00C65DEF"/>
    <w:rsid w:val="00C66672"/>
    <w:rsid w:val="00C67362"/>
    <w:rsid w:val="00C67ACD"/>
    <w:rsid w:val="00C700D5"/>
    <w:rsid w:val="00C71010"/>
    <w:rsid w:val="00C7242D"/>
    <w:rsid w:val="00C72490"/>
    <w:rsid w:val="00C7312F"/>
    <w:rsid w:val="00C7382B"/>
    <w:rsid w:val="00C73848"/>
    <w:rsid w:val="00C757B2"/>
    <w:rsid w:val="00C76BA8"/>
    <w:rsid w:val="00C773A6"/>
    <w:rsid w:val="00C77AC4"/>
    <w:rsid w:val="00C77D3E"/>
    <w:rsid w:val="00C80747"/>
    <w:rsid w:val="00C80AB4"/>
    <w:rsid w:val="00C820DC"/>
    <w:rsid w:val="00C82CF8"/>
    <w:rsid w:val="00C83B38"/>
    <w:rsid w:val="00C84434"/>
    <w:rsid w:val="00C854D3"/>
    <w:rsid w:val="00C85575"/>
    <w:rsid w:val="00C85864"/>
    <w:rsid w:val="00C8736D"/>
    <w:rsid w:val="00C90EC0"/>
    <w:rsid w:val="00C91F0D"/>
    <w:rsid w:val="00C935D6"/>
    <w:rsid w:val="00C936C0"/>
    <w:rsid w:val="00C93AC3"/>
    <w:rsid w:val="00C940E6"/>
    <w:rsid w:val="00C96C44"/>
    <w:rsid w:val="00C96E15"/>
    <w:rsid w:val="00C974A0"/>
    <w:rsid w:val="00CA03E3"/>
    <w:rsid w:val="00CA1DCA"/>
    <w:rsid w:val="00CA2284"/>
    <w:rsid w:val="00CA25AF"/>
    <w:rsid w:val="00CA2A5E"/>
    <w:rsid w:val="00CA3235"/>
    <w:rsid w:val="00CA5DC2"/>
    <w:rsid w:val="00CA67D9"/>
    <w:rsid w:val="00CA6FB5"/>
    <w:rsid w:val="00CA7310"/>
    <w:rsid w:val="00CA798D"/>
    <w:rsid w:val="00CB160E"/>
    <w:rsid w:val="00CB5046"/>
    <w:rsid w:val="00CB53C2"/>
    <w:rsid w:val="00CB616D"/>
    <w:rsid w:val="00CB729E"/>
    <w:rsid w:val="00CC0698"/>
    <w:rsid w:val="00CC08FD"/>
    <w:rsid w:val="00CC183A"/>
    <w:rsid w:val="00CC1917"/>
    <w:rsid w:val="00CC2306"/>
    <w:rsid w:val="00CC2606"/>
    <w:rsid w:val="00CC387A"/>
    <w:rsid w:val="00CC3AC6"/>
    <w:rsid w:val="00CC3D49"/>
    <w:rsid w:val="00CC3F97"/>
    <w:rsid w:val="00CC5558"/>
    <w:rsid w:val="00CC5C8D"/>
    <w:rsid w:val="00CC6293"/>
    <w:rsid w:val="00CC63BB"/>
    <w:rsid w:val="00CC7196"/>
    <w:rsid w:val="00CD1734"/>
    <w:rsid w:val="00CD2257"/>
    <w:rsid w:val="00CD2D2E"/>
    <w:rsid w:val="00CD364D"/>
    <w:rsid w:val="00CD3DB0"/>
    <w:rsid w:val="00CD553B"/>
    <w:rsid w:val="00CD61E1"/>
    <w:rsid w:val="00CD6FA1"/>
    <w:rsid w:val="00CD72AC"/>
    <w:rsid w:val="00CD7E90"/>
    <w:rsid w:val="00CE1669"/>
    <w:rsid w:val="00CE1726"/>
    <w:rsid w:val="00CE1ED1"/>
    <w:rsid w:val="00CE224A"/>
    <w:rsid w:val="00CE2B4B"/>
    <w:rsid w:val="00CE470A"/>
    <w:rsid w:val="00CE48F0"/>
    <w:rsid w:val="00CE632B"/>
    <w:rsid w:val="00CE6880"/>
    <w:rsid w:val="00CF0EB0"/>
    <w:rsid w:val="00CF3207"/>
    <w:rsid w:val="00CF32B4"/>
    <w:rsid w:val="00CF3503"/>
    <w:rsid w:val="00CF3E02"/>
    <w:rsid w:val="00CF3EF5"/>
    <w:rsid w:val="00CF4687"/>
    <w:rsid w:val="00CF49A7"/>
    <w:rsid w:val="00CF4C02"/>
    <w:rsid w:val="00CF564E"/>
    <w:rsid w:val="00CF5F7B"/>
    <w:rsid w:val="00CF60B5"/>
    <w:rsid w:val="00CF68F0"/>
    <w:rsid w:val="00CF744B"/>
    <w:rsid w:val="00CF76BE"/>
    <w:rsid w:val="00CF7D35"/>
    <w:rsid w:val="00D0060C"/>
    <w:rsid w:val="00D00F44"/>
    <w:rsid w:val="00D01278"/>
    <w:rsid w:val="00D025CD"/>
    <w:rsid w:val="00D02A9E"/>
    <w:rsid w:val="00D02B70"/>
    <w:rsid w:val="00D03398"/>
    <w:rsid w:val="00D03E34"/>
    <w:rsid w:val="00D05510"/>
    <w:rsid w:val="00D057F4"/>
    <w:rsid w:val="00D06DAD"/>
    <w:rsid w:val="00D07FD7"/>
    <w:rsid w:val="00D10388"/>
    <w:rsid w:val="00D117E2"/>
    <w:rsid w:val="00D13771"/>
    <w:rsid w:val="00D13A84"/>
    <w:rsid w:val="00D13DCF"/>
    <w:rsid w:val="00D13E59"/>
    <w:rsid w:val="00D14C24"/>
    <w:rsid w:val="00D15A45"/>
    <w:rsid w:val="00D15CA3"/>
    <w:rsid w:val="00D15D1C"/>
    <w:rsid w:val="00D17740"/>
    <w:rsid w:val="00D21067"/>
    <w:rsid w:val="00D2109A"/>
    <w:rsid w:val="00D220F6"/>
    <w:rsid w:val="00D2314C"/>
    <w:rsid w:val="00D237A6"/>
    <w:rsid w:val="00D238F4"/>
    <w:rsid w:val="00D2470E"/>
    <w:rsid w:val="00D250AF"/>
    <w:rsid w:val="00D25D0A"/>
    <w:rsid w:val="00D26455"/>
    <w:rsid w:val="00D26D7B"/>
    <w:rsid w:val="00D2710D"/>
    <w:rsid w:val="00D27903"/>
    <w:rsid w:val="00D27960"/>
    <w:rsid w:val="00D3151C"/>
    <w:rsid w:val="00D31A23"/>
    <w:rsid w:val="00D32934"/>
    <w:rsid w:val="00D33653"/>
    <w:rsid w:val="00D33B71"/>
    <w:rsid w:val="00D34E81"/>
    <w:rsid w:val="00D35251"/>
    <w:rsid w:val="00D352D4"/>
    <w:rsid w:val="00D36951"/>
    <w:rsid w:val="00D36ADA"/>
    <w:rsid w:val="00D40D66"/>
    <w:rsid w:val="00D41DBE"/>
    <w:rsid w:val="00D41FEE"/>
    <w:rsid w:val="00D42ABA"/>
    <w:rsid w:val="00D44F2D"/>
    <w:rsid w:val="00D45E62"/>
    <w:rsid w:val="00D46F2F"/>
    <w:rsid w:val="00D51B01"/>
    <w:rsid w:val="00D53631"/>
    <w:rsid w:val="00D55B6D"/>
    <w:rsid w:val="00D56091"/>
    <w:rsid w:val="00D56136"/>
    <w:rsid w:val="00D56BE2"/>
    <w:rsid w:val="00D57CA8"/>
    <w:rsid w:val="00D601F2"/>
    <w:rsid w:val="00D60857"/>
    <w:rsid w:val="00D60F97"/>
    <w:rsid w:val="00D61B3F"/>
    <w:rsid w:val="00D62624"/>
    <w:rsid w:val="00D62763"/>
    <w:rsid w:val="00D62BCC"/>
    <w:rsid w:val="00D64A29"/>
    <w:rsid w:val="00D65114"/>
    <w:rsid w:val="00D66966"/>
    <w:rsid w:val="00D66B3B"/>
    <w:rsid w:val="00D678CB"/>
    <w:rsid w:val="00D701A2"/>
    <w:rsid w:val="00D70493"/>
    <w:rsid w:val="00D71339"/>
    <w:rsid w:val="00D71388"/>
    <w:rsid w:val="00D72F48"/>
    <w:rsid w:val="00D73988"/>
    <w:rsid w:val="00D74D66"/>
    <w:rsid w:val="00D7593C"/>
    <w:rsid w:val="00D7653D"/>
    <w:rsid w:val="00D772B4"/>
    <w:rsid w:val="00D77926"/>
    <w:rsid w:val="00D77C51"/>
    <w:rsid w:val="00D810C5"/>
    <w:rsid w:val="00D822BF"/>
    <w:rsid w:val="00D824B9"/>
    <w:rsid w:val="00D82EA8"/>
    <w:rsid w:val="00D82F2C"/>
    <w:rsid w:val="00D835D2"/>
    <w:rsid w:val="00D85312"/>
    <w:rsid w:val="00D873DC"/>
    <w:rsid w:val="00D874B3"/>
    <w:rsid w:val="00D906B7"/>
    <w:rsid w:val="00D90B6C"/>
    <w:rsid w:val="00D91781"/>
    <w:rsid w:val="00D91ABE"/>
    <w:rsid w:val="00D9206E"/>
    <w:rsid w:val="00D92A56"/>
    <w:rsid w:val="00D93676"/>
    <w:rsid w:val="00D94C7C"/>
    <w:rsid w:val="00D9516D"/>
    <w:rsid w:val="00D962C7"/>
    <w:rsid w:val="00D97859"/>
    <w:rsid w:val="00D97A4A"/>
    <w:rsid w:val="00D97ADE"/>
    <w:rsid w:val="00D97D79"/>
    <w:rsid w:val="00D97E6D"/>
    <w:rsid w:val="00DA063E"/>
    <w:rsid w:val="00DA07E4"/>
    <w:rsid w:val="00DA0C58"/>
    <w:rsid w:val="00DA0C97"/>
    <w:rsid w:val="00DA2502"/>
    <w:rsid w:val="00DA41FF"/>
    <w:rsid w:val="00DA7F7B"/>
    <w:rsid w:val="00DB17C7"/>
    <w:rsid w:val="00DB1B79"/>
    <w:rsid w:val="00DB2BCE"/>
    <w:rsid w:val="00DB38DC"/>
    <w:rsid w:val="00DB3B8C"/>
    <w:rsid w:val="00DB404B"/>
    <w:rsid w:val="00DB43CC"/>
    <w:rsid w:val="00DB52BF"/>
    <w:rsid w:val="00DB5997"/>
    <w:rsid w:val="00DB59C4"/>
    <w:rsid w:val="00DB6432"/>
    <w:rsid w:val="00DC003F"/>
    <w:rsid w:val="00DC02E9"/>
    <w:rsid w:val="00DC0437"/>
    <w:rsid w:val="00DC1486"/>
    <w:rsid w:val="00DC2CBA"/>
    <w:rsid w:val="00DC348C"/>
    <w:rsid w:val="00DC416B"/>
    <w:rsid w:val="00DC53C4"/>
    <w:rsid w:val="00DC60D4"/>
    <w:rsid w:val="00DC6A6A"/>
    <w:rsid w:val="00DC7857"/>
    <w:rsid w:val="00DC798B"/>
    <w:rsid w:val="00DD02B8"/>
    <w:rsid w:val="00DD0B94"/>
    <w:rsid w:val="00DD0C8C"/>
    <w:rsid w:val="00DD0F56"/>
    <w:rsid w:val="00DD3088"/>
    <w:rsid w:val="00DD52A7"/>
    <w:rsid w:val="00DD554B"/>
    <w:rsid w:val="00DD5641"/>
    <w:rsid w:val="00DD5826"/>
    <w:rsid w:val="00DD59BE"/>
    <w:rsid w:val="00DD5D11"/>
    <w:rsid w:val="00DD6833"/>
    <w:rsid w:val="00DD7F67"/>
    <w:rsid w:val="00DE01F1"/>
    <w:rsid w:val="00DE17CC"/>
    <w:rsid w:val="00DE323A"/>
    <w:rsid w:val="00DE4F35"/>
    <w:rsid w:val="00DE6027"/>
    <w:rsid w:val="00DE6D59"/>
    <w:rsid w:val="00DE722F"/>
    <w:rsid w:val="00DE7A2F"/>
    <w:rsid w:val="00DE7D93"/>
    <w:rsid w:val="00DF0134"/>
    <w:rsid w:val="00DF182B"/>
    <w:rsid w:val="00DF18E6"/>
    <w:rsid w:val="00DF2935"/>
    <w:rsid w:val="00DF391C"/>
    <w:rsid w:val="00DF3A34"/>
    <w:rsid w:val="00DF4F78"/>
    <w:rsid w:val="00DF529C"/>
    <w:rsid w:val="00DF5F81"/>
    <w:rsid w:val="00DF6728"/>
    <w:rsid w:val="00DF6A06"/>
    <w:rsid w:val="00DF7A6E"/>
    <w:rsid w:val="00DF7B22"/>
    <w:rsid w:val="00E00187"/>
    <w:rsid w:val="00E005E6"/>
    <w:rsid w:val="00E007C2"/>
    <w:rsid w:val="00E00DC1"/>
    <w:rsid w:val="00E02BDF"/>
    <w:rsid w:val="00E02E4C"/>
    <w:rsid w:val="00E03FF0"/>
    <w:rsid w:val="00E04626"/>
    <w:rsid w:val="00E04C90"/>
    <w:rsid w:val="00E04DA5"/>
    <w:rsid w:val="00E04E1C"/>
    <w:rsid w:val="00E05657"/>
    <w:rsid w:val="00E05992"/>
    <w:rsid w:val="00E059FF"/>
    <w:rsid w:val="00E0639B"/>
    <w:rsid w:val="00E10A11"/>
    <w:rsid w:val="00E118C5"/>
    <w:rsid w:val="00E11AD6"/>
    <w:rsid w:val="00E12531"/>
    <w:rsid w:val="00E129EF"/>
    <w:rsid w:val="00E13327"/>
    <w:rsid w:val="00E133F7"/>
    <w:rsid w:val="00E16F74"/>
    <w:rsid w:val="00E21374"/>
    <w:rsid w:val="00E214F6"/>
    <w:rsid w:val="00E22407"/>
    <w:rsid w:val="00E226A1"/>
    <w:rsid w:val="00E22C0F"/>
    <w:rsid w:val="00E24296"/>
    <w:rsid w:val="00E2463A"/>
    <w:rsid w:val="00E25D9E"/>
    <w:rsid w:val="00E2605D"/>
    <w:rsid w:val="00E26DFA"/>
    <w:rsid w:val="00E27F15"/>
    <w:rsid w:val="00E312DF"/>
    <w:rsid w:val="00E31895"/>
    <w:rsid w:val="00E3236E"/>
    <w:rsid w:val="00E33C3A"/>
    <w:rsid w:val="00E36C24"/>
    <w:rsid w:val="00E376A2"/>
    <w:rsid w:val="00E4195F"/>
    <w:rsid w:val="00E421B8"/>
    <w:rsid w:val="00E422F6"/>
    <w:rsid w:val="00E425D5"/>
    <w:rsid w:val="00E43401"/>
    <w:rsid w:val="00E4448D"/>
    <w:rsid w:val="00E44582"/>
    <w:rsid w:val="00E44EE3"/>
    <w:rsid w:val="00E45737"/>
    <w:rsid w:val="00E45B42"/>
    <w:rsid w:val="00E45F16"/>
    <w:rsid w:val="00E47571"/>
    <w:rsid w:val="00E51DF6"/>
    <w:rsid w:val="00E52B4C"/>
    <w:rsid w:val="00E52DCD"/>
    <w:rsid w:val="00E538E2"/>
    <w:rsid w:val="00E53AC7"/>
    <w:rsid w:val="00E53FCE"/>
    <w:rsid w:val="00E55039"/>
    <w:rsid w:val="00E55906"/>
    <w:rsid w:val="00E569DB"/>
    <w:rsid w:val="00E57CA4"/>
    <w:rsid w:val="00E601E2"/>
    <w:rsid w:val="00E60453"/>
    <w:rsid w:val="00E60626"/>
    <w:rsid w:val="00E611AA"/>
    <w:rsid w:val="00E61BC4"/>
    <w:rsid w:val="00E62A43"/>
    <w:rsid w:val="00E62F6D"/>
    <w:rsid w:val="00E630BE"/>
    <w:rsid w:val="00E659AA"/>
    <w:rsid w:val="00E66B9C"/>
    <w:rsid w:val="00E67C5A"/>
    <w:rsid w:val="00E67F24"/>
    <w:rsid w:val="00E708FF"/>
    <w:rsid w:val="00E71D90"/>
    <w:rsid w:val="00E72ACE"/>
    <w:rsid w:val="00E72B42"/>
    <w:rsid w:val="00E756C2"/>
    <w:rsid w:val="00E7651F"/>
    <w:rsid w:val="00E7706C"/>
    <w:rsid w:val="00E77771"/>
    <w:rsid w:val="00E77B98"/>
    <w:rsid w:val="00E81EA9"/>
    <w:rsid w:val="00E82D34"/>
    <w:rsid w:val="00E83E90"/>
    <w:rsid w:val="00E85262"/>
    <w:rsid w:val="00E8532E"/>
    <w:rsid w:val="00E85711"/>
    <w:rsid w:val="00E85B8E"/>
    <w:rsid w:val="00E8610D"/>
    <w:rsid w:val="00E864C6"/>
    <w:rsid w:val="00E86602"/>
    <w:rsid w:val="00E869F9"/>
    <w:rsid w:val="00E8702E"/>
    <w:rsid w:val="00E87B86"/>
    <w:rsid w:val="00E901AD"/>
    <w:rsid w:val="00E902BD"/>
    <w:rsid w:val="00E919CD"/>
    <w:rsid w:val="00E9299A"/>
    <w:rsid w:val="00E93FFD"/>
    <w:rsid w:val="00E945BF"/>
    <w:rsid w:val="00E946BD"/>
    <w:rsid w:val="00E95DB4"/>
    <w:rsid w:val="00E961F1"/>
    <w:rsid w:val="00EA069D"/>
    <w:rsid w:val="00EA0B41"/>
    <w:rsid w:val="00EA0D30"/>
    <w:rsid w:val="00EA27D4"/>
    <w:rsid w:val="00EA2ADF"/>
    <w:rsid w:val="00EA2EFA"/>
    <w:rsid w:val="00EA3541"/>
    <w:rsid w:val="00EA4843"/>
    <w:rsid w:val="00EA61CD"/>
    <w:rsid w:val="00EA6B59"/>
    <w:rsid w:val="00EA6E6B"/>
    <w:rsid w:val="00EA6FF3"/>
    <w:rsid w:val="00EB01AE"/>
    <w:rsid w:val="00EB0581"/>
    <w:rsid w:val="00EB14AA"/>
    <w:rsid w:val="00EB1E5F"/>
    <w:rsid w:val="00EB2CB9"/>
    <w:rsid w:val="00EB2D51"/>
    <w:rsid w:val="00EB36AF"/>
    <w:rsid w:val="00EB409A"/>
    <w:rsid w:val="00EB413E"/>
    <w:rsid w:val="00EB439A"/>
    <w:rsid w:val="00EB5047"/>
    <w:rsid w:val="00EB5217"/>
    <w:rsid w:val="00EB6CE7"/>
    <w:rsid w:val="00EB6D90"/>
    <w:rsid w:val="00EB7133"/>
    <w:rsid w:val="00EB79D4"/>
    <w:rsid w:val="00EC0937"/>
    <w:rsid w:val="00EC2124"/>
    <w:rsid w:val="00EC2EF8"/>
    <w:rsid w:val="00EC4B23"/>
    <w:rsid w:val="00EC631C"/>
    <w:rsid w:val="00EC695A"/>
    <w:rsid w:val="00EC7701"/>
    <w:rsid w:val="00EC7F7E"/>
    <w:rsid w:val="00ED05FB"/>
    <w:rsid w:val="00ED0A26"/>
    <w:rsid w:val="00ED0EEB"/>
    <w:rsid w:val="00ED19D6"/>
    <w:rsid w:val="00ED28EE"/>
    <w:rsid w:val="00ED2DC9"/>
    <w:rsid w:val="00ED570D"/>
    <w:rsid w:val="00ED57AA"/>
    <w:rsid w:val="00ED64E9"/>
    <w:rsid w:val="00ED74D3"/>
    <w:rsid w:val="00ED7B73"/>
    <w:rsid w:val="00ED7E05"/>
    <w:rsid w:val="00EE2454"/>
    <w:rsid w:val="00EE2B52"/>
    <w:rsid w:val="00EE2D31"/>
    <w:rsid w:val="00EE2D94"/>
    <w:rsid w:val="00EE3590"/>
    <w:rsid w:val="00EE3E57"/>
    <w:rsid w:val="00EE4755"/>
    <w:rsid w:val="00EE5AEE"/>
    <w:rsid w:val="00EE6949"/>
    <w:rsid w:val="00EE6951"/>
    <w:rsid w:val="00EE7378"/>
    <w:rsid w:val="00EF0709"/>
    <w:rsid w:val="00EF111B"/>
    <w:rsid w:val="00EF31ED"/>
    <w:rsid w:val="00EF36A8"/>
    <w:rsid w:val="00EF3C72"/>
    <w:rsid w:val="00EF3CC6"/>
    <w:rsid w:val="00EF54B7"/>
    <w:rsid w:val="00EF5C52"/>
    <w:rsid w:val="00EF6580"/>
    <w:rsid w:val="00EF6947"/>
    <w:rsid w:val="00EF703B"/>
    <w:rsid w:val="00F00A6E"/>
    <w:rsid w:val="00F013B5"/>
    <w:rsid w:val="00F01BCF"/>
    <w:rsid w:val="00F04191"/>
    <w:rsid w:val="00F0419A"/>
    <w:rsid w:val="00F04745"/>
    <w:rsid w:val="00F06A84"/>
    <w:rsid w:val="00F06B44"/>
    <w:rsid w:val="00F06B86"/>
    <w:rsid w:val="00F06D26"/>
    <w:rsid w:val="00F06DA7"/>
    <w:rsid w:val="00F075E1"/>
    <w:rsid w:val="00F117F5"/>
    <w:rsid w:val="00F12108"/>
    <w:rsid w:val="00F138BA"/>
    <w:rsid w:val="00F14649"/>
    <w:rsid w:val="00F14890"/>
    <w:rsid w:val="00F14A46"/>
    <w:rsid w:val="00F14B14"/>
    <w:rsid w:val="00F16211"/>
    <w:rsid w:val="00F165F8"/>
    <w:rsid w:val="00F16A60"/>
    <w:rsid w:val="00F16D30"/>
    <w:rsid w:val="00F1753D"/>
    <w:rsid w:val="00F17A81"/>
    <w:rsid w:val="00F20351"/>
    <w:rsid w:val="00F20BDE"/>
    <w:rsid w:val="00F2170D"/>
    <w:rsid w:val="00F22306"/>
    <w:rsid w:val="00F225A1"/>
    <w:rsid w:val="00F233E4"/>
    <w:rsid w:val="00F23D3A"/>
    <w:rsid w:val="00F24A6A"/>
    <w:rsid w:val="00F24E44"/>
    <w:rsid w:val="00F25F94"/>
    <w:rsid w:val="00F270BC"/>
    <w:rsid w:val="00F27112"/>
    <w:rsid w:val="00F27E08"/>
    <w:rsid w:val="00F31CC1"/>
    <w:rsid w:val="00F32331"/>
    <w:rsid w:val="00F351FA"/>
    <w:rsid w:val="00F35821"/>
    <w:rsid w:val="00F35FD1"/>
    <w:rsid w:val="00F36D6B"/>
    <w:rsid w:val="00F37619"/>
    <w:rsid w:val="00F378BE"/>
    <w:rsid w:val="00F37BE1"/>
    <w:rsid w:val="00F4002D"/>
    <w:rsid w:val="00F40407"/>
    <w:rsid w:val="00F40F3A"/>
    <w:rsid w:val="00F41023"/>
    <w:rsid w:val="00F4133D"/>
    <w:rsid w:val="00F437AA"/>
    <w:rsid w:val="00F43871"/>
    <w:rsid w:val="00F43A23"/>
    <w:rsid w:val="00F44879"/>
    <w:rsid w:val="00F45A85"/>
    <w:rsid w:val="00F45DA3"/>
    <w:rsid w:val="00F46298"/>
    <w:rsid w:val="00F463BC"/>
    <w:rsid w:val="00F471A1"/>
    <w:rsid w:val="00F5239A"/>
    <w:rsid w:val="00F5370E"/>
    <w:rsid w:val="00F537E5"/>
    <w:rsid w:val="00F53CB4"/>
    <w:rsid w:val="00F544A6"/>
    <w:rsid w:val="00F548D0"/>
    <w:rsid w:val="00F55A7D"/>
    <w:rsid w:val="00F567FA"/>
    <w:rsid w:val="00F57809"/>
    <w:rsid w:val="00F57935"/>
    <w:rsid w:val="00F60E09"/>
    <w:rsid w:val="00F611FD"/>
    <w:rsid w:val="00F630B2"/>
    <w:rsid w:val="00F644EA"/>
    <w:rsid w:val="00F6481C"/>
    <w:rsid w:val="00F65C6A"/>
    <w:rsid w:val="00F66170"/>
    <w:rsid w:val="00F66A57"/>
    <w:rsid w:val="00F6739B"/>
    <w:rsid w:val="00F679F6"/>
    <w:rsid w:val="00F67F0F"/>
    <w:rsid w:val="00F7025B"/>
    <w:rsid w:val="00F714E7"/>
    <w:rsid w:val="00F71584"/>
    <w:rsid w:val="00F7170A"/>
    <w:rsid w:val="00F71766"/>
    <w:rsid w:val="00F718CF"/>
    <w:rsid w:val="00F71B9B"/>
    <w:rsid w:val="00F72AD0"/>
    <w:rsid w:val="00F72D57"/>
    <w:rsid w:val="00F7367E"/>
    <w:rsid w:val="00F7445E"/>
    <w:rsid w:val="00F74E7D"/>
    <w:rsid w:val="00F751D2"/>
    <w:rsid w:val="00F75878"/>
    <w:rsid w:val="00F75DD6"/>
    <w:rsid w:val="00F772AC"/>
    <w:rsid w:val="00F7778F"/>
    <w:rsid w:val="00F7796A"/>
    <w:rsid w:val="00F80F05"/>
    <w:rsid w:val="00F81818"/>
    <w:rsid w:val="00F81CA9"/>
    <w:rsid w:val="00F821EF"/>
    <w:rsid w:val="00F84525"/>
    <w:rsid w:val="00F84AD7"/>
    <w:rsid w:val="00F85982"/>
    <w:rsid w:val="00F864C9"/>
    <w:rsid w:val="00F900AD"/>
    <w:rsid w:val="00F902D8"/>
    <w:rsid w:val="00F905CC"/>
    <w:rsid w:val="00F92373"/>
    <w:rsid w:val="00F923E7"/>
    <w:rsid w:val="00F936CA"/>
    <w:rsid w:val="00F93869"/>
    <w:rsid w:val="00F94E8E"/>
    <w:rsid w:val="00F959F7"/>
    <w:rsid w:val="00F96976"/>
    <w:rsid w:val="00FA170C"/>
    <w:rsid w:val="00FA2B7F"/>
    <w:rsid w:val="00FA39A8"/>
    <w:rsid w:val="00FA3A60"/>
    <w:rsid w:val="00FA3B72"/>
    <w:rsid w:val="00FA42F1"/>
    <w:rsid w:val="00FA4ED2"/>
    <w:rsid w:val="00FA5C4A"/>
    <w:rsid w:val="00FB02F9"/>
    <w:rsid w:val="00FB180A"/>
    <w:rsid w:val="00FB2764"/>
    <w:rsid w:val="00FB289C"/>
    <w:rsid w:val="00FB2BFE"/>
    <w:rsid w:val="00FB2EE4"/>
    <w:rsid w:val="00FB4668"/>
    <w:rsid w:val="00FB4B12"/>
    <w:rsid w:val="00FB6193"/>
    <w:rsid w:val="00FB6491"/>
    <w:rsid w:val="00FB6856"/>
    <w:rsid w:val="00FB6B3E"/>
    <w:rsid w:val="00FB721B"/>
    <w:rsid w:val="00FB7C68"/>
    <w:rsid w:val="00FC09F2"/>
    <w:rsid w:val="00FC0F84"/>
    <w:rsid w:val="00FC47DA"/>
    <w:rsid w:val="00FC4A0C"/>
    <w:rsid w:val="00FC4C31"/>
    <w:rsid w:val="00FC657D"/>
    <w:rsid w:val="00FC69E7"/>
    <w:rsid w:val="00FC6A93"/>
    <w:rsid w:val="00FC719B"/>
    <w:rsid w:val="00FC7BA6"/>
    <w:rsid w:val="00FD0D88"/>
    <w:rsid w:val="00FD3267"/>
    <w:rsid w:val="00FD326A"/>
    <w:rsid w:val="00FD33D9"/>
    <w:rsid w:val="00FD3DB4"/>
    <w:rsid w:val="00FD437F"/>
    <w:rsid w:val="00FD58A3"/>
    <w:rsid w:val="00FD5D41"/>
    <w:rsid w:val="00FD5D44"/>
    <w:rsid w:val="00FD7D6C"/>
    <w:rsid w:val="00FE05FC"/>
    <w:rsid w:val="00FE0A1F"/>
    <w:rsid w:val="00FE0D40"/>
    <w:rsid w:val="00FE1D1F"/>
    <w:rsid w:val="00FE1DFF"/>
    <w:rsid w:val="00FE1E2D"/>
    <w:rsid w:val="00FE5648"/>
    <w:rsid w:val="00FE5B9E"/>
    <w:rsid w:val="00FE77BD"/>
    <w:rsid w:val="00FF00C9"/>
    <w:rsid w:val="00FF01BA"/>
    <w:rsid w:val="00FF0575"/>
    <w:rsid w:val="00FF0A13"/>
    <w:rsid w:val="00FF1292"/>
    <w:rsid w:val="00FF3277"/>
    <w:rsid w:val="00FF3AC6"/>
    <w:rsid w:val="00FF53D0"/>
    <w:rsid w:val="00FF74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4:docId w14:val="4959D15F"/>
  <w15:chartTrackingRefBased/>
  <w15:docId w15:val="{8F8AEDB0-3D43-4FCA-81CC-9F4CD815C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3"/>
        <w:szCs w:val="23"/>
        <w:lang w:val="fr-FR" w:eastAsia="en-US" w:bidi="ar-SA"/>
      </w:rPr>
    </w:rPrDefault>
    <w:pPrDefault>
      <w:pPr>
        <w:spacing w:after="345" w:line="300" w:lineRule="auto"/>
      </w:pPr>
    </w:pPrDefault>
  </w:docDefaults>
  <w:latentStyles w:defLockedState="1" w:defUIPriority="99" w:defSemiHidden="0" w:defUnhideWhenUsed="0" w:defQFormat="0" w:count="376">
    <w:lsdException w:name="Normal" w:locked="0" w:uiPriority="0" w:qFormat="1"/>
    <w:lsdException w:name="heading 1" w:locked="0" w:uiPriority="1" w:qFormat="1"/>
    <w:lsdException w:name="heading 2" w:locked="0" w:semiHidden="1" w:uiPriority="1" w:unhideWhenUsed="1" w:qFormat="1"/>
    <w:lsdException w:name="heading 3" w:locked="0" w:semiHidden="1" w:uiPriority="1" w:unhideWhenUsed="1" w:qFormat="1"/>
    <w:lsdException w:name="heading 4" w:locked="0" w:semiHidden="1" w:uiPriority="1" w:unhideWhenUsed="1"/>
    <w:lsdException w:name="heading 5" w:locked="0" w:semiHidden="1" w:uiPriority="1" w:unhideWhenUsed="1"/>
    <w:lsdException w:name="heading 6" w:locked="0" w:semiHidden="1" w:uiPriority="1" w:unhideWhenUsed="1"/>
    <w:lsdException w:name="heading 7" w:locked="0" w:semiHidden="1" w:uiPriority="1" w:unhideWhenUsed="1"/>
    <w:lsdException w:name="heading 8" w:locked="0" w:semiHidden="1" w:uiPriority="1" w:unhideWhenUsed="1"/>
    <w:lsdException w:name="heading 9" w:locked="0"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locked="0" w:semiHidden="1" w:uiPriority="57"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4"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0" w:unhideWhenUsed="1"/>
    <w:lsdException w:name="annotation reference" w:locked="0" w:semiHidden="1" w:uiPriority="0" w:unhideWhenUsed="1"/>
    <w:lsdException w:name="line number" w:semiHidden="1" w:unhideWhenUsed="1"/>
    <w:lsdException w:name="page number" w:semiHidden="1" w:unhideWhenUsed="1"/>
    <w:lsdException w:name="endnote reference" w:locked="0" w:semiHidden="1" w:uiPriority="0"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iPriority="10" w:unhideWhenUsed="1" w:qFormat="1"/>
    <w:lsdException w:name="List Number" w:locked="0" w:semiHidden="1" w:uiPriority="1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locked="0" w:semiHidden="1" w:uiPriority="11" w:unhideWhenUsed="1" w:qFormat="1"/>
    <w:lsdException w:name="List Bullet 3" w:locked="0" w:semiHidden="1" w:uiPriority="11" w:unhideWhenUsed="1"/>
    <w:lsdException w:name="List Bullet 4" w:locked="0" w:semiHidden="1" w:uiPriority="11" w:unhideWhenUsed="1"/>
    <w:lsdException w:name="List Bullet 5" w:locked="0" w:semiHidden="1" w:uiPriority="11" w:unhideWhenUsed="1"/>
    <w:lsdException w:name="List Number 2" w:locked="0" w:semiHidden="1" w:uiPriority="13" w:unhideWhenUsed="1" w:qFormat="1"/>
    <w:lsdException w:name="List Number 3" w:locked="0" w:semiHidden="1" w:uiPriority="13" w:unhideWhenUsed="1"/>
    <w:lsdException w:name="List Number 4" w:locked="0" w:semiHidden="1" w:uiPriority="13" w:unhideWhenUsed="1"/>
    <w:lsdException w:name="List Number 5" w:locked="0" w:semiHidden="1" w:unhideWhenUsed="1"/>
    <w:lsdException w:name="Title" w:locked="0" w:uiPriority="29"/>
    <w:lsdException w:name="Closing" w:locked="0" w:semiHidden="1" w:uiPriority="46"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locked="0" w:semiHidden="1" w:uiPriority="14" w:unhideWhenUsed="1" w:qFormat="1"/>
    <w:lsdException w:name="List Continue 2" w:locked="0" w:semiHidden="1" w:uiPriority="15" w:unhideWhenUsed="1" w:qFormat="1"/>
    <w:lsdException w:name="List Continue 3" w:locked="0" w:semiHidden="1" w:uiPriority="15" w:unhideWhenUsed="1"/>
    <w:lsdException w:name="List Continue 4" w:semiHidden="1" w:uiPriority="15"/>
    <w:lsdException w:name="List Continue 5" w:semiHidden="1" w:uiPriority="15"/>
    <w:lsdException w:name="Message Header" w:semiHidden="1" w:unhideWhenUsed="1"/>
    <w:lsdException w:name="Subtitle" w:locked="0" w:uiPriority="29"/>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0" w:semiHidden="1" w:unhideWhenUsed="1"/>
    <w:lsdException w:name="Hyperlink" w:locked="0" w:semiHidden="1" w:unhideWhenUsed="1" w:qFormat="1"/>
    <w:lsdException w:name="FollowedHyperlink" w:semiHidden="1" w:unhideWhenUsed="1"/>
    <w:lsdException w:name="Strong" w:locked="0" w:uiPriority="1" w:qFormat="1"/>
    <w:lsdException w:name="Emphasis" w:locked="0" w:uiPriority="59"/>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0" w:qFormat="1"/>
    <w:lsdException w:name="Light Shading" w:locked="0" w:uiPriority="60"/>
    <w:lsdException w:name="Light List" w:locked="0"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0" w:qFormat="1"/>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locked="0"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locked="0"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locked="0"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59"/>
    <w:lsdException w:name="Intense Emphasis" w:locked="0" w:uiPriority="59"/>
    <w:lsdException w:name="Subtle Reference" w:locked="0" w:uiPriority="31"/>
    <w:lsdException w:name="Intense Reference" w:locked="0" w:uiPriority="32"/>
    <w:lsdException w:name="Bibliography" w:semiHidden="1" w:uiPriority="37" w:unhideWhenUsed="1"/>
    <w:lsdException w:name="TOC Heading" w:locked="0"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643B44"/>
    <w:pPr>
      <w:spacing w:after="0" w:line="240" w:lineRule="auto"/>
    </w:pPr>
    <w:rPr>
      <w:rFonts w:ascii="Corbel" w:eastAsiaTheme="minorEastAsia" w:hAnsi="Corbel" w:cs="Times New Roman"/>
      <w:snapToGrid w:val="0"/>
      <w:color w:val="000000"/>
      <w:szCs w:val="20"/>
      <w:lang w:eastAsia="de-DE"/>
    </w:rPr>
  </w:style>
  <w:style w:type="paragraph" w:styleId="Heading1">
    <w:name w:val="heading 1"/>
    <w:aliases w:val="Ü1"/>
    <w:basedOn w:val="Normal"/>
    <w:next w:val="Normal"/>
    <w:link w:val="Heading1Char"/>
    <w:uiPriority w:val="1"/>
    <w:locked/>
    <w:rsid w:val="007D54AB"/>
    <w:pPr>
      <w:keepNext/>
      <w:spacing w:after="690" w:line="690" w:lineRule="exact"/>
      <w:outlineLvl w:val="0"/>
    </w:pPr>
    <w:rPr>
      <w:rFonts w:asciiTheme="majorHAnsi" w:hAnsiTheme="majorHAnsi"/>
      <w:bCs/>
      <w:color w:val="E6320F" w:themeColor="text2"/>
      <w:sz w:val="56"/>
      <w:szCs w:val="22"/>
    </w:rPr>
  </w:style>
  <w:style w:type="paragraph" w:styleId="Heading2">
    <w:name w:val="heading 2"/>
    <w:aliases w:val="Ü2"/>
    <w:basedOn w:val="Heading1"/>
    <w:next w:val="Normal"/>
    <w:link w:val="Heading2Char"/>
    <w:uiPriority w:val="1"/>
    <w:qFormat/>
    <w:locked/>
    <w:rsid w:val="00873CCE"/>
    <w:pPr>
      <w:spacing w:before="690" w:after="345" w:line="300" w:lineRule="auto"/>
      <w:outlineLvl w:val="1"/>
    </w:pPr>
    <w:rPr>
      <w:b/>
      <w:color w:val="auto"/>
      <w:sz w:val="30"/>
    </w:rPr>
  </w:style>
  <w:style w:type="paragraph" w:styleId="Heading3">
    <w:name w:val="heading 3"/>
    <w:aliases w:val="Ü3"/>
    <w:basedOn w:val="Heading2"/>
    <w:next w:val="Normal"/>
    <w:link w:val="Heading3Char"/>
    <w:uiPriority w:val="1"/>
    <w:qFormat/>
    <w:locked/>
    <w:rsid w:val="00873CCE"/>
    <w:pPr>
      <w:spacing w:after="0"/>
      <w:outlineLvl w:val="2"/>
    </w:pPr>
    <w:rPr>
      <w:sz w:val="25"/>
    </w:rPr>
  </w:style>
  <w:style w:type="paragraph" w:styleId="Heading4">
    <w:name w:val="heading 4"/>
    <w:aliases w:val="Ü4"/>
    <w:basedOn w:val="Heading3"/>
    <w:next w:val="Normal"/>
    <w:link w:val="Heading4Char"/>
    <w:uiPriority w:val="1"/>
    <w:locked/>
    <w:rsid w:val="00873CCE"/>
    <w:pPr>
      <w:outlineLvl w:val="3"/>
    </w:pPr>
    <w:rPr>
      <w:sz w:val="23"/>
    </w:rPr>
  </w:style>
  <w:style w:type="paragraph" w:styleId="Heading5">
    <w:name w:val="heading 5"/>
    <w:aliases w:val="Ü5"/>
    <w:basedOn w:val="Heading4"/>
    <w:next w:val="Normal"/>
    <w:link w:val="Heading5Char"/>
    <w:uiPriority w:val="1"/>
    <w:locked/>
    <w:rsid w:val="00873CCE"/>
    <w:pPr>
      <w:outlineLvl w:val="4"/>
    </w:pPr>
    <w:rPr>
      <w:color w:val="4D4D4D"/>
    </w:rPr>
  </w:style>
  <w:style w:type="paragraph" w:styleId="Heading6">
    <w:name w:val="heading 6"/>
    <w:basedOn w:val="Normal"/>
    <w:next w:val="Normal"/>
    <w:link w:val="Heading6Char"/>
    <w:uiPriority w:val="1"/>
    <w:semiHidden/>
    <w:locked/>
    <w:rsid w:val="00873CCE"/>
    <w:pPr>
      <w:spacing w:before="300"/>
      <w:outlineLvl w:val="5"/>
    </w:pPr>
    <w:rPr>
      <w:rFonts w:asciiTheme="majorHAnsi" w:hAnsiTheme="majorHAnsi"/>
      <w:szCs w:val="22"/>
    </w:rPr>
  </w:style>
  <w:style w:type="paragraph" w:styleId="Heading7">
    <w:name w:val="heading 7"/>
    <w:basedOn w:val="Normal"/>
    <w:next w:val="Normal"/>
    <w:link w:val="Heading7Char"/>
    <w:uiPriority w:val="1"/>
    <w:semiHidden/>
    <w:locked/>
    <w:rsid w:val="00873CCE"/>
    <w:pPr>
      <w:spacing w:before="300"/>
      <w:outlineLvl w:val="6"/>
    </w:pPr>
    <w:rPr>
      <w:rFonts w:asciiTheme="majorHAnsi" w:hAnsiTheme="majorHAnsi"/>
      <w:sz w:val="20"/>
      <w:szCs w:val="22"/>
    </w:rPr>
  </w:style>
  <w:style w:type="paragraph" w:styleId="Heading8">
    <w:name w:val="heading 8"/>
    <w:basedOn w:val="Normal"/>
    <w:next w:val="Normal"/>
    <w:link w:val="Heading8Char"/>
    <w:uiPriority w:val="1"/>
    <w:semiHidden/>
    <w:locked/>
    <w:rsid w:val="00873CCE"/>
    <w:pPr>
      <w:spacing w:before="300"/>
      <w:outlineLvl w:val="7"/>
    </w:pPr>
    <w:rPr>
      <w:sz w:val="18"/>
      <w:szCs w:val="18"/>
    </w:rPr>
  </w:style>
  <w:style w:type="paragraph" w:styleId="Heading9">
    <w:name w:val="heading 9"/>
    <w:basedOn w:val="Normal"/>
    <w:next w:val="Normal"/>
    <w:link w:val="Heading9Char"/>
    <w:uiPriority w:val="1"/>
    <w:semiHidden/>
    <w:locked/>
    <w:rsid w:val="00873CCE"/>
    <w:pPr>
      <w:spacing w:before="300"/>
      <w:outlineLvl w:val="8"/>
    </w:pPr>
    <w:rPr>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endedaten">
    <w:name w:val="Absendedaten"/>
    <w:basedOn w:val="NoSpacing"/>
    <w:uiPriority w:val="49"/>
    <w:semiHidden/>
    <w:qFormat/>
    <w:locked/>
    <w:rsid w:val="00873CCE"/>
    <w:pPr>
      <w:spacing w:line="220" w:lineRule="exact"/>
    </w:pPr>
    <w:rPr>
      <w:sz w:val="17"/>
      <w:szCs w:val="16"/>
    </w:rPr>
  </w:style>
  <w:style w:type="paragraph" w:styleId="TOC1">
    <w:name w:val="toc 1"/>
    <w:basedOn w:val="Normal"/>
    <w:next w:val="Normal"/>
    <w:autoRedefine/>
    <w:uiPriority w:val="39"/>
    <w:semiHidden/>
    <w:locked/>
    <w:rsid w:val="00873CCE"/>
    <w:pPr>
      <w:tabs>
        <w:tab w:val="left" w:pos="227"/>
        <w:tab w:val="right" w:leader="dot" w:pos="8845"/>
      </w:tabs>
      <w:spacing w:before="156"/>
      <w:ind w:right="335"/>
    </w:pPr>
    <w:rPr>
      <w:b/>
      <w:noProof/>
      <w:color w:val="E6320F" w:themeColor="text2"/>
    </w:rPr>
  </w:style>
  <w:style w:type="paragraph" w:styleId="Footer">
    <w:name w:val="footer"/>
    <w:basedOn w:val="Normal"/>
    <w:link w:val="FooterChar"/>
    <w:uiPriority w:val="99"/>
    <w:unhideWhenUsed/>
    <w:locked/>
    <w:rsid w:val="00643B44"/>
    <w:pPr>
      <w:tabs>
        <w:tab w:val="center" w:pos="4536"/>
        <w:tab w:val="right" w:pos="9072"/>
      </w:tabs>
    </w:pPr>
  </w:style>
  <w:style w:type="character" w:customStyle="1" w:styleId="FooterChar">
    <w:name w:val="Footer Char"/>
    <w:basedOn w:val="DefaultParagraphFont"/>
    <w:link w:val="Footer"/>
    <w:uiPriority w:val="99"/>
    <w:rsid w:val="00643B44"/>
    <w:rPr>
      <w:rFonts w:ascii="Times New Roman" w:eastAsiaTheme="minorEastAsia" w:hAnsi="Times New Roman" w:cs="Times New Roman"/>
      <w:snapToGrid w:val="0"/>
      <w:color w:val="000000"/>
      <w:sz w:val="20"/>
      <w:szCs w:val="20"/>
      <w:lang w:val="fr-FR" w:eastAsia="de-DE"/>
    </w:rPr>
  </w:style>
  <w:style w:type="paragraph" w:styleId="NoSpacing">
    <w:name w:val="No Spacing"/>
    <w:basedOn w:val="Normal"/>
    <w:link w:val="NoSpacingChar"/>
    <w:qFormat/>
    <w:locked/>
    <w:rsid w:val="00873CCE"/>
  </w:style>
  <w:style w:type="character" w:customStyle="1" w:styleId="Heading1Char">
    <w:name w:val="Heading 1 Char"/>
    <w:aliases w:val="Ü1 Char"/>
    <w:basedOn w:val="DefaultParagraphFont"/>
    <w:link w:val="Heading1"/>
    <w:uiPriority w:val="1"/>
    <w:rsid w:val="007D54AB"/>
    <w:rPr>
      <w:rFonts w:asciiTheme="majorHAnsi" w:hAnsiTheme="majorHAnsi"/>
      <w:bCs/>
      <w:color w:val="E6320F" w:themeColor="text2"/>
      <w:sz w:val="56"/>
      <w:szCs w:val="22"/>
      <w14:numForm w14:val="lining"/>
    </w:rPr>
  </w:style>
  <w:style w:type="character" w:customStyle="1" w:styleId="Heading2Char">
    <w:name w:val="Heading 2 Char"/>
    <w:aliases w:val="Ü2 Char"/>
    <w:basedOn w:val="DefaultParagraphFont"/>
    <w:link w:val="Heading2"/>
    <w:uiPriority w:val="1"/>
    <w:rsid w:val="007D54AB"/>
    <w:rPr>
      <w:rFonts w:asciiTheme="majorHAnsi" w:hAnsiTheme="majorHAnsi"/>
      <w:b/>
      <w:bCs/>
      <w:sz w:val="30"/>
      <w:szCs w:val="22"/>
      <w14:numForm w14:val="lining"/>
    </w:rPr>
  </w:style>
  <w:style w:type="character" w:customStyle="1" w:styleId="Heading3Char">
    <w:name w:val="Heading 3 Char"/>
    <w:aliases w:val="Ü3 Char"/>
    <w:basedOn w:val="DefaultParagraphFont"/>
    <w:link w:val="Heading3"/>
    <w:uiPriority w:val="1"/>
    <w:rsid w:val="007D54AB"/>
    <w:rPr>
      <w:rFonts w:asciiTheme="majorHAnsi" w:hAnsiTheme="majorHAnsi"/>
      <w:b/>
      <w:bCs/>
      <w:sz w:val="25"/>
      <w:szCs w:val="22"/>
      <w14:numForm w14:val="lining"/>
    </w:rPr>
  </w:style>
  <w:style w:type="character" w:customStyle="1" w:styleId="Heading4Char">
    <w:name w:val="Heading 4 Char"/>
    <w:aliases w:val="Ü4 Char"/>
    <w:basedOn w:val="DefaultParagraphFont"/>
    <w:link w:val="Heading4"/>
    <w:uiPriority w:val="1"/>
    <w:rsid w:val="007D54AB"/>
    <w:rPr>
      <w:rFonts w:asciiTheme="majorHAnsi" w:hAnsiTheme="majorHAnsi"/>
      <w:b/>
      <w:bCs/>
      <w:szCs w:val="22"/>
      <w14:numForm w14:val="lining"/>
    </w:rPr>
  </w:style>
  <w:style w:type="character" w:customStyle="1" w:styleId="Heading5Char">
    <w:name w:val="Heading 5 Char"/>
    <w:aliases w:val="Ü5 Char"/>
    <w:basedOn w:val="DefaultParagraphFont"/>
    <w:link w:val="Heading5"/>
    <w:uiPriority w:val="1"/>
    <w:rsid w:val="007D54AB"/>
    <w:rPr>
      <w:rFonts w:asciiTheme="majorHAnsi" w:hAnsiTheme="majorHAnsi"/>
      <w:b/>
      <w:bCs/>
      <w:color w:val="4D4D4D"/>
      <w:szCs w:val="22"/>
      <w14:numForm w14:val="lining"/>
    </w:rPr>
  </w:style>
  <w:style w:type="character" w:customStyle="1" w:styleId="Heading6Char">
    <w:name w:val="Heading 6 Char"/>
    <w:basedOn w:val="DefaultParagraphFont"/>
    <w:link w:val="Heading6"/>
    <w:uiPriority w:val="1"/>
    <w:semiHidden/>
    <w:rsid w:val="007D54AB"/>
    <w:rPr>
      <w:rFonts w:asciiTheme="majorHAnsi" w:hAnsiTheme="majorHAnsi"/>
      <w:szCs w:val="22"/>
      <w14:numForm w14:val="lining"/>
    </w:rPr>
  </w:style>
  <w:style w:type="character" w:customStyle="1" w:styleId="Heading7Char">
    <w:name w:val="Heading 7 Char"/>
    <w:basedOn w:val="DefaultParagraphFont"/>
    <w:link w:val="Heading7"/>
    <w:uiPriority w:val="1"/>
    <w:semiHidden/>
    <w:rsid w:val="007D54AB"/>
    <w:rPr>
      <w:rFonts w:asciiTheme="majorHAnsi" w:hAnsiTheme="majorHAnsi"/>
      <w:sz w:val="20"/>
      <w:szCs w:val="22"/>
      <w14:numForm w14:val="lining"/>
    </w:rPr>
  </w:style>
  <w:style w:type="character" w:customStyle="1" w:styleId="Heading8Char">
    <w:name w:val="Heading 8 Char"/>
    <w:basedOn w:val="DefaultParagraphFont"/>
    <w:link w:val="Heading8"/>
    <w:uiPriority w:val="1"/>
    <w:semiHidden/>
    <w:rsid w:val="007D54AB"/>
    <w:rPr>
      <w:sz w:val="18"/>
      <w:szCs w:val="18"/>
      <w14:numForm w14:val="lining"/>
    </w:rPr>
  </w:style>
  <w:style w:type="character" w:customStyle="1" w:styleId="Heading9Char">
    <w:name w:val="Heading 9 Char"/>
    <w:basedOn w:val="DefaultParagraphFont"/>
    <w:link w:val="Heading9"/>
    <w:uiPriority w:val="1"/>
    <w:semiHidden/>
    <w:rsid w:val="007D54AB"/>
    <w:rPr>
      <w:sz w:val="18"/>
      <w:szCs w:val="18"/>
      <w14:numForm w14:val="lining"/>
    </w:rPr>
  </w:style>
  <w:style w:type="paragraph" w:styleId="Caption">
    <w:name w:val="caption"/>
    <w:basedOn w:val="Normal"/>
    <w:next w:val="Normal"/>
    <w:uiPriority w:val="4"/>
    <w:qFormat/>
    <w:locked/>
    <w:rsid w:val="00873CCE"/>
    <w:pPr>
      <w:keepNext/>
      <w:spacing w:before="690"/>
    </w:pPr>
    <w:rPr>
      <w:bCs/>
      <w:color w:val="595959" w:themeColor="text1" w:themeTint="A6"/>
      <w:szCs w:val="16"/>
    </w:rPr>
  </w:style>
  <w:style w:type="paragraph" w:customStyle="1" w:styleId="ProgrammWannWas">
    <w:name w:val="Programm Wann Was"/>
    <w:aliases w:val="P-Wann-Was"/>
    <w:basedOn w:val="Normal"/>
    <w:uiPriority w:val="23"/>
    <w:qFormat/>
    <w:locked/>
    <w:rsid w:val="00873CCE"/>
    <w:pPr>
      <w:ind w:left="1888" w:hanging="1888"/>
    </w:pPr>
    <w:rPr>
      <w:rFonts w:eastAsia="Times New Roman"/>
      <w:szCs w:val="22"/>
      <w:lang w:eastAsia="de-AT"/>
    </w:rPr>
  </w:style>
  <w:style w:type="character" w:styleId="Strong">
    <w:name w:val="Strong"/>
    <w:uiPriority w:val="1"/>
    <w:qFormat/>
    <w:locked/>
    <w:rsid w:val="00873CCE"/>
    <w:rPr>
      <w:b/>
      <w:bCs/>
    </w:rPr>
  </w:style>
  <w:style w:type="paragraph" w:styleId="CommentText">
    <w:name w:val="annotation text"/>
    <w:basedOn w:val="Normal"/>
    <w:link w:val="CommentTextChar"/>
    <w:uiPriority w:val="99"/>
    <w:semiHidden/>
    <w:unhideWhenUsed/>
    <w:locked/>
    <w:rsid w:val="00873CCE"/>
    <w:rPr>
      <w:sz w:val="20"/>
    </w:rPr>
  </w:style>
  <w:style w:type="paragraph" w:styleId="ListParagraph">
    <w:name w:val="List Paragraph"/>
    <w:basedOn w:val="Normal"/>
    <w:uiPriority w:val="34"/>
    <w:unhideWhenUsed/>
    <w:qFormat/>
    <w:locked/>
    <w:rsid w:val="00873CCE"/>
    <w:pPr>
      <w:numPr>
        <w:numId w:val="10"/>
      </w:numPr>
      <w:contextualSpacing/>
    </w:pPr>
  </w:style>
  <w:style w:type="paragraph" w:styleId="Quote">
    <w:name w:val="Quote"/>
    <w:basedOn w:val="Normal"/>
    <w:next w:val="Normal"/>
    <w:link w:val="QuoteChar"/>
    <w:uiPriority w:val="20"/>
    <w:qFormat/>
    <w:locked/>
    <w:rsid w:val="00873CCE"/>
    <w:pPr>
      <w:ind w:left="397" w:right="794"/>
    </w:pPr>
    <w:rPr>
      <w:iCs/>
      <w:color w:val="E6320F" w:themeColor="text2"/>
      <w:sz w:val="25"/>
    </w:rPr>
  </w:style>
  <w:style w:type="character" w:customStyle="1" w:styleId="QuoteChar">
    <w:name w:val="Quote Char"/>
    <w:basedOn w:val="DefaultParagraphFont"/>
    <w:link w:val="Quote"/>
    <w:uiPriority w:val="20"/>
    <w:rsid w:val="00873CCE"/>
    <w:rPr>
      <w:iCs/>
      <w:color w:val="E6320F" w:themeColor="text2"/>
      <w:sz w:val="25"/>
      <w:szCs w:val="20"/>
      <w:lang w:val="fr-FR"/>
    </w:rPr>
  </w:style>
  <w:style w:type="paragraph" w:styleId="IntenseQuote">
    <w:name w:val="Intense Quote"/>
    <w:basedOn w:val="Normal"/>
    <w:next w:val="Normal"/>
    <w:link w:val="IntenseQuoteChar"/>
    <w:uiPriority w:val="30"/>
    <w:semiHidden/>
    <w:locked/>
    <w:rsid w:val="00873CCE"/>
    <w:rPr>
      <w:i/>
      <w:iCs/>
    </w:rPr>
  </w:style>
  <w:style w:type="character" w:customStyle="1" w:styleId="IntenseQuoteChar">
    <w:name w:val="Intense Quote Char"/>
    <w:basedOn w:val="DefaultParagraphFont"/>
    <w:link w:val="IntenseQuote"/>
    <w:uiPriority w:val="30"/>
    <w:semiHidden/>
    <w:rsid w:val="00873CCE"/>
    <w:rPr>
      <w:i/>
      <w:iCs/>
      <w14:numForm w14:val="lining"/>
    </w:rPr>
  </w:style>
  <w:style w:type="character" w:styleId="IntenseEmphasis">
    <w:name w:val="Intense Emphasis"/>
    <w:uiPriority w:val="59"/>
    <w:semiHidden/>
    <w:locked/>
    <w:rsid w:val="00873CCE"/>
    <w:rPr>
      <w:b/>
      <w:bCs/>
      <w:caps w:val="0"/>
      <w:smallCaps w:val="0"/>
      <w:strike w:val="0"/>
      <w:dstrike w:val="0"/>
      <w:vanish w:val="0"/>
      <w:color w:val="E6320F" w:themeColor="text2"/>
      <w:spacing w:val="0"/>
      <w:vertAlign w:val="baseline"/>
    </w:rPr>
  </w:style>
  <w:style w:type="paragraph" w:customStyle="1" w:styleId="KennZ">
    <w:name w:val="KennZ"/>
    <w:basedOn w:val="GZ"/>
    <w:uiPriority w:val="49"/>
    <w:semiHidden/>
    <w:qFormat/>
    <w:locked/>
    <w:rsid w:val="00873CCE"/>
    <w:pPr>
      <w:spacing w:before="0" w:after="345"/>
    </w:pPr>
    <w:rPr>
      <w:b/>
      <w:caps/>
    </w:rPr>
  </w:style>
  <w:style w:type="character" w:styleId="IntenseReference">
    <w:name w:val="Intense Reference"/>
    <w:uiPriority w:val="32"/>
    <w:semiHidden/>
    <w:locked/>
    <w:rsid w:val="00873CCE"/>
    <w:rPr>
      <w:b/>
      <w:bCs/>
      <w:i/>
      <w:iCs/>
      <w:caps w:val="0"/>
      <w:color w:val="E6320F" w:themeColor="text2"/>
    </w:rPr>
  </w:style>
  <w:style w:type="paragraph" w:styleId="TOCHeading">
    <w:name w:val="TOC Heading"/>
    <w:basedOn w:val="Heading1"/>
    <w:next w:val="Normal"/>
    <w:uiPriority w:val="39"/>
    <w:semiHidden/>
    <w:locked/>
    <w:rsid w:val="00873CCE"/>
    <w:pPr>
      <w:spacing w:after="345" w:line="300" w:lineRule="auto"/>
      <w:outlineLvl w:val="9"/>
    </w:pPr>
    <w:rPr>
      <w:b/>
      <w:color w:val="auto"/>
      <w:sz w:val="25"/>
    </w:rPr>
  </w:style>
  <w:style w:type="paragraph" w:customStyle="1" w:styleId="PersonalName">
    <w:name w:val="Personal Name"/>
    <w:basedOn w:val="Normal"/>
    <w:uiPriority w:val="99"/>
    <w:semiHidden/>
    <w:locked/>
    <w:rsid w:val="00873CCE"/>
    <w:pPr>
      <w:spacing w:before="720"/>
    </w:pPr>
    <w:rPr>
      <w:b/>
      <w:spacing w:val="10"/>
      <w:kern w:val="28"/>
      <w:sz w:val="28"/>
      <w:szCs w:val="28"/>
    </w:rPr>
  </w:style>
  <w:style w:type="character" w:customStyle="1" w:styleId="NoSpacingChar">
    <w:name w:val="No Spacing Char"/>
    <w:basedOn w:val="DefaultParagraphFont"/>
    <w:link w:val="NoSpacing"/>
    <w:rsid w:val="00873CCE"/>
    <w:rPr>
      <w:szCs w:val="20"/>
      <w:lang w:val="fr-FR"/>
      <w14:numForm w14:val="lining"/>
    </w:rPr>
  </w:style>
  <w:style w:type="paragraph" w:styleId="BalloonText">
    <w:name w:val="Balloon Text"/>
    <w:basedOn w:val="Normal"/>
    <w:link w:val="BalloonTextChar"/>
    <w:uiPriority w:val="99"/>
    <w:semiHidden/>
    <w:unhideWhenUsed/>
    <w:locked/>
    <w:rsid w:val="00873CCE"/>
    <w:rPr>
      <w:rFonts w:ascii="Tahoma" w:hAnsi="Tahoma" w:cs="Tahoma"/>
      <w:sz w:val="16"/>
      <w:szCs w:val="16"/>
    </w:rPr>
  </w:style>
  <w:style w:type="character" w:customStyle="1" w:styleId="BalloonTextChar">
    <w:name w:val="Balloon Text Char"/>
    <w:basedOn w:val="DefaultParagraphFont"/>
    <w:link w:val="BalloonText"/>
    <w:uiPriority w:val="99"/>
    <w:semiHidden/>
    <w:rsid w:val="00873CCE"/>
    <w:rPr>
      <w:rFonts w:ascii="Tahoma" w:hAnsi="Tahoma" w:cs="Tahoma"/>
      <w:sz w:val="16"/>
      <w:szCs w:val="16"/>
      <w14:numForm w14:val="lining"/>
    </w:rPr>
  </w:style>
  <w:style w:type="table" w:styleId="TableGrid">
    <w:name w:val="Table Grid"/>
    <w:basedOn w:val="TableNormal"/>
    <w:uiPriority w:val="39"/>
    <w:locked/>
    <w:rsid w:val="00873CCE"/>
    <w:pPr>
      <w:spacing w:after="0" w:line="264" w:lineRule="auto"/>
    </w:pPr>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Pr>
  </w:style>
  <w:style w:type="character" w:styleId="Hyperlink">
    <w:name w:val="Hyperlink"/>
    <w:basedOn w:val="DefaultParagraphFont"/>
    <w:uiPriority w:val="99"/>
    <w:qFormat/>
    <w:locked/>
    <w:rsid w:val="00873CCE"/>
    <w:rPr>
      <w:color w:val="auto"/>
      <w:u w:val="single"/>
    </w:rPr>
  </w:style>
  <w:style w:type="paragraph" w:styleId="Header">
    <w:name w:val="header"/>
    <w:basedOn w:val="Normal"/>
    <w:link w:val="HeaderChar"/>
    <w:uiPriority w:val="99"/>
    <w:locked/>
    <w:rsid w:val="00873CCE"/>
    <w:pPr>
      <w:tabs>
        <w:tab w:val="center" w:pos="4536"/>
        <w:tab w:val="right" w:pos="9072"/>
      </w:tabs>
    </w:pPr>
  </w:style>
  <w:style w:type="character" w:customStyle="1" w:styleId="HeaderChar">
    <w:name w:val="Header Char"/>
    <w:basedOn w:val="DefaultParagraphFont"/>
    <w:link w:val="Header"/>
    <w:uiPriority w:val="99"/>
    <w:rsid w:val="00873CCE"/>
    <w:rPr>
      <w14:numForm w14:val="lining"/>
    </w:rPr>
  </w:style>
  <w:style w:type="paragraph" w:customStyle="1" w:styleId="Grussformel">
    <w:name w:val="Grussformel"/>
    <w:basedOn w:val="NoSpacing"/>
    <w:uiPriority w:val="49"/>
    <w:semiHidden/>
    <w:qFormat/>
    <w:locked/>
    <w:rsid w:val="00873CCE"/>
    <w:pPr>
      <w:spacing w:before="285" w:after="285"/>
    </w:pPr>
    <w:rPr>
      <w:szCs w:val="23"/>
    </w:rPr>
  </w:style>
  <w:style w:type="paragraph" w:customStyle="1" w:styleId="Logoabsatz">
    <w:name w:val="Logoabsatz"/>
    <w:basedOn w:val="NoSpacing"/>
    <w:uiPriority w:val="49"/>
    <w:semiHidden/>
    <w:locked/>
    <w:rsid w:val="00873CCE"/>
    <w:pPr>
      <w:spacing w:after="1840"/>
    </w:pPr>
    <w:rPr>
      <w:noProof/>
      <w:lang w:eastAsia="de-AT"/>
    </w:rPr>
  </w:style>
  <w:style w:type="character" w:styleId="PlaceholderText">
    <w:name w:val="Placeholder Text"/>
    <w:basedOn w:val="DefaultParagraphFont"/>
    <w:uiPriority w:val="99"/>
    <w:semiHidden/>
    <w:locked/>
    <w:rsid w:val="00873CCE"/>
    <w:rPr>
      <w:color w:val="808080"/>
    </w:rPr>
  </w:style>
  <w:style w:type="paragraph" w:styleId="Title">
    <w:name w:val="Title"/>
    <w:basedOn w:val="Normal"/>
    <w:next w:val="Subtitle"/>
    <w:link w:val="TitleChar"/>
    <w:uiPriority w:val="29"/>
    <w:locked/>
    <w:rsid w:val="00873CCE"/>
    <w:pPr>
      <w:framePr w:w="9072" w:hSpace="284" w:wrap="around" w:vAnchor="text" w:hAnchor="page" w:x="1532" w:y="1" w:anchorLock="1"/>
      <w:spacing w:line="690" w:lineRule="exact"/>
      <w:outlineLvl w:val="0"/>
    </w:pPr>
    <w:rPr>
      <w:rFonts w:asciiTheme="majorHAnsi" w:eastAsia="Calibri" w:hAnsiTheme="majorHAnsi"/>
      <w:b/>
      <w:sz w:val="56"/>
      <w:szCs w:val="60"/>
    </w:rPr>
  </w:style>
  <w:style w:type="character" w:customStyle="1" w:styleId="TitleChar">
    <w:name w:val="Title Char"/>
    <w:basedOn w:val="DefaultParagraphFont"/>
    <w:link w:val="Title"/>
    <w:uiPriority w:val="29"/>
    <w:rsid w:val="00873CCE"/>
    <w:rPr>
      <w:rFonts w:asciiTheme="majorHAnsi" w:eastAsia="Calibri" w:hAnsiTheme="majorHAnsi" w:cs="Times New Roman"/>
      <w:b/>
      <w:sz w:val="56"/>
      <w:szCs w:val="60"/>
      <w14:numForm w14:val="lining"/>
    </w:rPr>
  </w:style>
  <w:style w:type="paragraph" w:styleId="Subtitle">
    <w:name w:val="Subtitle"/>
    <w:basedOn w:val="Normal"/>
    <w:next w:val="Normal"/>
    <w:link w:val="SubtitleChar"/>
    <w:uiPriority w:val="29"/>
    <w:locked/>
    <w:rsid w:val="00873CCE"/>
    <w:pPr>
      <w:framePr w:vSpace="1134" w:wrap="around" w:vAnchor="text" w:hAnchor="page" w:x="1532" w:y="1"/>
      <w:numPr>
        <w:ilvl w:val="1"/>
      </w:numPr>
    </w:pPr>
    <w:rPr>
      <w:rFonts w:asciiTheme="majorHAnsi" w:eastAsiaTheme="majorEastAsia" w:hAnsiTheme="majorHAnsi" w:cstheme="majorBidi"/>
      <w:iCs/>
      <w:sz w:val="28"/>
      <w:szCs w:val="24"/>
    </w:rPr>
  </w:style>
  <w:style w:type="character" w:customStyle="1" w:styleId="SubtitleChar">
    <w:name w:val="Subtitle Char"/>
    <w:basedOn w:val="DefaultParagraphFont"/>
    <w:link w:val="Subtitle"/>
    <w:uiPriority w:val="29"/>
    <w:rsid w:val="00873CCE"/>
    <w:rPr>
      <w:rFonts w:asciiTheme="majorHAnsi" w:eastAsiaTheme="majorEastAsia" w:hAnsiTheme="majorHAnsi" w:cstheme="majorBidi"/>
      <w:iCs/>
      <w:sz w:val="28"/>
      <w:szCs w:val="24"/>
      <w14:numForm w14:val="lining"/>
    </w:rPr>
  </w:style>
  <w:style w:type="paragraph" w:customStyle="1" w:styleId="Anschriftdaten">
    <w:name w:val="Anschriftdaten"/>
    <w:basedOn w:val="NoSpacing"/>
    <w:uiPriority w:val="49"/>
    <w:semiHidden/>
    <w:locked/>
    <w:rsid w:val="00873CCE"/>
    <w:pPr>
      <w:spacing w:line="252" w:lineRule="auto"/>
      <w:ind w:right="1701"/>
    </w:pPr>
  </w:style>
  <w:style w:type="character" w:customStyle="1" w:styleId="Kursiv">
    <w:name w:val="Kursiv"/>
    <w:basedOn w:val="DefaultParagraphFont"/>
    <w:uiPriority w:val="59"/>
    <w:qFormat/>
    <w:locked/>
    <w:rsid w:val="00873CCE"/>
    <w:rPr>
      <w:i/>
      <w:iCs/>
    </w:rPr>
  </w:style>
  <w:style w:type="paragraph" w:customStyle="1" w:styleId="TH-Spalte">
    <w:name w:val="TH-Spalte"/>
    <w:basedOn w:val="TD"/>
    <w:uiPriority w:val="4"/>
    <w:qFormat/>
    <w:locked/>
    <w:rsid w:val="00873CCE"/>
    <w:rPr>
      <w:b/>
    </w:rPr>
  </w:style>
  <w:style w:type="character" w:customStyle="1" w:styleId="ROTFett">
    <w:name w:val="ROT+Fett"/>
    <w:basedOn w:val="ROT"/>
    <w:uiPriority w:val="59"/>
    <w:qFormat/>
    <w:locked/>
    <w:rsid w:val="00873CCE"/>
    <w:rPr>
      <w:b/>
      <w:bCs/>
      <w:color w:val="E6320F" w:themeColor="text2"/>
      <w:lang w:val="fr-FR"/>
    </w:rPr>
  </w:style>
  <w:style w:type="paragraph" w:customStyle="1" w:styleId="TH-Spaltelinks">
    <w:name w:val="TH-Spalte links"/>
    <w:aliases w:val="TH Sp links"/>
    <w:basedOn w:val="TH-Spalte"/>
    <w:uiPriority w:val="4"/>
    <w:locked/>
    <w:rsid w:val="00873CCE"/>
    <w:pPr>
      <w:jc w:val="left"/>
    </w:pPr>
  </w:style>
  <w:style w:type="paragraph" w:styleId="ListBullet">
    <w:name w:val="List Bullet"/>
    <w:aliases w:val="UL 1"/>
    <w:basedOn w:val="Normal"/>
    <w:uiPriority w:val="10"/>
    <w:qFormat/>
    <w:locked/>
    <w:rsid w:val="00873CCE"/>
    <w:pPr>
      <w:contextualSpacing/>
    </w:pPr>
    <w:rPr>
      <w:szCs w:val="24"/>
      <w:lang w:eastAsia="de-AT"/>
    </w:rPr>
  </w:style>
  <w:style w:type="paragraph" w:styleId="ListBullet2">
    <w:name w:val="List Bullet 2"/>
    <w:aliases w:val="UL 2"/>
    <w:basedOn w:val="ListBullet"/>
    <w:uiPriority w:val="11"/>
    <w:qFormat/>
    <w:locked/>
    <w:rsid w:val="00873CCE"/>
  </w:style>
  <w:style w:type="paragraph" w:styleId="ListBullet3">
    <w:name w:val="List Bullet 3"/>
    <w:aliases w:val="UL 3"/>
    <w:basedOn w:val="Normal"/>
    <w:uiPriority w:val="11"/>
    <w:locked/>
    <w:rsid w:val="00873CCE"/>
    <w:rPr>
      <w:rFonts w:eastAsia="Times New Roman"/>
      <w:szCs w:val="22"/>
      <w:lang w:eastAsia="de-AT"/>
    </w:rPr>
  </w:style>
  <w:style w:type="paragraph" w:styleId="ListBullet4">
    <w:name w:val="List Bullet 4"/>
    <w:basedOn w:val="Normal"/>
    <w:uiPriority w:val="11"/>
    <w:semiHidden/>
    <w:locked/>
    <w:rsid w:val="00873CCE"/>
    <w:rPr>
      <w:rFonts w:eastAsia="Times New Roman"/>
      <w:szCs w:val="22"/>
      <w:lang w:eastAsia="de-AT"/>
    </w:rPr>
  </w:style>
  <w:style w:type="numbering" w:customStyle="1" w:styleId="ATUnsortierteListe">
    <w:name w:val="AT Unsortierte Liste"/>
    <w:uiPriority w:val="99"/>
    <w:locked/>
    <w:rsid w:val="00873CCE"/>
    <w:pPr>
      <w:numPr>
        <w:numId w:val="4"/>
      </w:numPr>
    </w:pPr>
  </w:style>
  <w:style w:type="paragraph" w:styleId="ListBullet5">
    <w:name w:val="List Bullet 5"/>
    <w:basedOn w:val="Normal"/>
    <w:uiPriority w:val="11"/>
    <w:semiHidden/>
    <w:locked/>
    <w:rsid w:val="00873CCE"/>
    <w:rPr>
      <w:rFonts w:eastAsia="Times New Roman"/>
      <w:szCs w:val="22"/>
      <w:lang w:eastAsia="de-AT"/>
    </w:rPr>
  </w:style>
  <w:style w:type="paragraph" w:customStyle="1" w:styleId="Aufzhlungszeichen6">
    <w:name w:val="Aufzählungszeichen 6"/>
    <w:basedOn w:val="Normal"/>
    <w:uiPriority w:val="11"/>
    <w:semiHidden/>
    <w:locked/>
    <w:rsid w:val="00873CCE"/>
    <w:rPr>
      <w:rFonts w:eastAsia="Times New Roman"/>
      <w:szCs w:val="22"/>
      <w:lang w:eastAsia="de-AT"/>
    </w:rPr>
  </w:style>
  <w:style w:type="paragraph" w:customStyle="1" w:styleId="Aufzhlungszeichen7">
    <w:name w:val="Aufzählungszeichen 7"/>
    <w:basedOn w:val="Normal"/>
    <w:uiPriority w:val="11"/>
    <w:semiHidden/>
    <w:locked/>
    <w:rsid w:val="00873CCE"/>
    <w:rPr>
      <w:rFonts w:eastAsia="Times New Roman"/>
      <w:szCs w:val="22"/>
      <w:lang w:eastAsia="de-AT"/>
    </w:rPr>
  </w:style>
  <w:style w:type="paragraph" w:customStyle="1" w:styleId="Aufzhlungszeichen8">
    <w:name w:val="Aufzählungszeichen 8"/>
    <w:basedOn w:val="Normal"/>
    <w:uiPriority w:val="11"/>
    <w:semiHidden/>
    <w:locked/>
    <w:rsid w:val="00873CCE"/>
    <w:rPr>
      <w:rFonts w:eastAsia="Times New Roman"/>
      <w:szCs w:val="22"/>
      <w:lang w:eastAsia="de-AT"/>
    </w:rPr>
  </w:style>
  <w:style w:type="paragraph" w:customStyle="1" w:styleId="Aufzhlungszeichen9">
    <w:name w:val="Aufzählungszeichen 9"/>
    <w:basedOn w:val="Normal"/>
    <w:uiPriority w:val="11"/>
    <w:semiHidden/>
    <w:locked/>
    <w:rsid w:val="00873CCE"/>
    <w:rPr>
      <w:rFonts w:eastAsia="Times New Roman"/>
      <w:szCs w:val="22"/>
      <w:lang w:eastAsia="de-AT"/>
    </w:rPr>
  </w:style>
  <w:style w:type="paragraph" w:customStyle="1" w:styleId="Brief2">
    <w:name w:val="Brief Ü2"/>
    <w:basedOn w:val="Heading2"/>
    <w:next w:val="Normal"/>
    <w:uiPriority w:val="2"/>
    <w:semiHidden/>
    <w:locked/>
    <w:rsid w:val="00873CCE"/>
    <w:pPr>
      <w:spacing w:before="345" w:line="264" w:lineRule="auto"/>
    </w:pPr>
    <w:rPr>
      <w:sz w:val="28"/>
    </w:rPr>
  </w:style>
  <w:style w:type="paragraph" w:customStyle="1" w:styleId="Brief3">
    <w:name w:val="Brief Ü3"/>
    <w:basedOn w:val="Heading3"/>
    <w:next w:val="Normal"/>
    <w:uiPriority w:val="2"/>
    <w:semiHidden/>
    <w:locked/>
    <w:rsid w:val="00873CCE"/>
    <w:pPr>
      <w:spacing w:before="345"/>
    </w:pPr>
  </w:style>
  <w:style w:type="paragraph" w:customStyle="1" w:styleId="ProgrammAbsatz">
    <w:name w:val="Programm Absatz"/>
    <w:aliases w:val="P-Absatz"/>
    <w:basedOn w:val="ProgrammWannWas"/>
    <w:uiPriority w:val="24"/>
    <w:qFormat/>
    <w:locked/>
    <w:rsid w:val="00873CCE"/>
    <w:pPr>
      <w:ind w:firstLine="0"/>
    </w:pPr>
  </w:style>
  <w:style w:type="paragraph" w:customStyle="1" w:styleId="Betreff">
    <w:name w:val="Betreff"/>
    <w:aliases w:val="Betreff-Titel,Betreff-H1"/>
    <w:basedOn w:val="Normal"/>
    <w:next w:val="StdVOR"/>
    <w:link w:val="BetreffZchn"/>
    <w:uiPriority w:val="2"/>
    <w:semiHidden/>
    <w:locked/>
    <w:rsid w:val="00873CCE"/>
    <w:pPr>
      <w:shd w:val="clear" w:color="auto" w:fill="FFFFFF"/>
      <w:spacing w:line="264" w:lineRule="auto"/>
      <w:outlineLvl w:val="0"/>
    </w:pPr>
    <w:rPr>
      <w:rFonts w:asciiTheme="majorHAnsi" w:hAnsiTheme="majorHAnsi"/>
      <w:b/>
      <w:sz w:val="28"/>
    </w:rPr>
  </w:style>
  <w:style w:type="paragraph" w:customStyle="1" w:styleId="TD">
    <w:name w:val="TD"/>
    <w:basedOn w:val="Normal"/>
    <w:uiPriority w:val="4"/>
    <w:qFormat/>
    <w:locked/>
    <w:rsid w:val="00873CCE"/>
    <w:pPr>
      <w:jc w:val="right"/>
    </w:pPr>
    <w:rPr>
      <w:sz w:val="19"/>
    </w:rPr>
  </w:style>
  <w:style w:type="paragraph" w:customStyle="1" w:styleId="TDlinks">
    <w:name w:val="TD links"/>
    <w:basedOn w:val="TD"/>
    <w:uiPriority w:val="4"/>
    <w:locked/>
    <w:rsid w:val="00873CCE"/>
    <w:pPr>
      <w:jc w:val="left"/>
    </w:pPr>
  </w:style>
  <w:style w:type="table" w:styleId="LightShading">
    <w:name w:val="Light Shading"/>
    <w:basedOn w:val="TableNormal"/>
    <w:uiPriority w:val="60"/>
    <w:locked/>
    <w:rsid w:val="00873CC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locked/>
    <w:rsid w:val="00873CC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E6EFF3"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Grid-Accent6">
    <w:name w:val="Light Grid Accent 6"/>
    <w:basedOn w:val="TableNormal"/>
    <w:uiPriority w:val="62"/>
    <w:locked/>
    <w:rsid w:val="00873CCE"/>
    <w:pPr>
      <w:spacing w:after="0" w:line="240" w:lineRule="auto"/>
    </w:pPr>
    <w:tblPr>
      <w:tblStyleRowBandSize w:val="1"/>
      <w:tblStyleColBandSize w:val="1"/>
      <w:tblBorders>
        <w:top w:val="single" w:sz="8" w:space="0" w:color="BCCF00" w:themeColor="accent6"/>
        <w:left w:val="single" w:sz="8" w:space="0" w:color="BCCF00" w:themeColor="accent6"/>
        <w:bottom w:val="single" w:sz="8" w:space="0" w:color="BCCF00" w:themeColor="accent6"/>
        <w:right w:val="single" w:sz="8" w:space="0" w:color="BCCF00" w:themeColor="accent6"/>
        <w:insideH w:val="single" w:sz="8" w:space="0" w:color="BCCF00" w:themeColor="accent6"/>
        <w:insideV w:val="single" w:sz="8" w:space="0" w:color="BCCF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CCF00" w:themeColor="accent6"/>
          <w:left w:val="single" w:sz="8" w:space="0" w:color="BCCF00" w:themeColor="accent6"/>
          <w:bottom w:val="single" w:sz="18" w:space="0" w:color="BCCF00" w:themeColor="accent6"/>
          <w:right w:val="single" w:sz="8" w:space="0" w:color="BCCF00" w:themeColor="accent6"/>
          <w:insideH w:val="nil"/>
          <w:insideV w:val="single" w:sz="8" w:space="0" w:color="BCCF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CCF00" w:themeColor="accent6"/>
          <w:left w:val="single" w:sz="8" w:space="0" w:color="BCCF00" w:themeColor="accent6"/>
          <w:bottom w:val="single" w:sz="8" w:space="0" w:color="BCCF00" w:themeColor="accent6"/>
          <w:right w:val="single" w:sz="8" w:space="0" w:color="BCCF00" w:themeColor="accent6"/>
          <w:insideH w:val="nil"/>
          <w:insideV w:val="single" w:sz="8" w:space="0" w:color="BCCF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CCF00" w:themeColor="accent6"/>
          <w:left w:val="single" w:sz="8" w:space="0" w:color="BCCF00" w:themeColor="accent6"/>
          <w:bottom w:val="single" w:sz="8" w:space="0" w:color="BCCF00" w:themeColor="accent6"/>
          <w:right w:val="single" w:sz="8" w:space="0" w:color="BCCF00" w:themeColor="accent6"/>
        </w:tcBorders>
      </w:tcPr>
    </w:tblStylePr>
    <w:tblStylePr w:type="band1Vert">
      <w:tblPr/>
      <w:tcPr>
        <w:tcBorders>
          <w:top w:val="single" w:sz="8" w:space="0" w:color="BCCF00" w:themeColor="accent6"/>
          <w:left w:val="single" w:sz="8" w:space="0" w:color="BCCF00" w:themeColor="accent6"/>
          <w:bottom w:val="single" w:sz="8" w:space="0" w:color="BCCF00" w:themeColor="accent6"/>
          <w:right w:val="single" w:sz="8" w:space="0" w:color="BCCF00" w:themeColor="accent6"/>
        </w:tcBorders>
        <w:shd w:val="clear" w:color="auto" w:fill="F7FFB4" w:themeFill="accent6" w:themeFillTint="3F"/>
      </w:tcPr>
    </w:tblStylePr>
    <w:tblStylePr w:type="band1Horz">
      <w:tblPr/>
      <w:tcPr>
        <w:tcBorders>
          <w:top w:val="single" w:sz="8" w:space="0" w:color="BCCF00" w:themeColor="accent6"/>
          <w:left w:val="single" w:sz="8" w:space="0" w:color="BCCF00" w:themeColor="accent6"/>
          <w:bottom w:val="single" w:sz="8" w:space="0" w:color="BCCF00" w:themeColor="accent6"/>
          <w:right w:val="single" w:sz="8" w:space="0" w:color="BCCF00" w:themeColor="accent6"/>
          <w:insideV w:val="single" w:sz="8" w:space="0" w:color="BCCF00" w:themeColor="accent6"/>
        </w:tcBorders>
        <w:shd w:val="clear" w:color="auto" w:fill="F7FFB4" w:themeFill="accent6" w:themeFillTint="3F"/>
      </w:tcPr>
    </w:tblStylePr>
    <w:tblStylePr w:type="band2Horz">
      <w:tblPr/>
      <w:tcPr>
        <w:tcBorders>
          <w:top w:val="single" w:sz="8" w:space="0" w:color="BCCF00" w:themeColor="accent6"/>
          <w:left w:val="single" w:sz="8" w:space="0" w:color="BCCF00" w:themeColor="accent6"/>
          <w:bottom w:val="single" w:sz="8" w:space="0" w:color="BCCF00" w:themeColor="accent6"/>
          <w:right w:val="single" w:sz="8" w:space="0" w:color="BCCF00" w:themeColor="accent6"/>
          <w:insideV w:val="single" w:sz="8" w:space="0" w:color="BCCF00" w:themeColor="accent6"/>
        </w:tcBorders>
      </w:tcPr>
    </w:tblStylePr>
  </w:style>
  <w:style w:type="table" w:styleId="MediumShading1-Accent4">
    <w:name w:val="Medium Shading 1 Accent 4"/>
    <w:basedOn w:val="TableNormal"/>
    <w:uiPriority w:val="63"/>
    <w:locked/>
    <w:rsid w:val="00873CCE"/>
    <w:pPr>
      <w:spacing w:after="0" w:line="240" w:lineRule="auto"/>
    </w:pPr>
    <w:tblPr>
      <w:tblStyleRowBandSize w:val="1"/>
      <w:tblStyleColBandSize w:val="1"/>
      <w:tblBorders>
        <w:top w:val="single" w:sz="8" w:space="0" w:color="FFB638" w:themeColor="accent4" w:themeTint="BF"/>
        <w:left w:val="single" w:sz="8" w:space="0" w:color="FFB638" w:themeColor="accent4" w:themeTint="BF"/>
        <w:bottom w:val="single" w:sz="8" w:space="0" w:color="FFB638" w:themeColor="accent4" w:themeTint="BF"/>
        <w:right w:val="single" w:sz="8" w:space="0" w:color="FFB638" w:themeColor="accent4" w:themeTint="BF"/>
        <w:insideH w:val="single" w:sz="8" w:space="0" w:color="FFB638" w:themeColor="accent4" w:themeTint="BF"/>
      </w:tblBorders>
    </w:tblPr>
    <w:tblStylePr w:type="firstRow">
      <w:pPr>
        <w:spacing w:before="0" w:after="0" w:line="240" w:lineRule="auto"/>
      </w:pPr>
      <w:rPr>
        <w:b/>
        <w:bCs/>
        <w:color w:val="E6EFF3" w:themeColor="background1"/>
      </w:rPr>
      <w:tblPr/>
      <w:tcPr>
        <w:tcBorders>
          <w:top w:val="single" w:sz="8" w:space="0" w:color="FFB638" w:themeColor="accent4" w:themeTint="BF"/>
          <w:left w:val="single" w:sz="8" w:space="0" w:color="FFB638" w:themeColor="accent4" w:themeTint="BF"/>
          <w:bottom w:val="single" w:sz="8" w:space="0" w:color="FFB638" w:themeColor="accent4" w:themeTint="BF"/>
          <w:right w:val="single" w:sz="8" w:space="0" w:color="FFB638" w:themeColor="accent4" w:themeTint="BF"/>
          <w:insideH w:val="nil"/>
          <w:insideV w:val="nil"/>
        </w:tcBorders>
        <w:shd w:val="clear" w:color="auto" w:fill="F59C00" w:themeFill="accent4"/>
      </w:tcPr>
    </w:tblStylePr>
    <w:tblStylePr w:type="lastRow">
      <w:pPr>
        <w:spacing w:before="0" w:after="0" w:line="240" w:lineRule="auto"/>
      </w:pPr>
      <w:rPr>
        <w:b/>
        <w:bCs/>
      </w:rPr>
      <w:tblPr/>
      <w:tcPr>
        <w:tcBorders>
          <w:top w:val="double" w:sz="6" w:space="0" w:color="FFB638" w:themeColor="accent4" w:themeTint="BF"/>
          <w:left w:val="single" w:sz="8" w:space="0" w:color="FFB638" w:themeColor="accent4" w:themeTint="BF"/>
          <w:bottom w:val="single" w:sz="8" w:space="0" w:color="FFB638" w:themeColor="accent4" w:themeTint="BF"/>
          <w:right w:val="single" w:sz="8" w:space="0" w:color="FFB638"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7BD" w:themeFill="accent4" w:themeFillTint="3F"/>
      </w:tcPr>
    </w:tblStylePr>
    <w:tblStylePr w:type="band1Horz">
      <w:tblPr/>
      <w:tcPr>
        <w:tcBorders>
          <w:insideH w:val="nil"/>
          <w:insideV w:val="nil"/>
        </w:tcBorders>
        <w:shd w:val="clear" w:color="auto" w:fill="FFE7B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locked/>
    <w:rsid w:val="00873CCE"/>
    <w:pPr>
      <w:spacing w:after="0" w:line="240" w:lineRule="auto"/>
    </w:pPr>
    <w:tblPr>
      <w:tblStyleRowBandSize w:val="1"/>
      <w:tblStyleColBandSize w:val="1"/>
      <w:tblBorders>
        <w:top w:val="single" w:sz="8" w:space="0" w:color="69C2D0" w:themeColor="accent5" w:themeTint="BF"/>
        <w:left w:val="single" w:sz="8" w:space="0" w:color="69C2D0" w:themeColor="accent5" w:themeTint="BF"/>
        <w:bottom w:val="single" w:sz="8" w:space="0" w:color="69C2D0" w:themeColor="accent5" w:themeTint="BF"/>
        <w:right w:val="single" w:sz="8" w:space="0" w:color="69C2D0" w:themeColor="accent5" w:themeTint="BF"/>
        <w:insideH w:val="single" w:sz="8" w:space="0" w:color="69C2D0" w:themeColor="accent5" w:themeTint="BF"/>
      </w:tblBorders>
    </w:tblPr>
    <w:tblStylePr w:type="firstRow">
      <w:pPr>
        <w:spacing w:before="0" w:after="0" w:line="240" w:lineRule="auto"/>
      </w:pPr>
      <w:rPr>
        <w:b/>
        <w:bCs/>
        <w:color w:val="E6EFF3" w:themeColor="background1"/>
      </w:rPr>
      <w:tblPr/>
      <w:tcPr>
        <w:tcBorders>
          <w:top w:val="single" w:sz="8" w:space="0" w:color="69C2D0" w:themeColor="accent5" w:themeTint="BF"/>
          <w:left w:val="single" w:sz="8" w:space="0" w:color="69C2D0" w:themeColor="accent5" w:themeTint="BF"/>
          <w:bottom w:val="single" w:sz="8" w:space="0" w:color="69C2D0" w:themeColor="accent5" w:themeTint="BF"/>
          <w:right w:val="single" w:sz="8" w:space="0" w:color="69C2D0" w:themeColor="accent5" w:themeTint="BF"/>
          <w:insideH w:val="nil"/>
          <w:insideV w:val="nil"/>
        </w:tcBorders>
        <w:shd w:val="clear" w:color="auto" w:fill="3BACBE" w:themeFill="accent5"/>
      </w:tcPr>
    </w:tblStylePr>
    <w:tblStylePr w:type="lastRow">
      <w:pPr>
        <w:spacing w:before="0" w:after="0" w:line="240" w:lineRule="auto"/>
      </w:pPr>
      <w:rPr>
        <w:b/>
        <w:bCs/>
      </w:rPr>
      <w:tblPr/>
      <w:tcPr>
        <w:tcBorders>
          <w:top w:val="double" w:sz="6" w:space="0" w:color="69C2D0" w:themeColor="accent5" w:themeTint="BF"/>
          <w:left w:val="single" w:sz="8" w:space="0" w:color="69C2D0" w:themeColor="accent5" w:themeTint="BF"/>
          <w:bottom w:val="single" w:sz="8" w:space="0" w:color="69C2D0" w:themeColor="accent5" w:themeTint="BF"/>
          <w:right w:val="single" w:sz="8" w:space="0" w:color="69C2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DEAEF" w:themeFill="accent5" w:themeFillTint="3F"/>
      </w:tcPr>
    </w:tblStylePr>
    <w:tblStylePr w:type="band1Horz">
      <w:tblPr/>
      <w:tcPr>
        <w:tcBorders>
          <w:insideH w:val="nil"/>
          <w:insideV w:val="nil"/>
        </w:tcBorders>
        <w:shd w:val="clear" w:color="auto" w:fill="CDEAEF" w:themeFill="accent5" w:themeFillTint="3F"/>
      </w:tcPr>
    </w:tblStylePr>
    <w:tblStylePr w:type="band2Horz">
      <w:tblPr/>
      <w:tcPr>
        <w:tcBorders>
          <w:insideH w:val="nil"/>
          <w:insideV w:val="nil"/>
        </w:tcBorders>
      </w:tcPr>
    </w:tblStylePr>
  </w:style>
  <w:style w:type="paragraph" w:customStyle="1" w:styleId="TH-Zeile">
    <w:name w:val="TH-Zeile"/>
    <w:basedOn w:val="TDlinks"/>
    <w:uiPriority w:val="4"/>
    <w:qFormat/>
    <w:locked/>
    <w:rsid w:val="00873CCE"/>
    <w:rPr>
      <w:b/>
    </w:rPr>
  </w:style>
  <w:style w:type="paragraph" w:customStyle="1" w:styleId="GliederungListenfortsetzung11">
    <w:name w:val="Gliederung Listenfortsetzung 1.1."/>
    <w:aliases w:val="GL F 1.1."/>
    <w:basedOn w:val="ListContinue2"/>
    <w:uiPriority w:val="18"/>
    <w:qFormat/>
    <w:locked/>
    <w:rsid w:val="00873CCE"/>
    <w:pPr>
      <w:spacing w:after="345"/>
      <w:ind w:left="936"/>
      <w:contextualSpacing w:val="0"/>
    </w:pPr>
    <w:rPr>
      <w:rFonts w:eastAsia="Times New Roman"/>
      <w:szCs w:val="22"/>
      <w:lang w:eastAsia="de-AT"/>
    </w:rPr>
  </w:style>
  <w:style w:type="numbering" w:customStyle="1" w:styleId="eu2018atGliederungsliste2">
    <w:name w:val="eu2018at Gliederungsliste 2"/>
    <w:uiPriority w:val="99"/>
    <w:locked/>
    <w:rsid w:val="00873CCE"/>
    <w:pPr>
      <w:numPr>
        <w:numId w:val="8"/>
      </w:numPr>
    </w:pPr>
  </w:style>
  <w:style w:type="paragraph" w:customStyle="1" w:styleId="Gliederung1">
    <w:name w:val="Gliederung 1)"/>
    <w:aliases w:val="GL 1)"/>
    <w:basedOn w:val="ListParagraph"/>
    <w:uiPriority w:val="16"/>
    <w:semiHidden/>
    <w:locked/>
    <w:rsid w:val="00873CCE"/>
    <w:pPr>
      <w:numPr>
        <w:numId w:val="0"/>
      </w:numPr>
      <w:contextualSpacing w:val="0"/>
    </w:pPr>
    <w:rPr>
      <w:rFonts w:eastAsia="Times New Roman"/>
      <w:szCs w:val="22"/>
      <w:lang w:eastAsia="de-AT"/>
    </w:rPr>
  </w:style>
  <w:style w:type="paragraph" w:customStyle="1" w:styleId="Gliederunga">
    <w:name w:val="Gliederung a)"/>
    <w:aliases w:val="GL 1)a)"/>
    <w:basedOn w:val="ListParagraph"/>
    <w:uiPriority w:val="16"/>
    <w:semiHidden/>
    <w:locked/>
    <w:rsid w:val="00873CCE"/>
    <w:pPr>
      <w:numPr>
        <w:numId w:val="0"/>
      </w:numPr>
      <w:contextualSpacing w:val="0"/>
    </w:pPr>
    <w:rPr>
      <w:rFonts w:eastAsia="Times New Roman"/>
      <w:szCs w:val="22"/>
      <w:lang w:eastAsia="de-AT"/>
    </w:rPr>
  </w:style>
  <w:style w:type="numbering" w:customStyle="1" w:styleId="ATGliederungsliste">
    <w:name w:val="AT Gliederungsliste"/>
    <w:uiPriority w:val="99"/>
    <w:locked/>
    <w:rsid w:val="00873CCE"/>
    <w:pPr>
      <w:numPr>
        <w:numId w:val="1"/>
      </w:numPr>
    </w:pPr>
  </w:style>
  <w:style w:type="paragraph" w:customStyle="1" w:styleId="Gliederungi">
    <w:name w:val="Gliederung i)"/>
    <w:aliases w:val="GL1)a) i)"/>
    <w:basedOn w:val="ListParagraph"/>
    <w:uiPriority w:val="16"/>
    <w:semiHidden/>
    <w:locked/>
    <w:rsid w:val="00873CCE"/>
    <w:pPr>
      <w:numPr>
        <w:numId w:val="0"/>
      </w:numPr>
      <w:contextualSpacing w:val="0"/>
    </w:pPr>
    <w:rPr>
      <w:rFonts w:eastAsia="Times New Roman"/>
      <w:szCs w:val="22"/>
      <w:lang w:eastAsia="de-AT"/>
    </w:rPr>
  </w:style>
  <w:style w:type="paragraph" w:customStyle="1" w:styleId="Gliederung10">
    <w:name w:val="Gliederung 1."/>
    <w:aliases w:val="GL 1."/>
    <w:basedOn w:val="Normal"/>
    <w:uiPriority w:val="18"/>
    <w:qFormat/>
    <w:locked/>
    <w:rsid w:val="00873CCE"/>
    <w:rPr>
      <w:rFonts w:eastAsia="Times New Roman"/>
      <w:szCs w:val="22"/>
      <w:lang w:eastAsia="de-AT"/>
    </w:rPr>
  </w:style>
  <w:style w:type="paragraph" w:customStyle="1" w:styleId="Gliederung11">
    <w:name w:val="Gliederung 1.1"/>
    <w:aliases w:val="GL 1.1."/>
    <w:basedOn w:val="Normal"/>
    <w:uiPriority w:val="18"/>
    <w:qFormat/>
    <w:locked/>
    <w:rsid w:val="00873CCE"/>
    <w:rPr>
      <w:rFonts w:eastAsia="Times New Roman"/>
      <w:szCs w:val="22"/>
      <w:lang w:eastAsia="de-AT"/>
    </w:rPr>
  </w:style>
  <w:style w:type="paragraph" w:customStyle="1" w:styleId="Gliederung111">
    <w:name w:val="Gliederung 1.1.1."/>
    <w:aliases w:val="GL 1.1.1."/>
    <w:basedOn w:val="Normal"/>
    <w:uiPriority w:val="18"/>
    <w:locked/>
    <w:rsid w:val="00873CCE"/>
    <w:rPr>
      <w:rFonts w:eastAsia="Times New Roman"/>
      <w:szCs w:val="22"/>
      <w:lang w:eastAsia="de-AT"/>
    </w:rPr>
  </w:style>
  <w:style w:type="paragraph" w:customStyle="1" w:styleId="GliederungListenfortsetzung111">
    <w:name w:val="Gliederung Listenfortsetzung 1.1.1"/>
    <w:aliases w:val="GL F 1.1.1."/>
    <w:basedOn w:val="Gliederung111"/>
    <w:uiPriority w:val="18"/>
    <w:locked/>
    <w:rsid w:val="00873CCE"/>
    <w:pPr>
      <w:ind w:left="1644"/>
    </w:pPr>
  </w:style>
  <w:style w:type="paragraph" w:customStyle="1" w:styleId="GliederungListenfortsetzung1">
    <w:name w:val="Gliederung Listenfortsetzung 1"/>
    <w:aliases w:val="GL F 1."/>
    <w:basedOn w:val="ListContinue"/>
    <w:uiPriority w:val="18"/>
    <w:qFormat/>
    <w:locked/>
    <w:rsid w:val="00873CCE"/>
    <w:pPr>
      <w:spacing w:after="345"/>
      <w:contextualSpacing w:val="0"/>
    </w:pPr>
    <w:rPr>
      <w:rFonts w:eastAsia="Times New Roman"/>
      <w:szCs w:val="22"/>
      <w:lang w:eastAsia="de-AT"/>
    </w:rPr>
  </w:style>
  <w:style w:type="paragraph" w:customStyle="1" w:styleId="GliederungListenfortsetzung10">
    <w:name w:val="Gliederung Listenfortsetzung 1)"/>
    <w:aliases w:val="GL F 1)"/>
    <w:basedOn w:val="ListContinue"/>
    <w:uiPriority w:val="17"/>
    <w:semiHidden/>
    <w:locked/>
    <w:rsid w:val="00873CCE"/>
    <w:pPr>
      <w:spacing w:after="220"/>
      <w:contextualSpacing w:val="0"/>
    </w:pPr>
    <w:rPr>
      <w:rFonts w:eastAsia="Times New Roman"/>
      <w:szCs w:val="22"/>
      <w:lang w:eastAsia="de-AT"/>
    </w:rPr>
  </w:style>
  <w:style w:type="paragraph" w:customStyle="1" w:styleId="GliederungListenfortsetzung1a">
    <w:name w:val="Gliederung Listenfortsetzung 1)a)"/>
    <w:aliases w:val="GL F 1)a)"/>
    <w:basedOn w:val="ListContinue2"/>
    <w:uiPriority w:val="17"/>
    <w:semiHidden/>
    <w:locked/>
    <w:rsid w:val="00873CCE"/>
    <w:pPr>
      <w:spacing w:after="220"/>
      <w:contextualSpacing w:val="0"/>
    </w:pPr>
    <w:rPr>
      <w:rFonts w:eastAsia="Times New Roman"/>
      <w:szCs w:val="22"/>
      <w:lang w:eastAsia="de-AT"/>
    </w:rPr>
  </w:style>
  <w:style w:type="paragraph" w:customStyle="1" w:styleId="GliederungListenfortsetzung1ai">
    <w:name w:val="Gliederung Listenfortsetzung 1)a)i)"/>
    <w:aliases w:val="GL F 1)a)i)"/>
    <w:basedOn w:val="ListContinue3"/>
    <w:uiPriority w:val="17"/>
    <w:semiHidden/>
    <w:locked/>
    <w:rsid w:val="00873CCE"/>
    <w:pPr>
      <w:spacing w:after="220"/>
      <w:contextualSpacing w:val="0"/>
    </w:pPr>
    <w:rPr>
      <w:rFonts w:eastAsia="Times New Roman"/>
      <w:szCs w:val="22"/>
      <w:lang w:eastAsia="de-AT"/>
    </w:rPr>
  </w:style>
  <w:style w:type="paragraph" w:styleId="ListContinue2">
    <w:name w:val="List Continue 2"/>
    <w:aliases w:val="L Ftsz 2"/>
    <w:basedOn w:val="Normal"/>
    <w:uiPriority w:val="15"/>
    <w:qFormat/>
    <w:locked/>
    <w:rsid w:val="00873CCE"/>
    <w:pPr>
      <w:ind w:left="794"/>
      <w:contextualSpacing/>
    </w:pPr>
  </w:style>
  <w:style w:type="paragraph" w:styleId="ListContinue">
    <w:name w:val="List Continue"/>
    <w:aliases w:val="L Ftsz 1"/>
    <w:basedOn w:val="Normal"/>
    <w:uiPriority w:val="14"/>
    <w:qFormat/>
    <w:locked/>
    <w:rsid w:val="00873CCE"/>
    <w:pPr>
      <w:ind w:left="397"/>
      <w:contextualSpacing/>
    </w:pPr>
  </w:style>
  <w:style w:type="paragraph" w:styleId="ListContinue3">
    <w:name w:val="List Continue 3"/>
    <w:aliases w:val="L Ftsz 3"/>
    <w:basedOn w:val="Normal"/>
    <w:uiPriority w:val="15"/>
    <w:locked/>
    <w:rsid w:val="00873CCE"/>
    <w:pPr>
      <w:ind w:left="1191"/>
      <w:contextualSpacing/>
    </w:pPr>
  </w:style>
  <w:style w:type="paragraph" w:customStyle="1" w:styleId="Absende-URL">
    <w:name w:val="Absende-URL"/>
    <w:basedOn w:val="NoSpacing"/>
    <w:next w:val="Absendedaten"/>
    <w:uiPriority w:val="54"/>
    <w:semiHidden/>
    <w:locked/>
    <w:rsid w:val="00873CCE"/>
    <w:pPr>
      <w:spacing w:before="85" w:after="794" w:line="220" w:lineRule="exact"/>
    </w:pPr>
    <w:rPr>
      <w:noProof/>
      <w:color w:val="E6320F"/>
      <w:sz w:val="24"/>
      <w:szCs w:val="24"/>
      <w:lang w:eastAsia="de-AT"/>
    </w:rPr>
  </w:style>
  <w:style w:type="paragraph" w:customStyle="1" w:styleId="GZ">
    <w:name w:val="GZ"/>
    <w:basedOn w:val="Normal"/>
    <w:next w:val="Normal"/>
    <w:uiPriority w:val="47"/>
    <w:semiHidden/>
    <w:qFormat/>
    <w:locked/>
    <w:rsid w:val="00873CCE"/>
    <w:pPr>
      <w:spacing w:before="220"/>
    </w:pPr>
    <w:rPr>
      <w:sz w:val="17"/>
    </w:rPr>
  </w:style>
  <w:style w:type="paragraph" w:customStyle="1" w:styleId="StdVOR">
    <w:name w:val="Std+VOR"/>
    <w:basedOn w:val="Normal"/>
    <w:qFormat/>
    <w:locked/>
    <w:rsid w:val="00873CCE"/>
    <w:pPr>
      <w:spacing w:before="345"/>
    </w:pPr>
  </w:style>
  <w:style w:type="paragraph" w:styleId="ListNumber">
    <w:name w:val="List Number"/>
    <w:aliases w:val="OL 1"/>
    <w:basedOn w:val="Normal"/>
    <w:uiPriority w:val="12"/>
    <w:qFormat/>
    <w:locked/>
    <w:rsid w:val="00873CCE"/>
    <w:pPr>
      <w:contextualSpacing/>
    </w:pPr>
  </w:style>
  <w:style w:type="paragraph" w:styleId="EndnoteText">
    <w:name w:val="endnote text"/>
    <w:basedOn w:val="FootnoteText"/>
    <w:link w:val="EndnoteTextChar"/>
    <w:uiPriority w:val="99"/>
    <w:semiHidden/>
    <w:unhideWhenUsed/>
    <w:locked/>
    <w:rsid w:val="00873CCE"/>
    <w:pPr>
      <w:spacing w:line="240" w:lineRule="auto"/>
    </w:pPr>
  </w:style>
  <w:style w:type="character" w:customStyle="1" w:styleId="EndnoteTextChar">
    <w:name w:val="Endnote Text Char"/>
    <w:basedOn w:val="DefaultParagraphFont"/>
    <w:link w:val="EndnoteText"/>
    <w:uiPriority w:val="99"/>
    <w:semiHidden/>
    <w:rsid w:val="00873CCE"/>
    <w:rPr>
      <w:sz w:val="19"/>
      <w14:numForm w14:val="lining"/>
    </w:rPr>
  </w:style>
  <w:style w:type="character" w:styleId="EndnoteReference">
    <w:name w:val="endnote reference"/>
    <w:basedOn w:val="DefaultParagraphFont"/>
    <w:rsid w:val="00643B44"/>
    <w:rPr>
      <w:sz w:val="20"/>
      <w:vertAlign w:val="baseline"/>
    </w:rPr>
  </w:style>
  <w:style w:type="paragraph" w:styleId="FootnoteText">
    <w:name w:val="footnote text"/>
    <w:basedOn w:val="Normal"/>
    <w:link w:val="FootnoteTextChar"/>
    <w:uiPriority w:val="57"/>
    <w:unhideWhenUsed/>
    <w:locked/>
    <w:rsid w:val="00873CCE"/>
    <w:pPr>
      <w:spacing w:line="270" w:lineRule="exact"/>
    </w:pPr>
    <w:rPr>
      <w:sz w:val="19"/>
    </w:rPr>
  </w:style>
  <w:style w:type="character" w:customStyle="1" w:styleId="FootnoteTextChar">
    <w:name w:val="Footnote Text Char"/>
    <w:basedOn w:val="DefaultParagraphFont"/>
    <w:link w:val="FootnoteText"/>
    <w:uiPriority w:val="57"/>
    <w:rsid w:val="00873CCE"/>
    <w:rPr>
      <w:sz w:val="19"/>
      <w14:numForm w14:val="lining"/>
    </w:rPr>
  </w:style>
  <w:style w:type="character" w:styleId="FootnoteReference">
    <w:name w:val="footnote reference"/>
    <w:basedOn w:val="DefaultParagraphFont"/>
    <w:rsid w:val="00643B44"/>
    <w:rPr>
      <w:sz w:val="20"/>
      <w:vertAlign w:val="baseline"/>
    </w:rPr>
  </w:style>
  <w:style w:type="character" w:customStyle="1" w:styleId="CommentTextChar">
    <w:name w:val="Comment Text Char"/>
    <w:basedOn w:val="DefaultParagraphFont"/>
    <w:link w:val="CommentText"/>
    <w:uiPriority w:val="99"/>
    <w:semiHidden/>
    <w:rsid w:val="00873CCE"/>
    <w:rPr>
      <w:sz w:val="20"/>
      <w14:numForm w14:val="lining"/>
    </w:rPr>
  </w:style>
  <w:style w:type="paragraph" w:styleId="ListNumber2">
    <w:name w:val="List Number 2"/>
    <w:aliases w:val="OL 2"/>
    <w:basedOn w:val="Normal"/>
    <w:uiPriority w:val="13"/>
    <w:qFormat/>
    <w:locked/>
    <w:rsid w:val="00873CCE"/>
  </w:style>
  <w:style w:type="paragraph" w:styleId="ListNumber3">
    <w:name w:val="List Number 3"/>
    <w:aliases w:val="OL 3"/>
    <w:basedOn w:val="Normal"/>
    <w:uiPriority w:val="13"/>
    <w:locked/>
    <w:rsid w:val="00873CCE"/>
  </w:style>
  <w:style w:type="paragraph" w:styleId="ListNumber4">
    <w:name w:val="List Number 4"/>
    <w:basedOn w:val="Normal"/>
    <w:uiPriority w:val="13"/>
    <w:semiHidden/>
    <w:locked/>
    <w:rsid w:val="00873CCE"/>
    <w:pPr>
      <w:spacing w:line="276" w:lineRule="auto"/>
    </w:pPr>
  </w:style>
  <w:style w:type="paragraph" w:styleId="ListNumber5">
    <w:name w:val="List Number 5"/>
    <w:basedOn w:val="Normal"/>
    <w:uiPriority w:val="99"/>
    <w:locked/>
    <w:rsid w:val="00873CCE"/>
  </w:style>
  <w:style w:type="paragraph" w:customStyle="1" w:styleId="Listennummer6">
    <w:name w:val="Listennummer 6"/>
    <w:basedOn w:val="Normal"/>
    <w:uiPriority w:val="13"/>
    <w:semiHidden/>
    <w:locked/>
    <w:rsid w:val="00873CCE"/>
    <w:rPr>
      <w:rFonts w:eastAsia="Times New Roman"/>
      <w:szCs w:val="22"/>
      <w:lang w:eastAsia="de-AT"/>
    </w:rPr>
  </w:style>
  <w:style w:type="paragraph" w:customStyle="1" w:styleId="Listennummer7">
    <w:name w:val="Listennummer 7"/>
    <w:basedOn w:val="Normal"/>
    <w:uiPriority w:val="13"/>
    <w:semiHidden/>
    <w:locked/>
    <w:rsid w:val="00873CCE"/>
    <w:rPr>
      <w:rFonts w:eastAsia="Times New Roman"/>
      <w:szCs w:val="22"/>
      <w:lang w:eastAsia="de-AT"/>
    </w:rPr>
  </w:style>
  <w:style w:type="paragraph" w:customStyle="1" w:styleId="Listennummer8">
    <w:name w:val="Listennummer 8"/>
    <w:basedOn w:val="Normal"/>
    <w:uiPriority w:val="13"/>
    <w:semiHidden/>
    <w:locked/>
    <w:rsid w:val="00873CCE"/>
    <w:rPr>
      <w:rFonts w:eastAsia="Times New Roman"/>
      <w:szCs w:val="22"/>
      <w:lang w:eastAsia="de-AT"/>
    </w:rPr>
  </w:style>
  <w:style w:type="paragraph" w:customStyle="1" w:styleId="Listennummer9">
    <w:name w:val="Listennummer 9"/>
    <w:basedOn w:val="Normal"/>
    <w:uiPriority w:val="13"/>
    <w:semiHidden/>
    <w:locked/>
    <w:rsid w:val="00873CCE"/>
    <w:rPr>
      <w:rFonts w:eastAsia="Times New Roman"/>
      <w:szCs w:val="22"/>
      <w:lang w:eastAsia="de-AT"/>
    </w:rPr>
  </w:style>
  <w:style w:type="table" w:customStyle="1" w:styleId="Republik-AT">
    <w:name w:val="Republik-AT"/>
    <w:basedOn w:val="TableGrid"/>
    <w:uiPriority w:val="99"/>
    <w:locked/>
    <w:rsid w:val="00873CCE"/>
    <w:pPr>
      <w:spacing w:line="240" w:lineRule="auto"/>
    </w:pPr>
    <w:tblPr>
      <w:tblStyleRowBandSize w:val="1"/>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8" w:type="dxa"/>
        <w:bottom w:w="108" w:type="dxa"/>
      </w:tblCellMar>
    </w:tblPr>
    <w:tblStylePr w:type="firstRow">
      <w:tblPr/>
      <w:tcPr>
        <w:tcBorders>
          <w:top w:val="nil"/>
          <w:left w:val="nil"/>
          <w:bottom w:val="single" w:sz="12" w:space="0" w:color="auto"/>
          <w:right w:val="nil"/>
          <w:insideH w:val="nil"/>
          <w:insideV w:val="nil"/>
          <w:tl2br w:val="nil"/>
          <w:tr2bl w:val="nil"/>
        </w:tcBorders>
        <w:shd w:val="clear" w:color="auto" w:fill="E6EFF3" w:themeFill="background1"/>
      </w:tcPr>
    </w:tblStylePr>
    <w:tblStylePr w:type="firstCol">
      <w:tblPr/>
      <w:tcPr>
        <w:shd w:val="clear" w:color="auto" w:fill="E6EFF3" w:themeFill="background1"/>
      </w:tcPr>
    </w:tblStylePr>
    <w:tblStylePr w:type="band1Horz">
      <w:tblPr/>
      <w:tcPr>
        <w:tcBorders>
          <w:top w:val="nil"/>
          <w:left w:val="nil"/>
          <w:bottom w:val="single" w:sz="2" w:space="0" w:color="auto"/>
          <w:right w:val="nil"/>
          <w:insideH w:val="nil"/>
          <w:insideV w:val="nil"/>
          <w:tl2br w:val="nil"/>
          <w:tr2bl w:val="nil"/>
        </w:tcBorders>
      </w:tcPr>
    </w:tblStylePr>
    <w:tblStylePr w:type="band2Horz">
      <w:tblPr/>
      <w:tcPr>
        <w:tcBorders>
          <w:top w:val="nil"/>
          <w:left w:val="nil"/>
          <w:bottom w:val="single" w:sz="2" w:space="0" w:color="auto"/>
          <w:right w:val="nil"/>
          <w:insideH w:val="nil"/>
          <w:insideV w:val="nil"/>
          <w:tl2br w:val="nil"/>
          <w:tr2bl w:val="nil"/>
        </w:tcBorders>
      </w:tcPr>
    </w:tblStylePr>
  </w:style>
  <w:style w:type="numbering" w:customStyle="1" w:styleId="ATNummerierteListe">
    <w:name w:val="AT NummerierteListe"/>
    <w:basedOn w:val="NoList"/>
    <w:uiPriority w:val="99"/>
    <w:locked/>
    <w:rsid w:val="00873CCE"/>
    <w:pPr>
      <w:numPr>
        <w:numId w:val="2"/>
      </w:numPr>
    </w:pPr>
  </w:style>
  <w:style w:type="paragraph" w:styleId="TOC2">
    <w:name w:val="toc 2"/>
    <w:basedOn w:val="Normal"/>
    <w:next w:val="Normal"/>
    <w:autoRedefine/>
    <w:uiPriority w:val="39"/>
    <w:unhideWhenUsed/>
    <w:locked/>
    <w:rsid w:val="00873CCE"/>
    <w:pPr>
      <w:tabs>
        <w:tab w:val="left" w:pos="397"/>
        <w:tab w:val="right" w:leader="dot" w:pos="8845"/>
      </w:tabs>
      <w:spacing w:before="156"/>
      <w:ind w:right="335"/>
    </w:pPr>
    <w:rPr>
      <w:noProof/>
    </w:rPr>
  </w:style>
  <w:style w:type="paragraph" w:styleId="TOC3">
    <w:name w:val="toc 3"/>
    <w:basedOn w:val="Normal"/>
    <w:next w:val="Normal"/>
    <w:autoRedefine/>
    <w:uiPriority w:val="39"/>
    <w:unhideWhenUsed/>
    <w:locked/>
    <w:rsid w:val="00873CCE"/>
    <w:pPr>
      <w:tabs>
        <w:tab w:val="left" w:pos="851"/>
        <w:tab w:val="right" w:leader="dot" w:pos="8845"/>
      </w:tabs>
      <w:spacing w:before="100"/>
      <w:ind w:left="312" w:right="335"/>
    </w:pPr>
    <w:rPr>
      <w:noProof/>
    </w:rPr>
  </w:style>
  <w:style w:type="character" w:customStyle="1" w:styleId="small">
    <w:name w:val="small"/>
    <w:basedOn w:val="DefaultParagraphFont"/>
    <w:uiPriority w:val="99"/>
    <w:qFormat/>
    <w:locked/>
    <w:rsid w:val="00873CCE"/>
    <w:rPr>
      <w:sz w:val="17"/>
      <w:szCs w:val="16"/>
    </w:rPr>
  </w:style>
  <w:style w:type="paragraph" w:customStyle="1" w:styleId="1nummeriert">
    <w:name w:val="Ü1 nummeriert"/>
    <w:basedOn w:val="Heading1"/>
    <w:next w:val="Normal"/>
    <w:uiPriority w:val="2"/>
    <w:locked/>
    <w:rsid w:val="00873CCE"/>
    <w:pPr>
      <w:keepLines/>
    </w:pPr>
    <w:rPr>
      <w:rFonts w:eastAsiaTheme="majorEastAsia" w:cstheme="majorBidi"/>
      <w:bCs w:val="0"/>
      <w:szCs w:val="32"/>
    </w:rPr>
  </w:style>
  <w:style w:type="paragraph" w:customStyle="1" w:styleId="2nummeriert">
    <w:name w:val="Ü2 nummeriert"/>
    <w:basedOn w:val="Heading2"/>
    <w:next w:val="Normal"/>
    <w:uiPriority w:val="2"/>
    <w:qFormat/>
    <w:locked/>
    <w:rsid w:val="00873CCE"/>
    <w:pPr>
      <w:keepLines/>
    </w:pPr>
    <w:rPr>
      <w:rFonts w:eastAsiaTheme="majorEastAsia" w:cstheme="majorBidi"/>
      <w:bCs w:val="0"/>
      <w:szCs w:val="26"/>
    </w:rPr>
  </w:style>
  <w:style w:type="paragraph" w:customStyle="1" w:styleId="3nummeriert">
    <w:name w:val="Ü3 nummeriert"/>
    <w:basedOn w:val="Heading3"/>
    <w:next w:val="Normal"/>
    <w:uiPriority w:val="2"/>
    <w:qFormat/>
    <w:locked/>
    <w:rsid w:val="00873CCE"/>
    <w:pPr>
      <w:keepLines/>
    </w:pPr>
    <w:rPr>
      <w:rFonts w:eastAsiaTheme="majorEastAsia" w:cstheme="majorBidi"/>
      <w:bCs w:val="0"/>
      <w:szCs w:val="24"/>
    </w:rPr>
  </w:style>
  <w:style w:type="paragraph" w:customStyle="1" w:styleId="4nummeriert">
    <w:name w:val="Ü4 nummeriert"/>
    <w:basedOn w:val="Heading4"/>
    <w:next w:val="Normal"/>
    <w:uiPriority w:val="2"/>
    <w:locked/>
    <w:rsid w:val="00873CCE"/>
    <w:pPr>
      <w:keepLines/>
    </w:pPr>
    <w:rPr>
      <w:rFonts w:eastAsiaTheme="majorEastAsia" w:cstheme="majorBidi"/>
      <w:iCs/>
      <w:szCs w:val="24"/>
    </w:rPr>
  </w:style>
  <w:style w:type="paragraph" w:customStyle="1" w:styleId="5nummeriert">
    <w:name w:val="Ü5 nummeriert"/>
    <w:basedOn w:val="Heading5"/>
    <w:next w:val="Normal"/>
    <w:uiPriority w:val="2"/>
    <w:locked/>
    <w:rsid w:val="00873CCE"/>
    <w:pPr>
      <w:keepLines/>
      <w:spacing w:line="276" w:lineRule="auto"/>
    </w:pPr>
    <w:rPr>
      <w:rFonts w:eastAsiaTheme="majorEastAsia" w:cstheme="majorBidi"/>
      <w:color w:val="404040" w:themeColor="text1" w:themeTint="BF"/>
      <w:sz w:val="24"/>
      <w:szCs w:val="24"/>
    </w:rPr>
  </w:style>
  <w:style w:type="paragraph" w:customStyle="1" w:styleId="1-small">
    <w:name w:val="Ü1-small"/>
    <w:basedOn w:val="Heading1"/>
    <w:next w:val="Normal"/>
    <w:uiPriority w:val="2"/>
    <w:locked/>
    <w:rsid w:val="00873CCE"/>
    <w:pPr>
      <w:spacing w:after="345" w:line="300" w:lineRule="auto"/>
    </w:pPr>
    <w:rPr>
      <w:b/>
      <w:color w:val="auto"/>
      <w:sz w:val="25"/>
      <w:szCs w:val="25"/>
    </w:rPr>
  </w:style>
  <w:style w:type="character" w:customStyle="1" w:styleId="Abs-MAIL">
    <w:name w:val="Abs-MAIL"/>
    <w:basedOn w:val="DefaultParagraphFont"/>
    <w:uiPriority w:val="49"/>
    <w:semiHidden/>
    <w:qFormat/>
    <w:locked/>
    <w:rsid w:val="00873CCE"/>
    <w:rPr>
      <w:lang w:val="fr-FR"/>
    </w:rPr>
  </w:style>
  <w:style w:type="numbering" w:customStyle="1" w:styleId="eu2018atUnsortierteListe">
    <w:name w:val="eu2018at Unsortierte Liste"/>
    <w:uiPriority w:val="99"/>
    <w:locked/>
    <w:rsid w:val="00873CCE"/>
    <w:pPr>
      <w:numPr>
        <w:numId w:val="9"/>
      </w:numPr>
    </w:pPr>
  </w:style>
  <w:style w:type="paragraph" w:customStyle="1" w:styleId="ProgrammAufzhlung1">
    <w:name w:val="Programm Aufzählung 1"/>
    <w:aliases w:val="P-UL"/>
    <w:basedOn w:val="Normal"/>
    <w:uiPriority w:val="24"/>
    <w:qFormat/>
    <w:locked/>
    <w:rsid w:val="00873CCE"/>
    <w:rPr>
      <w:rFonts w:eastAsia="Times New Roman"/>
      <w:szCs w:val="22"/>
      <w:lang w:eastAsia="de-AT"/>
    </w:rPr>
  </w:style>
  <w:style w:type="paragraph" w:customStyle="1" w:styleId="P-Intro">
    <w:name w:val="P-Intro"/>
    <w:basedOn w:val="Normal"/>
    <w:next w:val="Normal"/>
    <w:uiPriority w:val="19"/>
    <w:qFormat/>
    <w:locked/>
    <w:rsid w:val="00873CCE"/>
    <w:pPr>
      <w:spacing w:after="690"/>
    </w:pPr>
    <w:rPr>
      <w:color w:val="E6320F" w:themeColor="text2"/>
      <w:sz w:val="25"/>
    </w:rPr>
  </w:style>
  <w:style w:type="paragraph" w:customStyle="1" w:styleId="ProgrammAufzhlung1ABSTNACH">
    <w:name w:val="Programm Aufzählung 1 ABST NACH"/>
    <w:aliases w:val="P-UL Ende"/>
    <w:basedOn w:val="ProgrammAufzhlung1"/>
    <w:uiPriority w:val="24"/>
    <w:qFormat/>
    <w:locked/>
    <w:rsid w:val="00873CCE"/>
    <w:pPr>
      <w:spacing w:after="345"/>
      <w:contextualSpacing/>
    </w:pPr>
  </w:style>
  <w:style w:type="paragraph" w:customStyle="1" w:styleId="Quelle">
    <w:name w:val="Quelle"/>
    <w:basedOn w:val="StdVOR"/>
    <w:next w:val="Normal"/>
    <w:uiPriority w:val="4"/>
    <w:qFormat/>
    <w:locked/>
    <w:rsid w:val="00873CCE"/>
    <w:rPr>
      <w:sz w:val="19"/>
      <w:szCs w:val="19"/>
    </w:rPr>
  </w:style>
  <w:style w:type="paragraph" w:styleId="TableofFigures">
    <w:name w:val="table of figures"/>
    <w:basedOn w:val="Normal"/>
    <w:next w:val="Normal"/>
    <w:uiPriority w:val="99"/>
    <w:unhideWhenUsed/>
    <w:locked/>
    <w:rsid w:val="00873CCE"/>
    <w:pPr>
      <w:tabs>
        <w:tab w:val="right" w:pos="8817"/>
      </w:tabs>
      <w:ind w:right="335"/>
    </w:pPr>
  </w:style>
  <w:style w:type="paragraph" w:styleId="TOC4">
    <w:name w:val="toc 4"/>
    <w:basedOn w:val="Normal"/>
    <w:next w:val="Normal"/>
    <w:autoRedefine/>
    <w:uiPriority w:val="39"/>
    <w:unhideWhenUsed/>
    <w:locked/>
    <w:rsid w:val="00873CCE"/>
    <w:pPr>
      <w:tabs>
        <w:tab w:val="left" w:pos="1077"/>
        <w:tab w:val="right" w:leader="dot" w:pos="7297"/>
      </w:tabs>
      <w:spacing w:after="100"/>
      <w:ind w:left="312"/>
    </w:pPr>
  </w:style>
  <w:style w:type="paragraph" w:customStyle="1" w:styleId="BoxTitel">
    <w:name w:val="Box Titel"/>
    <w:basedOn w:val="Normal"/>
    <w:uiPriority w:val="21"/>
    <w:qFormat/>
    <w:locked/>
    <w:rsid w:val="00873CCE"/>
    <w:pPr>
      <w:pBdr>
        <w:top w:val="single" w:sz="4" w:space="15" w:color="E6EFF3" w:themeColor="background1"/>
        <w:left w:val="single" w:sz="4" w:space="20" w:color="E6EFF3" w:themeColor="background1"/>
        <w:right w:val="single" w:sz="4" w:space="20" w:color="E6EFF3" w:themeColor="background1"/>
      </w:pBdr>
      <w:shd w:val="clear" w:color="auto" w:fill="E6EFF3" w:themeFill="background1"/>
      <w:ind w:left="397" w:right="397"/>
    </w:pPr>
    <w:rPr>
      <w:b/>
      <w:bCs/>
      <w:color w:val="E6320F" w:themeColor="text2"/>
    </w:rPr>
  </w:style>
  <w:style w:type="paragraph" w:customStyle="1" w:styleId="BoxStd">
    <w:name w:val="Box Std"/>
    <w:basedOn w:val="Normal"/>
    <w:uiPriority w:val="22"/>
    <w:qFormat/>
    <w:locked/>
    <w:rsid w:val="00873CCE"/>
    <w:pPr>
      <w:pBdr>
        <w:top w:val="single" w:sz="4" w:space="14" w:color="E6EFF3" w:themeColor="background1"/>
        <w:left w:val="single" w:sz="4" w:space="20" w:color="E6EFF3" w:themeColor="background1"/>
        <w:bottom w:val="single" w:sz="4" w:space="14" w:color="E6EFF3" w:themeColor="background1"/>
        <w:right w:val="single" w:sz="4" w:space="20" w:color="E6EFF3" w:themeColor="background1"/>
      </w:pBdr>
      <w:shd w:val="clear" w:color="auto" w:fill="E6EFF3" w:themeFill="background1"/>
      <w:ind w:left="397" w:right="397"/>
    </w:pPr>
  </w:style>
  <w:style w:type="paragraph" w:customStyle="1" w:styleId="BoxUL1">
    <w:name w:val="Box UL 1"/>
    <w:basedOn w:val="ProgrammAufzhlung1"/>
    <w:uiPriority w:val="22"/>
    <w:qFormat/>
    <w:locked/>
    <w:rsid w:val="00873CCE"/>
    <w:pPr>
      <w:numPr>
        <w:numId w:val="6"/>
      </w:numPr>
      <w:pBdr>
        <w:top w:val="single" w:sz="4" w:space="14" w:color="E6EFF3" w:themeColor="background1"/>
        <w:left w:val="single" w:sz="4" w:space="20" w:color="E6EFF3" w:themeColor="background1"/>
        <w:bottom w:val="single" w:sz="4" w:space="14" w:color="E6EFF3" w:themeColor="background1"/>
        <w:right w:val="single" w:sz="4" w:space="20" w:color="E6EFF3" w:themeColor="background1"/>
      </w:pBdr>
      <w:shd w:val="clear" w:color="auto" w:fill="E6EFF3" w:themeFill="background1"/>
      <w:ind w:right="397"/>
      <w:contextualSpacing/>
    </w:pPr>
  </w:style>
  <w:style w:type="character" w:customStyle="1" w:styleId="hochgestellt">
    <w:name w:val="hochgestellt"/>
    <w:uiPriority w:val="99"/>
    <w:semiHidden/>
    <w:locked/>
    <w:rsid w:val="00873CCE"/>
    <w:rPr>
      <w:vertAlign w:val="superscript"/>
    </w:rPr>
  </w:style>
  <w:style w:type="numbering" w:customStyle="1" w:styleId="Programm-Liste">
    <w:name w:val="Programm-Liste"/>
    <w:basedOn w:val="NoList"/>
    <w:locked/>
    <w:rsid w:val="00873CCE"/>
    <w:pPr>
      <w:numPr>
        <w:numId w:val="15"/>
      </w:numPr>
    </w:pPr>
  </w:style>
  <w:style w:type="paragraph" w:customStyle="1" w:styleId="Ort-Datum">
    <w:name w:val="Ort-Datum"/>
    <w:basedOn w:val="Normal"/>
    <w:uiPriority w:val="29"/>
    <w:locked/>
    <w:rsid w:val="00873CCE"/>
    <w:pPr>
      <w:framePr w:h="390" w:hRule="exact" w:hSpace="142" w:wrap="around" w:vAnchor="page" w:hAnchor="text" w:y="14914" w:anchorLock="1"/>
    </w:pPr>
    <w:rPr>
      <w:sz w:val="29"/>
      <w:szCs w:val="29"/>
    </w:rPr>
  </w:style>
  <w:style w:type="character" w:customStyle="1" w:styleId="ROT">
    <w:name w:val="ROT"/>
    <w:basedOn w:val="DefaultParagraphFont"/>
    <w:uiPriority w:val="59"/>
    <w:qFormat/>
    <w:locked/>
    <w:rsid w:val="00873CCE"/>
    <w:rPr>
      <w:color w:val="E6320F" w:themeColor="text2"/>
      <w:lang w:val="fr-FR"/>
    </w:rPr>
  </w:style>
  <w:style w:type="character" w:customStyle="1" w:styleId="BetreffZchn">
    <w:name w:val="Betreff Zchn"/>
    <w:aliases w:val="Betreff-Titel Zchn,Betreff-H1 Zchn"/>
    <w:basedOn w:val="DefaultParagraphFont"/>
    <w:link w:val="Betreff"/>
    <w:uiPriority w:val="2"/>
    <w:semiHidden/>
    <w:rsid w:val="00873CCE"/>
    <w:rPr>
      <w:rFonts w:asciiTheme="majorHAnsi" w:hAnsiTheme="majorHAnsi"/>
      <w:b/>
      <w:sz w:val="28"/>
      <w:shd w:val="clear" w:color="auto" w:fill="FFFFFF"/>
      <w14:numForm w14:val="lining"/>
    </w:rPr>
  </w:style>
  <w:style w:type="paragraph" w:customStyle="1" w:styleId="Brief2nummeriert">
    <w:name w:val="Brief Ü2 nummeriert"/>
    <w:basedOn w:val="2nummeriert"/>
    <w:next w:val="Normal"/>
    <w:uiPriority w:val="2"/>
    <w:semiHidden/>
    <w:locked/>
    <w:rsid w:val="00873CCE"/>
    <w:pPr>
      <w:numPr>
        <w:numId w:val="7"/>
      </w:numPr>
      <w:spacing w:before="345" w:line="264" w:lineRule="auto"/>
    </w:pPr>
    <w:rPr>
      <w:sz w:val="28"/>
    </w:rPr>
  </w:style>
  <w:style w:type="paragraph" w:customStyle="1" w:styleId="Brief3nummeriert">
    <w:name w:val="Brief Ü3 nummeriert"/>
    <w:basedOn w:val="3nummeriert"/>
    <w:next w:val="Normal"/>
    <w:uiPriority w:val="2"/>
    <w:semiHidden/>
    <w:locked/>
    <w:rsid w:val="00873CCE"/>
    <w:pPr>
      <w:tabs>
        <w:tab w:val="num" w:pos="567"/>
      </w:tabs>
      <w:spacing w:before="345"/>
      <w:ind w:left="567" w:hanging="567"/>
    </w:pPr>
  </w:style>
  <w:style w:type="paragraph" w:customStyle="1" w:styleId="Elektronischgefertigt">
    <w:name w:val="Elektronisch gefertigt"/>
    <w:basedOn w:val="StdVOR"/>
    <w:next w:val="Normal"/>
    <w:uiPriority w:val="46"/>
    <w:semiHidden/>
    <w:locked/>
    <w:rsid w:val="00873CCE"/>
    <w:rPr>
      <w:sz w:val="17"/>
    </w:rPr>
  </w:style>
  <w:style w:type="paragraph" w:styleId="Closing">
    <w:name w:val="Closing"/>
    <w:aliases w:val="Gruß"/>
    <w:basedOn w:val="Normal"/>
    <w:next w:val="Normal"/>
    <w:link w:val="ClosingChar"/>
    <w:uiPriority w:val="46"/>
    <w:semiHidden/>
    <w:locked/>
    <w:rsid w:val="00873CCE"/>
    <w:pPr>
      <w:spacing w:before="345"/>
    </w:pPr>
  </w:style>
  <w:style w:type="character" w:customStyle="1" w:styleId="ClosingChar">
    <w:name w:val="Closing Char"/>
    <w:aliases w:val="Gruß Char"/>
    <w:basedOn w:val="DefaultParagraphFont"/>
    <w:link w:val="Closing"/>
    <w:uiPriority w:val="46"/>
    <w:semiHidden/>
    <w:rsid w:val="00873CCE"/>
    <w:rPr>
      <w14:numForm w14:val="lining"/>
    </w:rPr>
  </w:style>
  <w:style w:type="character" w:customStyle="1" w:styleId="Hochstellen">
    <w:name w:val="Hochstellen"/>
    <w:basedOn w:val="DefaultParagraphFont"/>
    <w:uiPriority w:val="59"/>
    <w:qFormat/>
    <w:locked/>
    <w:rsid w:val="00873CCE"/>
    <w:rPr>
      <w:caps w:val="0"/>
      <w:smallCaps w:val="0"/>
      <w:strike w:val="0"/>
      <w:dstrike w:val="0"/>
      <w:vanish w:val="0"/>
      <w:vertAlign w:val="superscript"/>
    </w:rPr>
  </w:style>
  <w:style w:type="paragraph" w:customStyle="1" w:styleId="Listennummera">
    <w:name w:val="Listennummer a)"/>
    <w:aliases w:val="OL 1 a)"/>
    <w:basedOn w:val="ListNumber"/>
    <w:uiPriority w:val="18"/>
    <w:qFormat/>
    <w:locked/>
    <w:rsid w:val="00873CCE"/>
    <w:pPr>
      <w:numPr>
        <w:numId w:val="14"/>
      </w:numPr>
    </w:pPr>
  </w:style>
  <w:style w:type="character" w:customStyle="1" w:styleId="Tiefstellen">
    <w:name w:val="Tiefstellen"/>
    <w:basedOn w:val="DefaultParagraphFont"/>
    <w:uiPriority w:val="59"/>
    <w:qFormat/>
    <w:locked/>
    <w:rsid w:val="00873CCE"/>
    <w:rPr>
      <w:caps w:val="0"/>
      <w:smallCaps w:val="0"/>
      <w:strike w:val="0"/>
      <w:dstrike w:val="0"/>
      <w:vanish w:val="0"/>
      <w:vertAlign w:val="subscript"/>
    </w:rPr>
  </w:style>
  <w:style w:type="paragraph" w:customStyle="1" w:styleId="UnterzeichnetiV">
    <w:name w:val="Unterzeichnet i.V."/>
    <w:basedOn w:val="NoSpacing"/>
    <w:next w:val="Normal"/>
    <w:uiPriority w:val="46"/>
    <w:semiHidden/>
    <w:locked/>
    <w:rsid w:val="00873CCE"/>
  </w:style>
  <w:style w:type="paragraph" w:customStyle="1" w:styleId="UZ-Datum">
    <w:name w:val="UZ-Datum"/>
    <w:basedOn w:val="UnterzeichnetiV"/>
    <w:next w:val="UnterzeichnetiV"/>
    <w:uiPriority w:val="46"/>
    <w:semiHidden/>
    <w:locked/>
    <w:rsid w:val="00873CCE"/>
    <w:pPr>
      <w:spacing w:before="345"/>
    </w:pPr>
    <w:rPr>
      <w:rFonts w:eastAsia="Times New Roman"/>
    </w:rPr>
  </w:style>
  <w:style w:type="paragraph" w:customStyle="1" w:styleId="Vermerk">
    <w:name w:val="Vermerk"/>
    <w:basedOn w:val="Normal"/>
    <w:uiPriority w:val="47"/>
    <w:semiHidden/>
    <w:locked/>
    <w:rsid w:val="00873CCE"/>
    <w:rPr>
      <w:sz w:val="17"/>
    </w:rPr>
  </w:style>
  <w:style w:type="character" w:styleId="SubtleReference">
    <w:name w:val="Subtle Reference"/>
    <w:basedOn w:val="DefaultParagraphFont"/>
    <w:uiPriority w:val="31"/>
    <w:semiHidden/>
    <w:locked/>
    <w:rsid w:val="00873CCE"/>
    <w:rPr>
      <w:caps w:val="0"/>
      <w:smallCaps/>
      <w:strike w:val="0"/>
      <w:dstrike w:val="0"/>
      <w:vanish w:val="0"/>
      <w:color w:val="auto"/>
      <w:u w:val="none"/>
      <w:vertAlign w:val="baseline"/>
    </w:rPr>
  </w:style>
  <w:style w:type="paragraph" w:styleId="BlockText">
    <w:name w:val="Block Text"/>
    <w:basedOn w:val="Normal"/>
    <w:uiPriority w:val="99"/>
    <w:semiHidden/>
    <w:unhideWhenUsed/>
    <w:locked/>
    <w:rsid w:val="00873CCE"/>
    <w:pPr>
      <w:pBdr>
        <w:top w:val="single" w:sz="2" w:space="10" w:color="CA0237" w:themeColor="accent1"/>
        <w:left w:val="single" w:sz="2" w:space="10" w:color="CA0237" w:themeColor="accent1"/>
        <w:bottom w:val="single" w:sz="2" w:space="10" w:color="CA0237" w:themeColor="accent1"/>
        <w:right w:val="single" w:sz="2" w:space="10" w:color="CA0237" w:themeColor="accent1"/>
      </w:pBdr>
    </w:pPr>
    <w:rPr>
      <w:i/>
      <w:iCs/>
      <w:color w:val="E6320F" w:themeColor="text2"/>
    </w:rPr>
  </w:style>
  <w:style w:type="paragraph" w:customStyle="1" w:styleId="P-1">
    <w:name w:val="P-1."/>
    <w:basedOn w:val="Normal"/>
    <w:uiPriority w:val="19"/>
    <w:qFormat/>
    <w:locked/>
    <w:rsid w:val="00873CCE"/>
    <w:pPr>
      <w:ind w:left="397" w:hanging="397"/>
    </w:pPr>
    <w:rPr>
      <w:rFonts w:eastAsia="Times New Roman"/>
    </w:rPr>
  </w:style>
  <w:style w:type="paragraph" w:customStyle="1" w:styleId="P-1Ftsz">
    <w:name w:val="P-1. Ftsz"/>
    <w:basedOn w:val="Normal"/>
    <w:uiPriority w:val="19"/>
    <w:qFormat/>
    <w:locked/>
    <w:rsid w:val="00873CCE"/>
    <w:pPr>
      <w:ind w:left="397"/>
    </w:pPr>
    <w:rPr>
      <w:rFonts w:eastAsia="Times New Roman"/>
    </w:rPr>
  </w:style>
  <w:style w:type="paragraph" w:customStyle="1" w:styleId="P-1a">
    <w:name w:val="P-1.a)"/>
    <w:basedOn w:val="Normal"/>
    <w:uiPriority w:val="19"/>
    <w:qFormat/>
    <w:locked/>
    <w:rsid w:val="00873CCE"/>
    <w:pPr>
      <w:ind w:left="794" w:hanging="397"/>
    </w:pPr>
    <w:rPr>
      <w:rFonts w:eastAsia="Times New Roman"/>
    </w:rPr>
  </w:style>
  <w:style w:type="paragraph" w:customStyle="1" w:styleId="P-1aFtsz">
    <w:name w:val="P-1.a) Ftsz"/>
    <w:basedOn w:val="Normal"/>
    <w:uiPriority w:val="19"/>
    <w:qFormat/>
    <w:locked/>
    <w:rsid w:val="00873CCE"/>
    <w:pPr>
      <w:ind w:left="794"/>
    </w:pPr>
    <w:rPr>
      <w:rFonts w:eastAsia="Times New Roman"/>
    </w:rPr>
  </w:style>
  <w:style w:type="paragraph" w:customStyle="1" w:styleId="P-1ai">
    <w:name w:val="P-1.a)i)"/>
    <w:basedOn w:val="P-1aFtsz"/>
    <w:uiPriority w:val="19"/>
    <w:locked/>
    <w:rsid w:val="00873CCE"/>
    <w:pPr>
      <w:ind w:left="1191" w:hanging="397"/>
    </w:pPr>
  </w:style>
  <w:style w:type="paragraph" w:customStyle="1" w:styleId="P-1aiFtsz">
    <w:name w:val="P-1.a)i) Ftsz"/>
    <w:basedOn w:val="P-1aFtsz"/>
    <w:uiPriority w:val="19"/>
    <w:locked/>
    <w:rsid w:val="00873CCE"/>
    <w:pPr>
      <w:ind w:left="1191"/>
    </w:pPr>
  </w:style>
  <w:style w:type="paragraph" w:customStyle="1" w:styleId="Bilduntertitel">
    <w:name w:val="Bilduntertitel"/>
    <w:aliases w:val="Bild-UT"/>
    <w:basedOn w:val="Quelle"/>
    <w:uiPriority w:val="4"/>
    <w:qFormat/>
    <w:locked/>
    <w:rsid w:val="00873CCE"/>
    <w:pPr>
      <w:spacing w:before="0"/>
    </w:pPr>
    <w:rPr>
      <w:rFonts w:eastAsia="Times New Roman"/>
      <w:szCs w:val="20"/>
    </w:rPr>
  </w:style>
  <w:style w:type="numbering" w:customStyle="1" w:styleId="ATberschriftennummeriert">
    <w:name w:val="AT Überschriften nummeriert"/>
    <w:uiPriority w:val="99"/>
    <w:locked/>
    <w:rsid w:val="00873CCE"/>
    <w:pPr>
      <w:numPr>
        <w:numId w:val="3"/>
      </w:numPr>
    </w:pPr>
  </w:style>
  <w:style w:type="paragraph" w:customStyle="1" w:styleId="LOGO">
    <w:name w:val="LOGO"/>
    <w:basedOn w:val="P-Intro"/>
    <w:next w:val="Normal"/>
    <w:uiPriority w:val="54"/>
    <w:semiHidden/>
    <w:locked/>
    <w:rsid w:val="00873CCE"/>
    <w:rPr>
      <w:color w:val="auto"/>
    </w:rPr>
  </w:style>
  <w:style w:type="paragraph" w:customStyle="1" w:styleId="ImpressumKeinLeerraum">
    <w:name w:val="Impressum Kein Leerraum"/>
    <w:basedOn w:val="NoSpacing"/>
    <w:uiPriority w:val="44"/>
    <w:locked/>
    <w:rsid w:val="00873CCE"/>
    <w:rPr>
      <w:sz w:val="19"/>
    </w:rPr>
  </w:style>
  <w:style w:type="paragraph" w:customStyle="1" w:styleId="2Impressum">
    <w:name w:val="Ü2 Impressum"/>
    <w:basedOn w:val="1-small"/>
    <w:uiPriority w:val="2"/>
    <w:qFormat/>
    <w:locked/>
    <w:rsid w:val="00873CCE"/>
    <w:pPr>
      <w:spacing w:before="690" w:after="0"/>
      <w:outlineLvl w:val="1"/>
    </w:pPr>
    <w:rPr>
      <w:sz w:val="19"/>
    </w:rPr>
  </w:style>
  <w:style w:type="paragraph" w:customStyle="1" w:styleId="An">
    <w:name w:val="An"/>
    <w:basedOn w:val="Anschriftdaten"/>
    <w:uiPriority w:val="99"/>
    <w:semiHidden/>
    <w:locked/>
    <w:rsid w:val="00873CCE"/>
    <w:pPr>
      <w:spacing w:line="220" w:lineRule="exact"/>
    </w:pPr>
    <w:rPr>
      <w:sz w:val="16"/>
    </w:rPr>
  </w:style>
  <w:style w:type="paragraph" w:customStyle="1" w:styleId="Impressumtext">
    <w:name w:val="Impressumtext"/>
    <w:basedOn w:val="StdVOR"/>
    <w:uiPriority w:val="44"/>
    <w:qFormat/>
    <w:locked/>
    <w:rsid w:val="00873CCE"/>
    <w:rPr>
      <w:sz w:val="19"/>
      <w:szCs w:val="19"/>
    </w:rPr>
  </w:style>
  <w:style w:type="character" w:styleId="Emphasis">
    <w:name w:val="Emphasis"/>
    <w:basedOn w:val="DefaultParagraphFont"/>
    <w:uiPriority w:val="59"/>
    <w:semiHidden/>
    <w:locked/>
    <w:rsid w:val="00873CCE"/>
    <w:rPr>
      <w:b/>
      <w:i w:val="0"/>
      <w:iCs/>
    </w:rPr>
  </w:style>
  <w:style w:type="character" w:styleId="SubtleEmphasis">
    <w:name w:val="Subtle Emphasis"/>
    <w:basedOn w:val="DefaultParagraphFont"/>
    <w:uiPriority w:val="59"/>
    <w:semiHidden/>
    <w:locked/>
    <w:rsid w:val="00873CCE"/>
    <w:rPr>
      <w:i/>
      <w:iCs/>
      <w:color w:val="auto"/>
    </w:rPr>
  </w:style>
  <w:style w:type="paragraph" w:customStyle="1" w:styleId="00LegStandard">
    <w:name w:val="00_LegStandard"/>
    <w:semiHidden/>
    <w:locked/>
    <w:rsid w:val="00643B44"/>
    <w:pPr>
      <w:spacing w:after="0" w:line="220" w:lineRule="exact"/>
      <w:jc w:val="both"/>
    </w:pPr>
    <w:rPr>
      <w:rFonts w:ascii="Times New Roman" w:eastAsia="Times New Roman" w:hAnsi="Times New Roman" w:cs="Times New Roman"/>
      <w:snapToGrid w:val="0"/>
      <w:color w:val="000000"/>
      <w:sz w:val="20"/>
      <w:szCs w:val="20"/>
      <w:lang w:eastAsia="de-DE"/>
    </w:rPr>
  </w:style>
  <w:style w:type="paragraph" w:customStyle="1" w:styleId="01Undefiniert">
    <w:name w:val="01_Undefiniert"/>
    <w:basedOn w:val="00LegStandard"/>
    <w:semiHidden/>
    <w:locked/>
    <w:rsid w:val="00643B44"/>
  </w:style>
  <w:style w:type="paragraph" w:customStyle="1" w:styleId="02BDGesBlatt">
    <w:name w:val="02_BDGesBlatt"/>
    <w:basedOn w:val="00LegStandard"/>
    <w:next w:val="03RepOesterr"/>
    <w:rsid w:val="00643B44"/>
    <w:pPr>
      <w:spacing w:before="280" w:line="700" w:lineRule="exact"/>
      <w:jc w:val="center"/>
      <w:outlineLvl w:val="0"/>
    </w:pPr>
    <w:rPr>
      <w:b/>
      <w:caps/>
      <w:spacing w:val="26"/>
      <w:sz w:val="70"/>
    </w:rPr>
  </w:style>
  <w:style w:type="paragraph" w:customStyle="1" w:styleId="03RepOesterr">
    <w:name w:val="03_RepOesterr"/>
    <w:basedOn w:val="00LegStandard"/>
    <w:next w:val="04AusgabeDaten"/>
    <w:rsid w:val="00643B44"/>
    <w:pPr>
      <w:spacing w:before="100" w:line="440" w:lineRule="exact"/>
      <w:jc w:val="center"/>
    </w:pPr>
    <w:rPr>
      <w:b/>
      <w:caps/>
      <w:spacing w:val="20"/>
      <w:sz w:val="40"/>
      <w:lang w:eastAsia="de-AT"/>
    </w:rPr>
  </w:style>
  <w:style w:type="paragraph" w:customStyle="1" w:styleId="04AusgabeDaten">
    <w:name w:val="04_AusgabeDaten"/>
    <w:basedOn w:val="00LegStandard"/>
    <w:next w:val="05Kurztitel"/>
    <w:rsid w:val="00643B44"/>
    <w:pPr>
      <w:pBdr>
        <w:top w:val="single" w:sz="12" w:space="0" w:color="auto"/>
        <w:bottom w:val="single" w:sz="12" w:space="2" w:color="auto"/>
      </w:pBdr>
      <w:tabs>
        <w:tab w:val="left" w:pos="0"/>
        <w:tab w:val="center" w:pos="4253"/>
        <w:tab w:val="right" w:pos="8460"/>
      </w:tabs>
      <w:spacing w:before="300" w:after="160" w:line="280" w:lineRule="exact"/>
    </w:pPr>
    <w:rPr>
      <w:b/>
      <w:bCs/>
      <w:sz w:val="24"/>
      <w:lang w:eastAsia="de-AT"/>
    </w:rPr>
  </w:style>
  <w:style w:type="paragraph" w:customStyle="1" w:styleId="11Titel">
    <w:name w:val="11_Titel"/>
    <w:basedOn w:val="00LegStandard"/>
    <w:next w:val="12PromKlEinlSatz"/>
    <w:rsid w:val="00643B44"/>
    <w:pPr>
      <w:suppressAutoHyphens/>
      <w:spacing w:before="480"/>
    </w:pPr>
    <w:rPr>
      <w:b/>
      <w:sz w:val="22"/>
    </w:rPr>
  </w:style>
  <w:style w:type="paragraph" w:customStyle="1" w:styleId="05Kurztitel">
    <w:name w:val="05_Kurztitel"/>
    <w:basedOn w:val="11Titel"/>
    <w:rsid w:val="00643B44"/>
    <w:pPr>
      <w:pBdr>
        <w:bottom w:val="single" w:sz="12" w:space="3" w:color="auto"/>
      </w:pBdr>
      <w:spacing w:before="40" w:line="240" w:lineRule="auto"/>
      <w:ind w:left="1985" w:hanging="1985"/>
    </w:pPr>
    <w:rPr>
      <w:sz w:val="20"/>
    </w:rPr>
  </w:style>
  <w:style w:type="paragraph" w:customStyle="1" w:styleId="09Abstand">
    <w:name w:val="09_Abstand"/>
    <w:basedOn w:val="00LegStandard"/>
    <w:rsid w:val="00643B44"/>
    <w:pPr>
      <w:spacing w:line="200" w:lineRule="exact"/>
      <w:jc w:val="left"/>
    </w:pPr>
  </w:style>
  <w:style w:type="paragraph" w:customStyle="1" w:styleId="10Entwurf">
    <w:name w:val="10_Entwurf"/>
    <w:basedOn w:val="00LegStandard"/>
    <w:next w:val="11Titel"/>
    <w:rsid w:val="00643B44"/>
    <w:pPr>
      <w:spacing w:before="1600" w:after="1570"/>
      <w:jc w:val="center"/>
    </w:pPr>
    <w:rPr>
      <w:spacing w:val="26"/>
    </w:rPr>
  </w:style>
  <w:style w:type="paragraph" w:customStyle="1" w:styleId="12PromKlEinlSatz">
    <w:name w:val="12_PromKl_EinlSatz"/>
    <w:basedOn w:val="00LegStandard"/>
    <w:next w:val="41UeberschrG1"/>
    <w:rsid w:val="00643B44"/>
    <w:pPr>
      <w:keepNext/>
      <w:spacing w:before="160"/>
      <w:ind w:firstLine="397"/>
    </w:pPr>
  </w:style>
  <w:style w:type="paragraph" w:customStyle="1" w:styleId="18AbbildungoderObjekt">
    <w:name w:val="18_Abbildung_oder_Objekt"/>
    <w:basedOn w:val="00LegStandard"/>
    <w:next w:val="51Abs"/>
    <w:rsid w:val="00643B44"/>
    <w:pPr>
      <w:spacing w:before="120" w:after="120" w:line="240" w:lineRule="auto"/>
      <w:jc w:val="left"/>
    </w:pPr>
  </w:style>
  <w:style w:type="paragraph" w:customStyle="1" w:styleId="19Beschriftung">
    <w:name w:val="19_Beschriftung"/>
    <w:basedOn w:val="00LegStandard"/>
    <w:next w:val="51Abs"/>
    <w:rsid w:val="00643B44"/>
    <w:pPr>
      <w:spacing w:after="120"/>
      <w:jc w:val="left"/>
    </w:pPr>
  </w:style>
  <w:style w:type="paragraph" w:customStyle="1" w:styleId="21NovAo1">
    <w:name w:val="21_NovAo1"/>
    <w:basedOn w:val="00LegStandard"/>
    <w:next w:val="23SatznachNovao"/>
    <w:qFormat/>
    <w:rsid w:val="00643B44"/>
    <w:pPr>
      <w:keepNext/>
      <w:spacing w:before="160"/>
      <w:outlineLvl w:val="2"/>
    </w:pPr>
    <w:rPr>
      <w:i/>
    </w:rPr>
  </w:style>
  <w:style w:type="paragraph" w:customStyle="1" w:styleId="22NovAo2">
    <w:name w:val="22_NovAo2"/>
    <w:basedOn w:val="21NovAo1"/>
    <w:qFormat/>
    <w:rsid w:val="00643B44"/>
    <w:pPr>
      <w:keepNext w:val="0"/>
    </w:pPr>
  </w:style>
  <w:style w:type="paragraph" w:customStyle="1" w:styleId="23SatznachNovao">
    <w:name w:val="23_Satz_(nach_Novao)"/>
    <w:basedOn w:val="00LegStandard"/>
    <w:next w:val="21NovAo1"/>
    <w:qFormat/>
    <w:rsid w:val="00643B44"/>
    <w:pPr>
      <w:spacing w:before="80"/>
    </w:pPr>
  </w:style>
  <w:style w:type="paragraph" w:customStyle="1" w:styleId="30InhaltUeberschrift">
    <w:name w:val="30_InhaltUeberschrift"/>
    <w:basedOn w:val="00LegStandard"/>
    <w:next w:val="31InhaltSpalte"/>
    <w:rsid w:val="00643B44"/>
    <w:pPr>
      <w:keepNext/>
      <w:spacing w:before="320" w:after="160"/>
      <w:jc w:val="center"/>
      <w:outlineLvl w:val="0"/>
    </w:pPr>
    <w:rPr>
      <w:b/>
    </w:rPr>
  </w:style>
  <w:style w:type="paragraph" w:customStyle="1" w:styleId="31InhaltSpalte">
    <w:name w:val="31_InhaltSpalte"/>
    <w:basedOn w:val="00LegStandard"/>
    <w:next w:val="32InhaltEintrag"/>
    <w:rsid w:val="00643B44"/>
    <w:pPr>
      <w:keepNext/>
      <w:tabs>
        <w:tab w:val="center" w:pos="510"/>
        <w:tab w:val="center" w:pos="4082"/>
      </w:tabs>
      <w:suppressAutoHyphens/>
      <w:spacing w:before="80" w:after="80"/>
      <w:jc w:val="center"/>
    </w:pPr>
    <w:rPr>
      <w:b/>
    </w:rPr>
  </w:style>
  <w:style w:type="paragraph" w:customStyle="1" w:styleId="32InhaltEintrag">
    <w:name w:val="32_InhaltEintrag"/>
    <w:basedOn w:val="00LegStandard"/>
    <w:rsid w:val="00643B44"/>
    <w:pPr>
      <w:jc w:val="left"/>
    </w:pPr>
  </w:style>
  <w:style w:type="paragraph" w:customStyle="1" w:styleId="41UeberschrG1">
    <w:name w:val="41_UeberschrG1"/>
    <w:basedOn w:val="00LegStandard"/>
    <w:next w:val="43UeberschrG2"/>
    <w:rsid w:val="00643B44"/>
    <w:pPr>
      <w:keepNext/>
      <w:spacing w:before="320"/>
      <w:jc w:val="center"/>
      <w:outlineLvl w:val="0"/>
    </w:pPr>
    <w:rPr>
      <w:b/>
      <w:sz w:val="22"/>
    </w:rPr>
  </w:style>
  <w:style w:type="paragraph" w:customStyle="1" w:styleId="42UeberschrG1-">
    <w:name w:val="42_UeberschrG1-"/>
    <w:basedOn w:val="00LegStandard"/>
    <w:next w:val="43UeberschrG2"/>
    <w:rsid w:val="00643B44"/>
    <w:pPr>
      <w:keepNext/>
      <w:spacing w:before="160"/>
      <w:jc w:val="center"/>
      <w:outlineLvl w:val="0"/>
    </w:pPr>
    <w:rPr>
      <w:b/>
      <w:sz w:val="22"/>
    </w:rPr>
  </w:style>
  <w:style w:type="paragraph" w:customStyle="1" w:styleId="43UeberschrG2">
    <w:name w:val="43_UeberschrG2"/>
    <w:basedOn w:val="00LegStandard"/>
    <w:next w:val="45UeberschrPara"/>
    <w:rsid w:val="00643B44"/>
    <w:pPr>
      <w:keepNext/>
      <w:spacing w:before="80" w:after="160"/>
      <w:jc w:val="center"/>
      <w:outlineLvl w:val="1"/>
    </w:pPr>
    <w:rPr>
      <w:b/>
      <w:sz w:val="22"/>
    </w:rPr>
  </w:style>
  <w:style w:type="paragraph" w:customStyle="1" w:styleId="44UeberschrArt">
    <w:name w:val="44_UeberschrArt+"/>
    <w:basedOn w:val="00LegStandard"/>
    <w:next w:val="45UeberschrPara"/>
    <w:rsid w:val="00643B44"/>
    <w:pPr>
      <w:keepNext/>
      <w:spacing w:before="160"/>
      <w:jc w:val="center"/>
      <w:outlineLvl w:val="2"/>
    </w:pPr>
    <w:rPr>
      <w:b/>
    </w:rPr>
  </w:style>
  <w:style w:type="paragraph" w:customStyle="1" w:styleId="45UeberschrPara">
    <w:name w:val="45_UeberschrPara"/>
    <w:basedOn w:val="00LegStandard"/>
    <w:next w:val="51Abs"/>
    <w:qFormat/>
    <w:rsid w:val="00643B44"/>
    <w:pPr>
      <w:keepNext/>
      <w:spacing w:before="80"/>
      <w:jc w:val="center"/>
    </w:pPr>
    <w:rPr>
      <w:b/>
    </w:rPr>
  </w:style>
  <w:style w:type="paragraph" w:customStyle="1" w:styleId="51Abs">
    <w:name w:val="51_Abs"/>
    <w:basedOn w:val="00LegStandard"/>
    <w:link w:val="51AbsZchn"/>
    <w:qFormat/>
    <w:rsid w:val="00643B44"/>
    <w:pPr>
      <w:spacing w:before="80"/>
      <w:ind w:firstLine="397"/>
    </w:pPr>
  </w:style>
  <w:style w:type="paragraph" w:customStyle="1" w:styleId="52Ziffere1">
    <w:name w:val="52_Ziffer_e1"/>
    <w:basedOn w:val="00LegStandard"/>
    <w:qFormat/>
    <w:rsid w:val="00643B44"/>
    <w:pPr>
      <w:tabs>
        <w:tab w:val="right" w:pos="624"/>
        <w:tab w:val="left" w:pos="680"/>
      </w:tabs>
      <w:spacing w:before="40"/>
      <w:ind w:left="680" w:hanging="680"/>
    </w:pPr>
  </w:style>
  <w:style w:type="paragraph" w:customStyle="1" w:styleId="52Ziffere2">
    <w:name w:val="52_Ziffer_e2"/>
    <w:basedOn w:val="00LegStandard"/>
    <w:semiHidden/>
    <w:rsid w:val="00643B44"/>
    <w:pPr>
      <w:tabs>
        <w:tab w:val="right" w:pos="851"/>
        <w:tab w:val="left" w:pos="907"/>
      </w:tabs>
      <w:spacing w:before="40"/>
      <w:ind w:left="907" w:hanging="907"/>
    </w:pPr>
  </w:style>
  <w:style w:type="paragraph" w:customStyle="1" w:styleId="52Ziffere3">
    <w:name w:val="52_Ziffer_e3"/>
    <w:basedOn w:val="00LegStandard"/>
    <w:semiHidden/>
    <w:rsid w:val="00643B44"/>
    <w:pPr>
      <w:tabs>
        <w:tab w:val="right" w:pos="1191"/>
        <w:tab w:val="left" w:pos="1247"/>
      </w:tabs>
      <w:spacing w:before="40"/>
      <w:ind w:left="1247" w:hanging="1247"/>
    </w:pPr>
  </w:style>
  <w:style w:type="paragraph" w:customStyle="1" w:styleId="52Ziffere4">
    <w:name w:val="52_Ziffer_e4"/>
    <w:basedOn w:val="00LegStandard"/>
    <w:semiHidden/>
    <w:rsid w:val="00643B44"/>
    <w:pPr>
      <w:tabs>
        <w:tab w:val="right" w:pos="1588"/>
        <w:tab w:val="left" w:pos="1644"/>
      </w:tabs>
      <w:spacing w:before="40"/>
      <w:ind w:left="1644" w:hanging="1644"/>
    </w:pPr>
  </w:style>
  <w:style w:type="paragraph" w:customStyle="1" w:styleId="52Ziffere5">
    <w:name w:val="52_Ziffer_e5"/>
    <w:basedOn w:val="00LegStandard"/>
    <w:semiHidden/>
    <w:rsid w:val="00643B44"/>
    <w:pPr>
      <w:tabs>
        <w:tab w:val="right" w:pos="1928"/>
        <w:tab w:val="left" w:pos="1985"/>
      </w:tabs>
      <w:spacing w:before="40"/>
      <w:ind w:left="1985" w:hanging="1985"/>
    </w:pPr>
  </w:style>
  <w:style w:type="paragraph" w:customStyle="1" w:styleId="52ZiffermitBetrag">
    <w:name w:val="52_Ziffer_mit_Betrag"/>
    <w:basedOn w:val="00LegStandard"/>
    <w:semiHidden/>
    <w:rsid w:val="00643B44"/>
    <w:pPr>
      <w:widowControl w:val="0"/>
      <w:tabs>
        <w:tab w:val="right" w:pos="624"/>
        <w:tab w:val="left" w:pos="680"/>
        <w:tab w:val="right" w:leader="dot" w:pos="6663"/>
        <w:tab w:val="right" w:leader="dot" w:pos="8505"/>
      </w:tabs>
      <w:overflowPunct w:val="0"/>
      <w:autoSpaceDE w:val="0"/>
      <w:autoSpaceDN w:val="0"/>
      <w:adjustRightInd w:val="0"/>
      <w:ind w:left="680" w:right="1064" w:hanging="680"/>
      <w:textAlignment w:val="baseline"/>
    </w:pPr>
  </w:style>
  <w:style w:type="paragraph" w:customStyle="1" w:styleId="52aTZiffermitBetragTGUE">
    <w:name w:val="52aT_Ziffer_mit_Betrag_TGUE"/>
    <w:basedOn w:val="52ZiffermitBetrag"/>
    <w:semiHidden/>
    <w:rsid w:val="00643B44"/>
    <w:pPr>
      <w:tabs>
        <w:tab w:val="clear" w:pos="6663"/>
        <w:tab w:val="clear" w:pos="8505"/>
        <w:tab w:val="right" w:leader="dot" w:pos="4678"/>
        <w:tab w:val="right" w:leader="dot" w:pos="6521"/>
      </w:tabs>
    </w:pPr>
  </w:style>
  <w:style w:type="paragraph" w:customStyle="1" w:styleId="53Literae1">
    <w:name w:val="53_Litera_e1"/>
    <w:basedOn w:val="00LegStandard"/>
    <w:semiHidden/>
    <w:rsid w:val="00643B44"/>
    <w:pPr>
      <w:tabs>
        <w:tab w:val="right" w:pos="624"/>
        <w:tab w:val="left" w:pos="680"/>
      </w:tabs>
      <w:spacing w:before="40"/>
      <w:ind w:left="680" w:hanging="680"/>
    </w:pPr>
  </w:style>
  <w:style w:type="paragraph" w:customStyle="1" w:styleId="53Literae2">
    <w:name w:val="53_Litera_e2"/>
    <w:basedOn w:val="00LegStandard"/>
    <w:semiHidden/>
    <w:qFormat/>
    <w:rsid w:val="00643B44"/>
    <w:pPr>
      <w:tabs>
        <w:tab w:val="right" w:pos="851"/>
        <w:tab w:val="left" w:pos="907"/>
      </w:tabs>
      <w:spacing w:before="40"/>
      <w:ind w:left="907" w:hanging="907"/>
    </w:pPr>
  </w:style>
  <w:style w:type="paragraph" w:customStyle="1" w:styleId="53Literae3">
    <w:name w:val="53_Litera_e3"/>
    <w:basedOn w:val="00LegStandard"/>
    <w:semiHidden/>
    <w:rsid w:val="00643B44"/>
    <w:pPr>
      <w:tabs>
        <w:tab w:val="right" w:pos="1191"/>
        <w:tab w:val="left" w:pos="1247"/>
      </w:tabs>
      <w:spacing w:before="40"/>
      <w:ind w:left="1247" w:hanging="1247"/>
    </w:pPr>
  </w:style>
  <w:style w:type="paragraph" w:customStyle="1" w:styleId="53Literae4">
    <w:name w:val="53_Litera_e4"/>
    <w:basedOn w:val="00LegStandard"/>
    <w:semiHidden/>
    <w:rsid w:val="00643B44"/>
    <w:pPr>
      <w:tabs>
        <w:tab w:val="right" w:pos="1588"/>
        <w:tab w:val="left" w:pos="1644"/>
      </w:tabs>
      <w:spacing w:before="40"/>
      <w:ind w:left="1644" w:hanging="1644"/>
    </w:pPr>
  </w:style>
  <w:style w:type="paragraph" w:customStyle="1" w:styleId="53Literae5">
    <w:name w:val="53_Litera_e5"/>
    <w:basedOn w:val="00LegStandard"/>
    <w:semiHidden/>
    <w:rsid w:val="00643B44"/>
    <w:pPr>
      <w:tabs>
        <w:tab w:val="right" w:pos="1928"/>
        <w:tab w:val="left" w:pos="1985"/>
      </w:tabs>
      <w:spacing w:before="40"/>
      <w:ind w:left="1985" w:hanging="1985"/>
    </w:pPr>
  </w:style>
  <w:style w:type="paragraph" w:customStyle="1" w:styleId="53LiteramitBetrag">
    <w:name w:val="53_Litera_mit_Betrag"/>
    <w:basedOn w:val="52ZiffermitBetrag"/>
    <w:semiHidden/>
    <w:rsid w:val="00643B44"/>
    <w:pPr>
      <w:tabs>
        <w:tab w:val="clear" w:pos="624"/>
        <w:tab w:val="clear" w:pos="680"/>
        <w:tab w:val="right" w:pos="851"/>
        <w:tab w:val="left" w:pos="907"/>
      </w:tabs>
      <w:ind w:left="907" w:right="1066" w:hanging="907"/>
    </w:pPr>
  </w:style>
  <w:style w:type="paragraph" w:customStyle="1" w:styleId="53aTLiteramitBetragTGUE">
    <w:name w:val="53aT_Litera_mit_Betrag_TGUE"/>
    <w:basedOn w:val="53LiteramitBetrag"/>
    <w:semiHidden/>
    <w:rsid w:val="00643B44"/>
    <w:pPr>
      <w:tabs>
        <w:tab w:val="clear" w:pos="6663"/>
        <w:tab w:val="clear" w:pos="8505"/>
        <w:tab w:val="right" w:leader="dot" w:pos="4678"/>
        <w:tab w:val="right" w:leader="dot" w:pos="6521"/>
      </w:tabs>
    </w:pPr>
  </w:style>
  <w:style w:type="paragraph" w:customStyle="1" w:styleId="54Subliterae1">
    <w:name w:val="54_Sublitera_e1"/>
    <w:basedOn w:val="00LegStandard"/>
    <w:semiHidden/>
    <w:rsid w:val="00643B44"/>
    <w:pPr>
      <w:tabs>
        <w:tab w:val="right" w:pos="624"/>
        <w:tab w:val="left" w:pos="680"/>
      </w:tabs>
      <w:spacing w:before="40"/>
      <w:ind w:left="680" w:hanging="680"/>
    </w:pPr>
  </w:style>
  <w:style w:type="paragraph" w:customStyle="1" w:styleId="54Subliterae2">
    <w:name w:val="54_Sublitera_e2"/>
    <w:basedOn w:val="00LegStandard"/>
    <w:semiHidden/>
    <w:rsid w:val="00643B44"/>
    <w:pPr>
      <w:tabs>
        <w:tab w:val="right" w:pos="851"/>
        <w:tab w:val="left" w:pos="907"/>
      </w:tabs>
      <w:spacing w:before="40"/>
      <w:ind w:left="907" w:hanging="907"/>
    </w:pPr>
  </w:style>
  <w:style w:type="paragraph" w:customStyle="1" w:styleId="54Subliterae3">
    <w:name w:val="54_Sublitera_e3"/>
    <w:basedOn w:val="00LegStandard"/>
    <w:semiHidden/>
    <w:rsid w:val="00643B44"/>
    <w:pPr>
      <w:tabs>
        <w:tab w:val="right" w:pos="1191"/>
        <w:tab w:val="left" w:pos="1247"/>
      </w:tabs>
      <w:spacing w:before="40"/>
      <w:ind w:left="1247" w:hanging="1247"/>
    </w:pPr>
  </w:style>
  <w:style w:type="paragraph" w:customStyle="1" w:styleId="54Subliterae4">
    <w:name w:val="54_Sublitera_e4"/>
    <w:basedOn w:val="00LegStandard"/>
    <w:semiHidden/>
    <w:rsid w:val="00643B44"/>
    <w:pPr>
      <w:tabs>
        <w:tab w:val="right" w:pos="1588"/>
        <w:tab w:val="left" w:pos="1644"/>
      </w:tabs>
      <w:spacing w:before="40"/>
      <w:ind w:left="1644" w:hanging="1644"/>
    </w:pPr>
  </w:style>
  <w:style w:type="paragraph" w:customStyle="1" w:styleId="54Subliterae5">
    <w:name w:val="54_Sublitera_e5"/>
    <w:basedOn w:val="00LegStandard"/>
    <w:semiHidden/>
    <w:rsid w:val="00643B44"/>
    <w:pPr>
      <w:tabs>
        <w:tab w:val="right" w:pos="1928"/>
        <w:tab w:val="left" w:pos="1985"/>
      </w:tabs>
      <w:spacing w:before="40"/>
      <w:ind w:left="1985" w:hanging="1985"/>
    </w:pPr>
  </w:style>
  <w:style w:type="paragraph" w:customStyle="1" w:styleId="54SubliteramitBetrag">
    <w:name w:val="54_Sublitera_mit_Betrag"/>
    <w:basedOn w:val="52ZiffermitBetrag"/>
    <w:semiHidden/>
    <w:rsid w:val="00643B44"/>
    <w:pPr>
      <w:tabs>
        <w:tab w:val="clear" w:pos="624"/>
        <w:tab w:val="clear" w:pos="680"/>
        <w:tab w:val="right" w:pos="1191"/>
        <w:tab w:val="left" w:pos="1247"/>
      </w:tabs>
      <w:ind w:left="1247" w:right="1066" w:hanging="1247"/>
    </w:pPr>
  </w:style>
  <w:style w:type="paragraph" w:customStyle="1" w:styleId="54aStriche1">
    <w:name w:val="54a_Strich_e1"/>
    <w:basedOn w:val="00LegStandard"/>
    <w:semiHidden/>
    <w:rsid w:val="00643B44"/>
    <w:pPr>
      <w:tabs>
        <w:tab w:val="right" w:pos="624"/>
        <w:tab w:val="left" w:pos="680"/>
      </w:tabs>
      <w:spacing w:before="40"/>
      <w:ind w:left="680" w:hanging="680"/>
    </w:pPr>
  </w:style>
  <w:style w:type="paragraph" w:customStyle="1" w:styleId="54aStriche2">
    <w:name w:val="54a_Strich_e2"/>
    <w:basedOn w:val="00LegStandard"/>
    <w:semiHidden/>
    <w:rsid w:val="00643B44"/>
    <w:pPr>
      <w:tabs>
        <w:tab w:val="right" w:pos="851"/>
        <w:tab w:val="left" w:pos="907"/>
      </w:tabs>
      <w:spacing w:before="40"/>
      <w:ind w:left="907" w:hanging="907"/>
    </w:pPr>
  </w:style>
  <w:style w:type="paragraph" w:customStyle="1" w:styleId="54aStriche3">
    <w:name w:val="54a_Strich_e3"/>
    <w:basedOn w:val="00LegStandard"/>
    <w:semiHidden/>
    <w:qFormat/>
    <w:rsid w:val="00643B44"/>
    <w:pPr>
      <w:tabs>
        <w:tab w:val="right" w:pos="1191"/>
        <w:tab w:val="left" w:pos="1247"/>
      </w:tabs>
      <w:spacing w:before="40"/>
      <w:ind w:left="1247" w:hanging="1247"/>
    </w:pPr>
  </w:style>
  <w:style w:type="paragraph" w:customStyle="1" w:styleId="54aStriche4">
    <w:name w:val="54a_Strich_e4"/>
    <w:basedOn w:val="00LegStandard"/>
    <w:semiHidden/>
    <w:rsid w:val="00643B44"/>
    <w:pPr>
      <w:tabs>
        <w:tab w:val="right" w:pos="1588"/>
        <w:tab w:val="left" w:pos="1644"/>
      </w:tabs>
      <w:spacing w:before="40"/>
      <w:ind w:left="1644" w:hanging="1644"/>
    </w:pPr>
  </w:style>
  <w:style w:type="paragraph" w:customStyle="1" w:styleId="54aStriche5">
    <w:name w:val="54a_Strich_e5"/>
    <w:basedOn w:val="00LegStandard"/>
    <w:semiHidden/>
    <w:rsid w:val="00643B44"/>
    <w:pPr>
      <w:tabs>
        <w:tab w:val="right" w:pos="1928"/>
        <w:tab w:val="left" w:pos="1985"/>
      </w:tabs>
      <w:spacing w:before="40"/>
      <w:ind w:left="1985" w:hanging="1985"/>
    </w:pPr>
  </w:style>
  <w:style w:type="paragraph" w:customStyle="1" w:styleId="54aStriche6">
    <w:name w:val="54a_Strich_e6"/>
    <w:basedOn w:val="00LegStandard"/>
    <w:semiHidden/>
    <w:rsid w:val="00643B44"/>
    <w:pPr>
      <w:tabs>
        <w:tab w:val="right" w:pos="2268"/>
        <w:tab w:val="left" w:pos="2325"/>
      </w:tabs>
      <w:spacing w:before="40"/>
      <w:ind w:left="2325" w:hanging="2325"/>
    </w:pPr>
  </w:style>
  <w:style w:type="paragraph" w:customStyle="1" w:styleId="54aStriche7">
    <w:name w:val="54a_Strich_e7"/>
    <w:basedOn w:val="00LegStandard"/>
    <w:semiHidden/>
    <w:rsid w:val="00643B44"/>
    <w:pPr>
      <w:tabs>
        <w:tab w:val="right" w:pos="2608"/>
        <w:tab w:val="left" w:pos="2665"/>
      </w:tabs>
      <w:spacing w:before="40"/>
      <w:ind w:left="2665" w:hanging="2665"/>
    </w:pPr>
  </w:style>
  <w:style w:type="paragraph" w:customStyle="1" w:styleId="54aTSubliteramitBetragTGUE">
    <w:name w:val="54aT_Sublitera_mit_Betrag_TGUE"/>
    <w:basedOn w:val="54SubliteramitBetrag"/>
    <w:semiHidden/>
    <w:rsid w:val="00643B44"/>
    <w:pPr>
      <w:tabs>
        <w:tab w:val="clear" w:pos="6663"/>
        <w:tab w:val="clear" w:pos="8505"/>
        <w:tab w:val="right" w:leader="dot" w:pos="4678"/>
        <w:tab w:val="right" w:leader="dot" w:pos="6521"/>
      </w:tabs>
    </w:pPr>
  </w:style>
  <w:style w:type="paragraph" w:customStyle="1" w:styleId="55SchlussteilAbs">
    <w:name w:val="55_SchlussteilAbs"/>
    <w:basedOn w:val="00LegStandard"/>
    <w:next w:val="51Abs"/>
    <w:semiHidden/>
    <w:rsid w:val="00643B44"/>
    <w:pPr>
      <w:spacing w:before="40"/>
    </w:pPr>
  </w:style>
  <w:style w:type="paragraph" w:customStyle="1" w:styleId="56SchlussteilZiff">
    <w:name w:val="56_SchlussteilZiff"/>
    <w:basedOn w:val="00LegStandard"/>
    <w:next w:val="51Abs"/>
    <w:semiHidden/>
    <w:rsid w:val="00643B44"/>
    <w:pPr>
      <w:spacing w:before="40"/>
      <w:ind w:left="680"/>
    </w:pPr>
  </w:style>
  <w:style w:type="paragraph" w:customStyle="1" w:styleId="57SchlussteilLit">
    <w:name w:val="57_SchlussteilLit"/>
    <w:basedOn w:val="00LegStandard"/>
    <w:next w:val="51Abs"/>
    <w:semiHidden/>
    <w:rsid w:val="00643B44"/>
    <w:pPr>
      <w:spacing w:before="40"/>
      <w:ind w:left="907"/>
    </w:pPr>
  </w:style>
  <w:style w:type="paragraph" w:customStyle="1" w:styleId="61TabText">
    <w:name w:val="61_TabText"/>
    <w:basedOn w:val="00LegStandard"/>
    <w:rsid w:val="00643B44"/>
    <w:pPr>
      <w:jc w:val="left"/>
    </w:pPr>
  </w:style>
  <w:style w:type="paragraph" w:customStyle="1" w:styleId="61aTabTextRechtsb">
    <w:name w:val="61a_TabTextRechtsb"/>
    <w:basedOn w:val="61TabText"/>
    <w:rsid w:val="00643B44"/>
    <w:pPr>
      <w:jc w:val="right"/>
    </w:pPr>
  </w:style>
  <w:style w:type="paragraph" w:customStyle="1" w:styleId="61bTabTextZentriert">
    <w:name w:val="61b_TabTextZentriert"/>
    <w:basedOn w:val="61TabText"/>
    <w:rsid w:val="00643B44"/>
    <w:pPr>
      <w:jc w:val="center"/>
    </w:pPr>
  </w:style>
  <w:style w:type="paragraph" w:customStyle="1" w:styleId="61cTabTextBlock">
    <w:name w:val="61c_TabTextBlock"/>
    <w:basedOn w:val="61TabText"/>
    <w:rsid w:val="00643B44"/>
    <w:pPr>
      <w:jc w:val="both"/>
    </w:pPr>
  </w:style>
  <w:style w:type="paragraph" w:customStyle="1" w:styleId="62Kopfzeile">
    <w:name w:val="62_Kopfzeile"/>
    <w:basedOn w:val="51Abs"/>
    <w:rsid w:val="00643B44"/>
    <w:pPr>
      <w:tabs>
        <w:tab w:val="center" w:pos="4253"/>
        <w:tab w:val="right" w:pos="8505"/>
      </w:tabs>
      <w:ind w:firstLine="0"/>
    </w:pPr>
  </w:style>
  <w:style w:type="paragraph" w:customStyle="1" w:styleId="65FNText">
    <w:name w:val="65_FN_Text"/>
    <w:basedOn w:val="00LegStandard"/>
    <w:rsid w:val="00643B44"/>
    <w:rPr>
      <w:sz w:val="18"/>
    </w:rPr>
  </w:style>
  <w:style w:type="paragraph" w:customStyle="1" w:styleId="63Fuzeile">
    <w:name w:val="63_Fußzeile"/>
    <w:basedOn w:val="65FNText"/>
    <w:rsid w:val="00643B44"/>
    <w:pPr>
      <w:tabs>
        <w:tab w:val="center" w:pos="4253"/>
        <w:tab w:val="right" w:pos="8505"/>
      </w:tabs>
    </w:pPr>
  </w:style>
  <w:style w:type="character" w:customStyle="1" w:styleId="66FNZeichen">
    <w:name w:val="66_FN_Zeichen"/>
    <w:rsid w:val="00643B44"/>
    <w:rPr>
      <w:sz w:val="20"/>
      <w:szCs w:val="20"/>
      <w:vertAlign w:val="superscript"/>
    </w:rPr>
  </w:style>
  <w:style w:type="paragraph" w:customStyle="1" w:styleId="68UnterschrL">
    <w:name w:val="68_UnterschrL"/>
    <w:basedOn w:val="00LegStandard"/>
    <w:rsid w:val="00643B44"/>
    <w:pPr>
      <w:spacing w:before="160"/>
      <w:jc w:val="left"/>
    </w:pPr>
    <w:rPr>
      <w:b/>
    </w:rPr>
  </w:style>
  <w:style w:type="paragraph" w:customStyle="1" w:styleId="69UnterschrM">
    <w:name w:val="69_UnterschrM"/>
    <w:basedOn w:val="68UnterschrL"/>
    <w:rsid w:val="00643B44"/>
    <w:pPr>
      <w:jc w:val="center"/>
    </w:pPr>
  </w:style>
  <w:style w:type="paragraph" w:customStyle="1" w:styleId="71Anlagenbez">
    <w:name w:val="71_Anlagenbez"/>
    <w:basedOn w:val="00LegStandard"/>
    <w:rsid w:val="00643B44"/>
    <w:pPr>
      <w:spacing w:before="160"/>
      <w:jc w:val="right"/>
      <w:outlineLvl w:val="0"/>
    </w:pPr>
    <w:rPr>
      <w:b/>
      <w:sz w:val="22"/>
    </w:rPr>
  </w:style>
  <w:style w:type="paragraph" w:customStyle="1" w:styleId="81ErlUeberschrZ">
    <w:name w:val="81_ErlUeberschrZ"/>
    <w:basedOn w:val="00LegStandard"/>
    <w:next w:val="83ErlText"/>
    <w:rsid w:val="00643B44"/>
    <w:pPr>
      <w:keepNext/>
      <w:spacing w:before="320"/>
      <w:jc w:val="center"/>
      <w:outlineLvl w:val="0"/>
    </w:pPr>
    <w:rPr>
      <w:b/>
      <w:sz w:val="22"/>
    </w:rPr>
  </w:style>
  <w:style w:type="paragraph" w:customStyle="1" w:styleId="82ErlUeberschrL">
    <w:name w:val="82_ErlUeberschrL"/>
    <w:basedOn w:val="00LegStandard"/>
    <w:next w:val="83ErlText"/>
    <w:rsid w:val="00643B44"/>
    <w:pPr>
      <w:keepNext/>
      <w:spacing w:before="80"/>
      <w:outlineLvl w:val="1"/>
    </w:pPr>
    <w:rPr>
      <w:b/>
    </w:rPr>
  </w:style>
  <w:style w:type="paragraph" w:customStyle="1" w:styleId="83ErlText">
    <w:name w:val="83_ErlText"/>
    <w:basedOn w:val="00LegStandard"/>
    <w:rsid w:val="00643B44"/>
    <w:pPr>
      <w:spacing w:before="80"/>
    </w:pPr>
  </w:style>
  <w:style w:type="paragraph" w:customStyle="1" w:styleId="85ErlAufzaehlg">
    <w:name w:val="85_ErlAufzaehlg"/>
    <w:basedOn w:val="83ErlText"/>
    <w:rsid w:val="00643B44"/>
    <w:pPr>
      <w:tabs>
        <w:tab w:val="left" w:pos="397"/>
      </w:tabs>
      <w:ind w:left="397" w:hanging="397"/>
    </w:pPr>
  </w:style>
  <w:style w:type="paragraph" w:customStyle="1" w:styleId="89TGUEUeberschrSpalte">
    <w:name w:val="89_TGUE_UeberschrSpalte"/>
    <w:basedOn w:val="00LegStandard"/>
    <w:rsid w:val="00643B44"/>
    <w:pPr>
      <w:keepNext/>
      <w:spacing w:before="80"/>
      <w:jc w:val="center"/>
    </w:pPr>
    <w:rPr>
      <w:b/>
    </w:rPr>
  </w:style>
  <w:style w:type="character" w:customStyle="1" w:styleId="990Fehler">
    <w:name w:val="990_Fehler"/>
    <w:basedOn w:val="DefaultParagraphFont"/>
    <w:semiHidden/>
    <w:locked/>
    <w:rsid w:val="00643B44"/>
    <w:rPr>
      <w:color w:val="FF0000"/>
    </w:rPr>
  </w:style>
  <w:style w:type="character" w:customStyle="1" w:styleId="991GldSymbol">
    <w:name w:val="991_GldSymbol"/>
    <w:rsid w:val="00643B44"/>
    <w:rPr>
      <w:b/>
      <w:color w:val="000000"/>
    </w:rPr>
  </w:style>
  <w:style w:type="character" w:customStyle="1" w:styleId="992Normal">
    <w:name w:val="992_Normal"/>
    <w:rsid w:val="00643B44"/>
    <w:rPr>
      <w:dstrike w:val="0"/>
      <w:vertAlign w:val="baseline"/>
    </w:rPr>
  </w:style>
  <w:style w:type="character" w:customStyle="1" w:styleId="992bNormalundFett">
    <w:name w:val="992b_Normal_und_Fett"/>
    <w:basedOn w:val="992Normal"/>
    <w:rsid w:val="00643B44"/>
    <w:rPr>
      <w:b/>
      <w:dstrike w:val="0"/>
      <w:vertAlign w:val="baseline"/>
    </w:rPr>
  </w:style>
  <w:style w:type="character" w:customStyle="1" w:styleId="993Fett">
    <w:name w:val="993_Fett"/>
    <w:rsid w:val="00643B44"/>
    <w:rPr>
      <w:b/>
    </w:rPr>
  </w:style>
  <w:style w:type="character" w:customStyle="1" w:styleId="994Kursiv">
    <w:name w:val="994_Kursiv"/>
    <w:rsid w:val="00643B44"/>
    <w:rPr>
      <w:i/>
    </w:rPr>
  </w:style>
  <w:style w:type="character" w:customStyle="1" w:styleId="995Unterstrichen">
    <w:name w:val="995_Unterstrichen"/>
    <w:rsid w:val="00643B44"/>
    <w:rPr>
      <w:u w:val="single"/>
    </w:rPr>
  </w:style>
  <w:style w:type="character" w:customStyle="1" w:styleId="996Gesperrt">
    <w:name w:val="996_Gesperrt"/>
    <w:rsid w:val="00643B44"/>
    <w:rPr>
      <w:spacing w:val="26"/>
    </w:rPr>
  </w:style>
  <w:style w:type="character" w:customStyle="1" w:styleId="997Hoch">
    <w:name w:val="997_Hoch"/>
    <w:rsid w:val="00643B44"/>
    <w:rPr>
      <w:vertAlign w:val="superscript"/>
    </w:rPr>
  </w:style>
  <w:style w:type="character" w:customStyle="1" w:styleId="998Tief">
    <w:name w:val="998_Tief"/>
    <w:rsid w:val="00643B44"/>
    <w:rPr>
      <w:vertAlign w:val="subscript"/>
    </w:rPr>
  </w:style>
  <w:style w:type="character" w:customStyle="1" w:styleId="999FettundKursiv">
    <w:name w:val="999_Fett_und_Kursiv"/>
    <w:basedOn w:val="DefaultParagraphFont"/>
    <w:rsid w:val="00643B44"/>
    <w:rPr>
      <w:b/>
      <w:i/>
    </w:rPr>
  </w:style>
  <w:style w:type="character" w:styleId="CommentReference">
    <w:name w:val="annotation reference"/>
    <w:basedOn w:val="DefaultParagraphFont"/>
    <w:semiHidden/>
    <w:locked/>
    <w:rsid w:val="00643B44"/>
    <w:rPr>
      <w:color w:val="FF0000"/>
      <w:sz w:val="16"/>
      <w:szCs w:val="16"/>
    </w:rPr>
  </w:style>
  <w:style w:type="paragraph" w:customStyle="1" w:styleId="PDAntragsformel">
    <w:name w:val="PD_Antragsformel"/>
    <w:basedOn w:val="Normal"/>
    <w:rsid w:val="00643B44"/>
    <w:pPr>
      <w:spacing w:before="280" w:line="220" w:lineRule="exact"/>
      <w:jc w:val="both"/>
    </w:pPr>
    <w:rPr>
      <w:rFonts w:eastAsia="Times New Roman"/>
      <w:lang w:eastAsia="en-US"/>
    </w:rPr>
  </w:style>
  <w:style w:type="paragraph" w:customStyle="1" w:styleId="PDAllonge">
    <w:name w:val="PD_Allonge"/>
    <w:basedOn w:val="PDAntragsformel"/>
    <w:rsid w:val="00643B44"/>
    <w:pPr>
      <w:spacing w:after="200" w:line="240" w:lineRule="auto"/>
      <w:jc w:val="center"/>
    </w:pPr>
    <w:rPr>
      <w:sz w:val="28"/>
    </w:rPr>
  </w:style>
  <w:style w:type="paragraph" w:customStyle="1" w:styleId="PDAllongeB">
    <w:name w:val="PD_Allonge_B"/>
    <w:basedOn w:val="PDAllonge"/>
    <w:rsid w:val="00643B44"/>
    <w:pPr>
      <w:jc w:val="both"/>
    </w:pPr>
  </w:style>
  <w:style w:type="paragraph" w:customStyle="1" w:styleId="PDAllongeL">
    <w:name w:val="PD_Allonge_L"/>
    <w:basedOn w:val="PDAllonge"/>
    <w:rsid w:val="00643B44"/>
    <w:pPr>
      <w:jc w:val="left"/>
    </w:pPr>
  </w:style>
  <w:style w:type="paragraph" w:customStyle="1" w:styleId="PDBrief">
    <w:name w:val="PD_Brief"/>
    <w:basedOn w:val="00LegStandard"/>
    <w:rsid w:val="00643B44"/>
    <w:pPr>
      <w:spacing w:before="80" w:line="240" w:lineRule="auto"/>
    </w:pPr>
    <w:rPr>
      <w:sz w:val="22"/>
    </w:rPr>
  </w:style>
  <w:style w:type="paragraph" w:customStyle="1" w:styleId="PDDatum">
    <w:name w:val="PD_Datum"/>
    <w:basedOn w:val="PDAntragsformel"/>
    <w:next w:val="Normal"/>
    <w:rsid w:val="00643B44"/>
  </w:style>
  <w:style w:type="paragraph" w:customStyle="1" w:styleId="PDEntschliessung">
    <w:name w:val="PD_Entschliessung"/>
    <w:basedOn w:val="00LegStandard"/>
    <w:rsid w:val="00643B44"/>
    <w:pPr>
      <w:spacing w:before="160"/>
    </w:pPr>
    <w:rPr>
      <w:b/>
      <w:snapToGrid/>
      <w:sz w:val="22"/>
      <w:lang w:eastAsia="en-US"/>
    </w:rPr>
  </w:style>
  <w:style w:type="paragraph" w:customStyle="1" w:styleId="PDK1">
    <w:name w:val="PD_K1"/>
    <w:next w:val="PDK1Ausg"/>
    <w:rsid w:val="00643B44"/>
    <w:pPr>
      <w:pBdr>
        <w:bottom w:val="single" w:sz="12" w:space="1" w:color="auto"/>
      </w:pBdr>
      <w:spacing w:after="0" w:line="240" w:lineRule="auto"/>
      <w:jc w:val="center"/>
    </w:pPr>
    <w:rPr>
      <w:rFonts w:ascii="Times New Roman" w:eastAsia="Times New Roman" w:hAnsi="Times New Roman" w:cs="Times New Roman"/>
      <w:b/>
      <w:noProof/>
      <w:color w:val="000000" w:themeColor="text1"/>
      <w:spacing w:val="-8"/>
      <w:sz w:val="24"/>
      <w:szCs w:val="20"/>
    </w:rPr>
  </w:style>
  <w:style w:type="paragraph" w:customStyle="1" w:styleId="PDK1Anlage">
    <w:name w:val="PD_K1Anlage"/>
    <w:basedOn w:val="PDK1"/>
    <w:next w:val="PDK1Ausg"/>
    <w:rsid w:val="00643B44"/>
    <w:pPr>
      <w:pBdr>
        <w:bottom w:val="none" w:sz="0" w:space="0" w:color="auto"/>
      </w:pBdr>
      <w:jc w:val="right"/>
    </w:pPr>
  </w:style>
  <w:style w:type="paragraph" w:customStyle="1" w:styleId="PDK1Ausg">
    <w:name w:val="PD_K1Ausg"/>
    <w:next w:val="Normal"/>
    <w:rsid w:val="00643B44"/>
    <w:pPr>
      <w:spacing w:before="1285" w:after="540" w:line="240" w:lineRule="auto"/>
    </w:pPr>
    <w:rPr>
      <w:rFonts w:ascii="Times New Roman" w:eastAsia="Times New Roman" w:hAnsi="Times New Roman" w:cs="Times New Roman"/>
      <w:b/>
      <w:noProof/>
      <w:color w:val="000000" w:themeColor="text1"/>
      <w:sz w:val="22"/>
      <w:szCs w:val="20"/>
    </w:rPr>
  </w:style>
  <w:style w:type="paragraph" w:customStyle="1" w:styleId="PDK2">
    <w:name w:val="PD_K2"/>
    <w:basedOn w:val="PDK1"/>
    <w:next w:val="Normal"/>
    <w:rsid w:val="00643B44"/>
    <w:pPr>
      <w:pBdr>
        <w:bottom w:val="none" w:sz="0" w:space="0" w:color="auto"/>
      </w:pBdr>
      <w:spacing w:after="227"/>
      <w:jc w:val="left"/>
    </w:pPr>
    <w:rPr>
      <w:spacing w:val="0"/>
      <w:sz w:val="44"/>
    </w:rPr>
  </w:style>
  <w:style w:type="paragraph" w:customStyle="1" w:styleId="PDK3">
    <w:name w:val="PD_K3"/>
    <w:basedOn w:val="PDK2"/>
    <w:next w:val="PDVorlage"/>
    <w:rsid w:val="00643B44"/>
    <w:pPr>
      <w:spacing w:after="400"/>
    </w:pPr>
    <w:rPr>
      <w:sz w:val="36"/>
    </w:rPr>
  </w:style>
  <w:style w:type="paragraph" w:customStyle="1" w:styleId="PDK4">
    <w:name w:val="PD_K4"/>
    <w:basedOn w:val="PDK3"/>
    <w:rsid w:val="00643B44"/>
    <w:pPr>
      <w:spacing w:after="120"/>
    </w:pPr>
    <w:rPr>
      <w:sz w:val="26"/>
    </w:rPr>
  </w:style>
  <w:style w:type="paragraph" w:customStyle="1" w:styleId="PDKopfzeile">
    <w:name w:val="PD_Kopfzeile"/>
    <w:basedOn w:val="51Abs"/>
    <w:rsid w:val="00643B44"/>
    <w:pPr>
      <w:tabs>
        <w:tab w:val="center" w:pos="4253"/>
        <w:tab w:val="right" w:pos="8505"/>
      </w:tabs>
    </w:pPr>
    <w:rPr>
      <w:snapToGrid/>
    </w:rPr>
  </w:style>
  <w:style w:type="paragraph" w:customStyle="1" w:styleId="PDU1">
    <w:name w:val="PD_U1"/>
    <w:basedOn w:val="00LegStandard"/>
    <w:next w:val="Normal"/>
    <w:rsid w:val="00643B44"/>
    <w:pPr>
      <w:tabs>
        <w:tab w:val="center" w:pos="2126"/>
        <w:tab w:val="center" w:pos="6379"/>
      </w:tabs>
      <w:spacing w:before="440"/>
    </w:pPr>
    <w:rPr>
      <w:b/>
    </w:rPr>
  </w:style>
  <w:style w:type="paragraph" w:customStyle="1" w:styleId="PDU2">
    <w:name w:val="PD_U2"/>
    <w:basedOn w:val="PDU1"/>
    <w:rsid w:val="00643B44"/>
    <w:pPr>
      <w:spacing w:before="100"/>
    </w:pPr>
    <w:rPr>
      <w:b w:val="0"/>
      <w:sz w:val="18"/>
    </w:rPr>
  </w:style>
  <w:style w:type="paragraph" w:customStyle="1" w:styleId="PDU3">
    <w:name w:val="PD_U3"/>
    <w:basedOn w:val="PDU2"/>
    <w:rsid w:val="00643B44"/>
    <w:pPr>
      <w:tabs>
        <w:tab w:val="clear" w:pos="2126"/>
        <w:tab w:val="clear" w:pos="6379"/>
        <w:tab w:val="center" w:pos="4536"/>
      </w:tabs>
      <w:jc w:val="center"/>
    </w:pPr>
  </w:style>
  <w:style w:type="paragraph" w:customStyle="1" w:styleId="PDVorlage">
    <w:name w:val="PD_Vorlage"/>
    <w:basedOn w:val="11Titel"/>
    <w:next w:val="Normal"/>
    <w:rsid w:val="00643B44"/>
    <w:pPr>
      <w:spacing w:before="0" w:after="360"/>
    </w:pPr>
    <w:rPr>
      <w:lang w:eastAsia="en-US"/>
    </w:rPr>
  </w:style>
  <w:style w:type="paragraph" w:customStyle="1" w:styleId="62KopfzeileQuer">
    <w:name w:val="62_KopfzeileQuer"/>
    <w:basedOn w:val="51Abs"/>
    <w:rsid w:val="00643B44"/>
    <w:pPr>
      <w:tabs>
        <w:tab w:val="center" w:pos="6719"/>
        <w:tab w:val="right" w:pos="13438"/>
      </w:tabs>
      <w:ind w:firstLine="0"/>
    </w:pPr>
  </w:style>
  <w:style w:type="paragraph" w:customStyle="1" w:styleId="63FuzeileQuer">
    <w:name w:val="63_FußzeileQuer"/>
    <w:basedOn w:val="65FNText"/>
    <w:rsid w:val="00643B44"/>
    <w:pPr>
      <w:tabs>
        <w:tab w:val="center" w:pos="6719"/>
        <w:tab w:val="right" w:pos="13438"/>
      </w:tabs>
    </w:pPr>
  </w:style>
  <w:style w:type="paragraph" w:customStyle="1" w:styleId="57Schlussteile1">
    <w:name w:val="57_Schlussteil_e1"/>
    <w:basedOn w:val="00LegStandard"/>
    <w:next w:val="51Abs"/>
    <w:rsid w:val="00643B44"/>
    <w:pPr>
      <w:spacing w:before="40"/>
      <w:ind w:left="454"/>
    </w:pPr>
  </w:style>
  <w:style w:type="paragraph" w:customStyle="1" w:styleId="57Schlussteile4">
    <w:name w:val="57_Schlussteil_e4"/>
    <w:basedOn w:val="00LegStandard"/>
    <w:next w:val="51Abs"/>
    <w:semiHidden/>
    <w:rsid w:val="00643B44"/>
    <w:pPr>
      <w:spacing w:before="40"/>
      <w:ind w:left="1247"/>
    </w:pPr>
    <w:rPr>
      <w:snapToGrid/>
    </w:rPr>
  </w:style>
  <w:style w:type="paragraph" w:customStyle="1" w:styleId="57Schlussteile5">
    <w:name w:val="57_Schlussteil_e5"/>
    <w:basedOn w:val="00LegStandard"/>
    <w:next w:val="51Abs"/>
    <w:semiHidden/>
    <w:rsid w:val="00643B44"/>
    <w:pPr>
      <w:spacing w:before="40"/>
      <w:ind w:left="1644"/>
    </w:pPr>
    <w:rPr>
      <w:snapToGrid/>
    </w:rPr>
  </w:style>
  <w:style w:type="paragraph" w:customStyle="1" w:styleId="32InhaltEintragEinzug">
    <w:name w:val="32_InhaltEintragEinzug"/>
    <w:basedOn w:val="32InhaltEintrag"/>
    <w:rsid w:val="00643B44"/>
    <w:pPr>
      <w:tabs>
        <w:tab w:val="right" w:pos="1021"/>
        <w:tab w:val="left" w:pos="1191"/>
      </w:tabs>
      <w:ind w:left="1191" w:hanging="1191"/>
    </w:pPr>
  </w:style>
  <w:style w:type="paragraph" w:customStyle="1" w:styleId="52Aufzaehle1Ziffer">
    <w:name w:val="52_Aufzaehl_e1_Ziffer"/>
    <w:basedOn w:val="00LegStandard"/>
    <w:qFormat/>
    <w:rsid w:val="00643B44"/>
    <w:pPr>
      <w:tabs>
        <w:tab w:val="right" w:pos="624"/>
        <w:tab w:val="left" w:pos="680"/>
      </w:tabs>
      <w:spacing w:before="40"/>
      <w:ind w:left="680" w:hanging="680"/>
    </w:pPr>
    <w:rPr>
      <w:lang w:eastAsia="de-AT"/>
    </w:rPr>
  </w:style>
  <w:style w:type="paragraph" w:customStyle="1" w:styleId="52Aufzaehle1ZiffermitBetrag">
    <w:name w:val="52_Aufzaehl_e1_Ziffer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680" w:right="1066" w:hanging="680"/>
      <w:textAlignment w:val="baseline"/>
    </w:pPr>
    <w:rPr>
      <w:lang w:eastAsia="de-AT"/>
    </w:rPr>
  </w:style>
  <w:style w:type="paragraph" w:customStyle="1" w:styleId="52Aufzaehle1ZiffermitBetragTGUE">
    <w:name w:val="52_Aufzaehl_e1_Ziffer_mit_Betrag_TGUE"/>
    <w:basedOn w:val="52Aufzaehle1ZiffermitBetrag"/>
    <w:rsid w:val="00643B44"/>
    <w:pPr>
      <w:tabs>
        <w:tab w:val="clear" w:pos="6663"/>
        <w:tab w:val="clear" w:pos="8505"/>
        <w:tab w:val="right" w:leader="dot" w:pos="4678"/>
        <w:tab w:val="right" w:leader="dot" w:pos="6521"/>
      </w:tabs>
    </w:pPr>
  </w:style>
  <w:style w:type="paragraph" w:customStyle="1" w:styleId="52Aufzaehle2Lit">
    <w:name w:val="52_Aufzaehl_e2_Lit"/>
    <w:basedOn w:val="00LegStandard"/>
    <w:rsid w:val="00643B44"/>
    <w:pPr>
      <w:tabs>
        <w:tab w:val="right" w:pos="851"/>
        <w:tab w:val="left" w:pos="907"/>
      </w:tabs>
      <w:spacing w:before="40"/>
      <w:ind w:left="907" w:hanging="907"/>
    </w:pPr>
    <w:rPr>
      <w:lang w:eastAsia="de-AT"/>
    </w:rPr>
  </w:style>
  <w:style w:type="paragraph" w:customStyle="1" w:styleId="52Aufzaehle2LitmitBetrag">
    <w:name w:val="52_Aufzaehl_e2_Lit_mit_Betrag"/>
    <w:basedOn w:val="52Aufzaehle1ZiffermitBetrag"/>
    <w:rsid w:val="00643B44"/>
    <w:pPr>
      <w:tabs>
        <w:tab w:val="clear" w:pos="624"/>
        <w:tab w:val="clear" w:pos="680"/>
        <w:tab w:val="right" w:pos="851"/>
        <w:tab w:val="left" w:pos="907"/>
      </w:tabs>
      <w:ind w:left="907" w:hanging="907"/>
    </w:pPr>
  </w:style>
  <w:style w:type="paragraph" w:customStyle="1" w:styleId="52Aufzaehle2LitmitBetragTGUE">
    <w:name w:val="52_Aufzaehl_e2_Lit_mit_Betrag_TGUE"/>
    <w:basedOn w:val="52Aufzaehle2LitmitBetrag"/>
    <w:rsid w:val="00643B44"/>
    <w:pPr>
      <w:tabs>
        <w:tab w:val="clear" w:pos="6663"/>
        <w:tab w:val="clear" w:pos="8505"/>
        <w:tab w:val="right" w:leader="dot" w:pos="4678"/>
        <w:tab w:val="right" w:leader="dot" w:pos="6521"/>
      </w:tabs>
    </w:pPr>
  </w:style>
  <w:style w:type="paragraph" w:customStyle="1" w:styleId="52Aufzaehle3Sublit">
    <w:name w:val="52_Aufzaehl_e3_Sublit"/>
    <w:basedOn w:val="00LegStandard"/>
    <w:rsid w:val="00643B44"/>
    <w:pPr>
      <w:tabs>
        <w:tab w:val="right" w:pos="1191"/>
        <w:tab w:val="left" w:pos="1247"/>
      </w:tabs>
      <w:spacing w:before="40"/>
      <w:ind w:left="1247" w:hanging="1247"/>
    </w:pPr>
    <w:rPr>
      <w:lang w:eastAsia="de-AT"/>
    </w:rPr>
  </w:style>
  <w:style w:type="paragraph" w:customStyle="1" w:styleId="52Aufzaehle3SublitmitBetrag">
    <w:name w:val="52_Aufzaehl_e3_Sublit_mit_Betrag"/>
    <w:basedOn w:val="52Aufzaehle1ZiffermitBetrag"/>
    <w:rsid w:val="00643B44"/>
    <w:pPr>
      <w:tabs>
        <w:tab w:val="clear" w:pos="624"/>
        <w:tab w:val="clear" w:pos="680"/>
        <w:tab w:val="right" w:pos="1191"/>
        <w:tab w:val="left" w:pos="1247"/>
      </w:tabs>
      <w:ind w:left="1247" w:hanging="1247"/>
    </w:pPr>
  </w:style>
  <w:style w:type="paragraph" w:customStyle="1" w:styleId="52Aufzaehle3SublitmitBetragTGUE">
    <w:name w:val="52_Aufzaehl_e3_Sublit_mit_Betrag_TGUE"/>
    <w:basedOn w:val="52Aufzaehle3SublitmitBetrag"/>
    <w:rsid w:val="00643B44"/>
    <w:pPr>
      <w:tabs>
        <w:tab w:val="clear" w:pos="6663"/>
        <w:tab w:val="clear" w:pos="8505"/>
        <w:tab w:val="right" w:leader="dot" w:pos="4678"/>
        <w:tab w:val="right" w:leader="dot" w:pos="6521"/>
      </w:tabs>
    </w:pPr>
  </w:style>
  <w:style w:type="paragraph" w:customStyle="1" w:styleId="52Aufzaehle4Strich">
    <w:name w:val="52_Aufzaehl_e4_Strich"/>
    <w:basedOn w:val="00LegStandard"/>
    <w:rsid w:val="00643B44"/>
    <w:pPr>
      <w:tabs>
        <w:tab w:val="right" w:pos="1588"/>
        <w:tab w:val="left" w:pos="1644"/>
      </w:tabs>
      <w:spacing w:before="40"/>
      <w:ind w:left="1644" w:hanging="1644"/>
    </w:pPr>
    <w:rPr>
      <w:lang w:eastAsia="de-AT"/>
    </w:rPr>
  </w:style>
  <w:style w:type="paragraph" w:customStyle="1" w:styleId="52Aufzaehle4StrichmitBetrag">
    <w:name w:val="52_Aufzaehl_e4_Strich_mit_Betrag"/>
    <w:basedOn w:val="52Aufzaehle1ZiffermitBetrag"/>
    <w:rsid w:val="00643B44"/>
    <w:pPr>
      <w:tabs>
        <w:tab w:val="clear" w:pos="624"/>
        <w:tab w:val="clear" w:pos="680"/>
        <w:tab w:val="right" w:pos="1588"/>
        <w:tab w:val="left" w:pos="1644"/>
      </w:tabs>
      <w:ind w:left="1644" w:hanging="1644"/>
    </w:pPr>
  </w:style>
  <w:style w:type="paragraph" w:customStyle="1" w:styleId="52Aufzaehle4StrichmitBetragTGUE">
    <w:name w:val="52_Aufzaehl_e4_Strich_mit_Betrag_TGUE"/>
    <w:basedOn w:val="52Aufzaehle4StrichmitBetrag"/>
    <w:rsid w:val="00643B44"/>
    <w:pPr>
      <w:tabs>
        <w:tab w:val="clear" w:pos="6663"/>
        <w:tab w:val="clear" w:pos="8505"/>
        <w:tab w:val="right" w:leader="dot" w:pos="4678"/>
        <w:tab w:val="right" w:leader="dot" w:pos="6521"/>
      </w:tabs>
    </w:pPr>
  </w:style>
  <w:style w:type="paragraph" w:customStyle="1" w:styleId="52Aufzaehle5Strich">
    <w:name w:val="52_Aufzaehl_e5_Strich"/>
    <w:basedOn w:val="00LegStandard"/>
    <w:rsid w:val="00643B44"/>
    <w:pPr>
      <w:tabs>
        <w:tab w:val="right" w:pos="1928"/>
        <w:tab w:val="left" w:pos="1985"/>
      </w:tabs>
      <w:spacing w:before="40"/>
      <w:ind w:left="1985" w:hanging="1985"/>
    </w:pPr>
    <w:rPr>
      <w:lang w:eastAsia="de-AT"/>
    </w:rPr>
  </w:style>
  <w:style w:type="paragraph" w:customStyle="1" w:styleId="52Aufzaehle6Strich">
    <w:name w:val="52_Aufzaehl_e6_Strich"/>
    <w:basedOn w:val="00LegStandard"/>
    <w:rsid w:val="00643B44"/>
    <w:pPr>
      <w:tabs>
        <w:tab w:val="right" w:pos="2268"/>
        <w:tab w:val="left" w:pos="2325"/>
      </w:tabs>
      <w:spacing w:before="40"/>
      <w:ind w:left="2325" w:hanging="2325"/>
    </w:pPr>
    <w:rPr>
      <w:lang w:eastAsia="de-AT"/>
    </w:rPr>
  </w:style>
  <w:style w:type="paragraph" w:customStyle="1" w:styleId="52Aufzaehle7Strich">
    <w:name w:val="52_Aufzaehl_e7_Strich"/>
    <w:basedOn w:val="00LegStandard"/>
    <w:rsid w:val="00643B44"/>
    <w:pPr>
      <w:tabs>
        <w:tab w:val="right" w:pos="2608"/>
        <w:tab w:val="left" w:pos="2665"/>
      </w:tabs>
      <w:spacing w:before="40"/>
      <w:ind w:left="2665" w:hanging="2665"/>
    </w:pPr>
    <w:rPr>
      <w:lang w:eastAsia="de-AT"/>
    </w:rPr>
  </w:style>
  <w:style w:type="paragraph" w:customStyle="1" w:styleId="58Schlussteile0Abs">
    <w:name w:val="58_Schlussteil_e0_Abs"/>
    <w:basedOn w:val="00LegStandard"/>
    <w:next w:val="51Abs"/>
    <w:rsid w:val="00643B44"/>
    <w:pPr>
      <w:spacing w:before="40"/>
    </w:pPr>
    <w:rPr>
      <w:lang w:eastAsia="de-AT"/>
    </w:rPr>
  </w:style>
  <w:style w:type="paragraph" w:customStyle="1" w:styleId="58Schlussteile05">
    <w:name w:val="58_Schlussteil_e0.5"/>
    <w:basedOn w:val="00LegStandard"/>
    <w:next w:val="51Abs"/>
    <w:rsid w:val="00643B44"/>
    <w:pPr>
      <w:spacing w:before="40"/>
      <w:ind w:left="454"/>
    </w:pPr>
  </w:style>
  <w:style w:type="paragraph" w:customStyle="1" w:styleId="58Schlussteile05mitBetrag">
    <w:name w:val="58_Schlussteil_e0.5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454" w:right="1066"/>
      <w:textAlignment w:val="baseline"/>
    </w:pPr>
    <w:rPr>
      <w:lang w:eastAsia="de-AT"/>
    </w:rPr>
  </w:style>
  <w:style w:type="paragraph" w:customStyle="1" w:styleId="58Schlussteile05mitBetragTGUE">
    <w:name w:val="58_Schlussteil_e0.5_mit_Betrag_TGUE"/>
    <w:basedOn w:val="58Schlussteile05mitBetrag"/>
    <w:rsid w:val="00643B44"/>
    <w:pPr>
      <w:tabs>
        <w:tab w:val="clear" w:pos="6663"/>
        <w:tab w:val="clear" w:pos="8505"/>
        <w:tab w:val="right" w:leader="dot" w:pos="4678"/>
        <w:tab w:val="right" w:leader="dot" w:pos="6521"/>
      </w:tabs>
    </w:pPr>
  </w:style>
  <w:style w:type="paragraph" w:customStyle="1" w:styleId="58Schlussteile0AbsmitBetrag">
    <w:name w:val="58_Schlussteil_e0_Abs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right="1066"/>
      <w:textAlignment w:val="baseline"/>
    </w:pPr>
    <w:rPr>
      <w:lang w:eastAsia="de-AT"/>
    </w:rPr>
  </w:style>
  <w:style w:type="paragraph" w:customStyle="1" w:styleId="58Schlussteile0AbsmitBetragTGUE">
    <w:name w:val="58_Schlussteil_e0_Abs_mit_Betrag_TGUE"/>
    <w:basedOn w:val="58Schlussteile0AbsmitBetrag"/>
    <w:rsid w:val="00643B44"/>
    <w:pPr>
      <w:tabs>
        <w:tab w:val="clear" w:pos="6663"/>
        <w:tab w:val="clear" w:pos="8505"/>
        <w:tab w:val="right" w:leader="dot" w:pos="4678"/>
        <w:tab w:val="right" w:leader="dot" w:pos="6521"/>
      </w:tabs>
    </w:pPr>
  </w:style>
  <w:style w:type="paragraph" w:customStyle="1" w:styleId="58Schlussteile1Ziffer">
    <w:name w:val="58_Schlussteil_e1_Ziffer"/>
    <w:basedOn w:val="00LegStandard"/>
    <w:next w:val="51Abs"/>
    <w:rsid w:val="00643B44"/>
    <w:pPr>
      <w:spacing w:before="40"/>
      <w:ind w:left="680"/>
    </w:pPr>
    <w:rPr>
      <w:lang w:eastAsia="de-AT"/>
    </w:rPr>
  </w:style>
  <w:style w:type="paragraph" w:customStyle="1" w:styleId="58Schlussteile1ZiffermitBetrag">
    <w:name w:val="58_Schlussteil_e1_Ziffer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680" w:right="1066"/>
      <w:textAlignment w:val="baseline"/>
    </w:pPr>
    <w:rPr>
      <w:lang w:eastAsia="de-AT"/>
    </w:rPr>
  </w:style>
  <w:style w:type="paragraph" w:customStyle="1" w:styleId="58Schlussteile1ZiffermitBetragTGUE">
    <w:name w:val="58_Schlussteil_e1_Ziffer_mit_Betrag_TGUE"/>
    <w:basedOn w:val="58Schlussteile1ZiffermitBetrag"/>
    <w:rsid w:val="00643B44"/>
    <w:pPr>
      <w:tabs>
        <w:tab w:val="clear" w:pos="6663"/>
        <w:tab w:val="clear" w:pos="8505"/>
        <w:tab w:val="right" w:leader="dot" w:pos="4678"/>
        <w:tab w:val="right" w:leader="dot" w:pos="6521"/>
      </w:tabs>
    </w:pPr>
  </w:style>
  <w:style w:type="paragraph" w:customStyle="1" w:styleId="58Schlussteile2Lit">
    <w:name w:val="58_Schlussteil_e2_Lit"/>
    <w:basedOn w:val="00LegStandard"/>
    <w:next w:val="51Abs"/>
    <w:rsid w:val="00643B44"/>
    <w:pPr>
      <w:spacing w:before="40"/>
      <w:ind w:left="907"/>
    </w:pPr>
    <w:rPr>
      <w:lang w:eastAsia="de-AT"/>
    </w:rPr>
  </w:style>
  <w:style w:type="paragraph" w:customStyle="1" w:styleId="58Schlussteile2LitmitBetrag">
    <w:name w:val="58_Schlussteil_e2_Lit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907" w:right="1066"/>
      <w:textAlignment w:val="baseline"/>
    </w:pPr>
    <w:rPr>
      <w:lang w:eastAsia="de-AT"/>
    </w:rPr>
  </w:style>
  <w:style w:type="paragraph" w:customStyle="1" w:styleId="58Schlussteile2LitmitBetragTGUE">
    <w:name w:val="58_Schlussteil_e2_Lit_mit_Betrag_TGUE"/>
    <w:basedOn w:val="58Schlussteile2LitmitBetrag"/>
    <w:rsid w:val="00643B44"/>
    <w:pPr>
      <w:tabs>
        <w:tab w:val="clear" w:pos="6663"/>
        <w:tab w:val="clear" w:pos="8505"/>
        <w:tab w:val="right" w:leader="dot" w:pos="4678"/>
        <w:tab w:val="right" w:leader="dot" w:pos="6521"/>
      </w:tabs>
    </w:pPr>
  </w:style>
  <w:style w:type="paragraph" w:customStyle="1" w:styleId="58Schlussteile3Sublit">
    <w:name w:val="58_Schlussteil_e3_Sublit"/>
    <w:basedOn w:val="00LegStandard"/>
    <w:next w:val="51Abs"/>
    <w:rsid w:val="00643B44"/>
    <w:pPr>
      <w:spacing w:before="40"/>
      <w:ind w:left="1247"/>
    </w:pPr>
  </w:style>
  <w:style w:type="paragraph" w:customStyle="1" w:styleId="58Schlussteile3SublitmitBetrag">
    <w:name w:val="58_Schlussteil_e3_Sublit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1247" w:right="1066"/>
      <w:textAlignment w:val="baseline"/>
    </w:pPr>
    <w:rPr>
      <w:lang w:eastAsia="de-AT"/>
    </w:rPr>
  </w:style>
  <w:style w:type="paragraph" w:customStyle="1" w:styleId="58Schlussteile3SublitmitBetragTGUE">
    <w:name w:val="58_Schlussteil_e3_Sublit_mit_Betrag_TGUE"/>
    <w:basedOn w:val="58Schlussteile3SublitmitBetrag"/>
    <w:rsid w:val="00643B44"/>
    <w:pPr>
      <w:tabs>
        <w:tab w:val="clear" w:pos="6663"/>
        <w:tab w:val="clear" w:pos="8505"/>
        <w:tab w:val="right" w:leader="dot" w:pos="4678"/>
        <w:tab w:val="right" w:leader="dot" w:pos="6521"/>
      </w:tabs>
    </w:pPr>
  </w:style>
  <w:style w:type="paragraph" w:customStyle="1" w:styleId="58Schlussteile4Strich">
    <w:name w:val="58_Schlussteil_e4_Strich"/>
    <w:basedOn w:val="00LegStandard"/>
    <w:next w:val="51Abs"/>
    <w:rsid w:val="00643B44"/>
    <w:pPr>
      <w:spacing w:before="40"/>
      <w:ind w:left="1644"/>
    </w:pPr>
  </w:style>
  <w:style w:type="paragraph" w:customStyle="1" w:styleId="58Schlussteile4StrichmitBetrag">
    <w:name w:val="58_Schlussteil_e4_Strich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1644" w:right="1066"/>
      <w:textAlignment w:val="baseline"/>
    </w:pPr>
    <w:rPr>
      <w:lang w:eastAsia="de-AT"/>
    </w:rPr>
  </w:style>
  <w:style w:type="paragraph" w:customStyle="1" w:styleId="58Schlussteile4StrichmitBetragTGUE">
    <w:name w:val="58_Schlussteil_e4_Strich_mit_Betrag_TGUE"/>
    <w:basedOn w:val="58Schlussteile4StrichmitBetrag"/>
    <w:rsid w:val="00643B44"/>
    <w:pPr>
      <w:tabs>
        <w:tab w:val="clear" w:pos="6663"/>
        <w:tab w:val="clear" w:pos="8505"/>
        <w:tab w:val="right" w:leader="dot" w:pos="4678"/>
        <w:tab w:val="right" w:leader="dot" w:pos="6521"/>
      </w:tabs>
    </w:pPr>
  </w:style>
  <w:style w:type="paragraph" w:customStyle="1" w:styleId="52Aufzaehle5StrichmitBetrag">
    <w:name w:val="52_Aufzaehl_e5_Strich_mit_Betrag"/>
    <w:basedOn w:val="52Aufzaehle1ZiffermitBetrag"/>
    <w:rsid w:val="00643B44"/>
    <w:pPr>
      <w:tabs>
        <w:tab w:val="clear" w:pos="624"/>
        <w:tab w:val="clear" w:pos="680"/>
        <w:tab w:val="right" w:pos="1928"/>
        <w:tab w:val="left" w:pos="1985"/>
      </w:tabs>
      <w:ind w:left="1985" w:hanging="1985"/>
    </w:pPr>
  </w:style>
  <w:style w:type="paragraph" w:customStyle="1" w:styleId="52Aufzaehle5StrichmitBetragTGUE">
    <w:name w:val="52_Aufzaehl_e5_Strich_mit_Betrag_TGUE"/>
    <w:basedOn w:val="52Aufzaehle5StrichmitBetrag"/>
    <w:rsid w:val="00643B44"/>
    <w:pPr>
      <w:tabs>
        <w:tab w:val="clear" w:pos="6663"/>
        <w:tab w:val="clear" w:pos="8505"/>
        <w:tab w:val="right" w:leader="dot" w:pos="4678"/>
        <w:tab w:val="right" w:leader="dot" w:pos="6521"/>
      </w:tabs>
    </w:pPr>
  </w:style>
  <w:style w:type="paragraph" w:customStyle="1" w:styleId="52Aufzaehle6StrichmitBetrag">
    <w:name w:val="52_Aufzaehl_e6_Strich_mit_Betrag"/>
    <w:basedOn w:val="52Aufzaehle1ZiffermitBetrag"/>
    <w:rsid w:val="00643B44"/>
    <w:pPr>
      <w:tabs>
        <w:tab w:val="clear" w:pos="624"/>
        <w:tab w:val="clear" w:pos="680"/>
        <w:tab w:val="right" w:pos="2268"/>
        <w:tab w:val="left" w:pos="2325"/>
      </w:tabs>
      <w:ind w:left="2325" w:hanging="2325"/>
    </w:pPr>
  </w:style>
  <w:style w:type="paragraph" w:customStyle="1" w:styleId="52Aufzaehle6StrichmitBetragTGUE">
    <w:name w:val="52_Aufzaehl_e6_Strich_mit_Betrag_TGUE"/>
    <w:basedOn w:val="52Aufzaehle6StrichmitBetrag"/>
    <w:rsid w:val="00643B44"/>
    <w:pPr>
      <w:tabs>
        <w:tab w:val="clear" w:pos="6663"/>
        <w:tab w:val="clear" w:pos="8505"/>
        <w:tab w:val="right" w:leader="dot" w:pos="4678"/>
        <w:tab w:val="right" w:leader="dot" w:pos="6521"/>
      </w:tabs>
    </w:pPr>
  </w:style>
  <w:style w:type="paragraph" w:customStyle="1" w:styleId="52Aufzaehle7StrichmitBetrag">
    <w:name w:val="52_Aufzaehl_e7_Strich_mit_Betrag"/>
    <w:basedOn w:val="52Aufzaehle1ZiffermitBetrag"/>
    <w:rsid w:val="00643B44"/>
    <w:pPr>
      <w:tabs>
        <w:tab w:val="clear" w:pos="624"/>
        <w:tab w:val="clear" w:pos="680"/>
        <w:tab w:val="right" w:pos="2608"/>
        <w:tab w:val="left" w:pos="2665"/>
      </w:tabs>
      <w:ind w:left="2665" w:hanging="2665"/>
    </w:pPr>
  </w:style>
  <w:style w:type="paragraph" w:customStyle="1" w:styleId="52Aufzaehle7StrichmitBetragTGUE">
    <w:name w:val="52_Aufzaehl_e7_Strich_mit_Betrag_TGUE"/>
    <w:basedOn w:val="52Aufzaehle7StrichmitBetrag"/>
    <w:rsid w:val="00643B44"/>
    <w:pPr>
      <w:tabs>
        <w:tab w:val="clear" w:pos="6663"/>
        <w:tab w:val="clear" w:pos="8505"/>
        <w:tab w:val="right" w:leader="dot" w:pos="4678"/>
        <w:tab w:val="right" w:leader="dot" w:pos="6521"/>
      </w:tabs>
    </w:pPr>
  </w:style>
  <w:style w:type="paragraph" w:customStyle="1" w:styleId="58Schlussteile5Strich">
    <w:name w:val="58_Schlussteil_e5_Strich"/>
    <w:basedOn w:val="00LegStandard"/>
    <w:next w:val="51Abs"/>
    <w:rsid w:val="00643B44"/>
    <w:pPr>
      <w:spacing w:before="40"/>
      <w:ind w:left="1985"/>
    </w:pPr>
  </w:style>
  <w:style w:type="paragraph" w:customStyle="1" w:styleId="58Schlussteile5StrichmitBetrag">
    <w:name w:val="58_Schlussteil_e5_Strich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1985" w:right="1066"/>
      <w:textAlignment w:val="baseline"/>
    </w:pPr>
    <w:rPr>
      <w:lang w:eastAsia="de-AT"/>
    </w:rPr>
  </w:style>
  <w:style w:type="paragraph" w:customStyle="1" w:styleId="58Schlussteile5StrichmitBetragTGUE">
    <w:name w:val="58_Schlussteil_e5_Strich_mit_Betrag_TGUE"/>
    <w:basedOn w:val="58Schlussteile5StrichmitBetrag"/>
    <w:rsid w:val="00643B44"/>
    <w:pPr>
      <w:tabs>
        <w:tab w:val="clear" w:pos="6663"/>
        <w:tab w:val="clear" w:pos="8505"/>
        <w:tab w:val="right" w:leader="dot" w:pos="4678"/>
        <w:tab w:val="right" w:leader="dot" w:pos="6521"/>
      </w:tabs>
    </w:pPr>
  </w:style>
  <w:style w:type="paragraph" w:customStyle="1" w:styleId="58Schlussteile6Strich">
    <w:name w:val="58_Schlussteil_e6_Strich"/>
    <w:basedOn w:val="00LegStandard"/>
    <w:next w:val="51Abs"/>
    <w:rsid w:val="00643B44"/>
    <w:pPr>
      <w:spacing w:before="40"/>
      <w:ind w:left="2325"/>
    </w:pPr>
  </w:style>
  <w:style w:type="paragraph" w:customStyle="1" w:styleId="58Schlussteile6StrichmitBetrag">
    <w:name w:val="58_Schlussteil_e6_Strich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2325" w:right="1066"/>
      <w:textAlignment w:val="baseline"/>
    </w:pPr>
    <w:rPr>
      <w:lang w:eastAsia="de-AT"/>
    </w:rPr>
  </w:style>
  <w:style w:type="paragraph" w:customStyle="1" w:styleId="58Schlussteile6StrichmitBetragTGUE">
    <w:name w:val="58_Schlussteil_e6_Strich_mit_Betrag_TGUE"/>
    <w:basedOn w:val="58Schlussteile6StrichmitBetrag"/>
    <w:rsid w:val="00643B44"/>
    <w:pPr>
      <w:tabs>
        <w:tab w:val="clear" w:pos="6663"/>
        <w:tab w:val="clear" w:pos="8505"/>
        <w:tab w:val="right" w:leader="dot" w:pos="4678"/>
        <w:tab w:val="right" w:leader="dot" w:pos="6521"/>
      </w:tabs>
    </w:pPr>
  </w:style>
  <w:style w:type="paragraph" w:customStyle="1" w:styleId="58Schlussteile7Strich">
    <w:name w:val="58_Schlussteil_e7_Strich"/>
    <w:basedOn w:val="00LegStandard"/>
    <w:next w:val="51Abs"/>
    <w:rsid w:val="00643B44"/>
    <w:pPr>
      <w:spacing w:before="40"/>
      <w:ind w:left="2665"/>
    </w:pPr>
  </w:style>
  <w:style w:type="paragraph" w:customStyle="1" w:styleId="58Schlussteile7StrichmitBetrag">
    <w:name w:val="58_Schlussteil_e7_Strich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2665" w:right="1066"/>
      <w:textAlignment w:val="baseline"/>
    </w:pPr>
    <w:rPr>
      <w:lang w:eastAsia="de-AT"/>
    </w:rPr>
  </w:style>
  <w:style w:type="paragraph" w:customStyle="1" w:styleId="58Schlussteile7StrichmitBetragTGUE">
    <w:name w:val="58_Schlussteil_e7_Strich_mit_Betrag_TGUE"/>
    <w:basedOn w:val="58Schlussteile7StrichmitBetrag"/>
    <w:rsid w:val="00643B44"/>
    <w:pPr>
      <w:tabs>
        <w:tab w:val="clear" w:pos="6663"/>
        <w:tab w:val="clear" w:pos="8505"/>
        <w:tab w:val="right" w:leader="dot" w:pos="4678"/>
        <w:tab w:val="right" w:leader="dot" w:pos="6521"/>
      </w:tabs>
    </w:pPr>
  </w:style>
  <w:style w:type="paragraph" w:customStyle="1" w:styleId="PDFuzeile">
    <w:name w:val="PD_Fußzeile"/>
    <w:basedOn w:val="Footer"/>
    <w:rsid w:val="00643B44"/>
    <w:pPr>
      <w:shd w:val="clear" w:color="auto" w:fill="CCCCCC"/>
      <w:spacing w:before="120"/>
      <w:jc w:val="center"/>
    </w:pPr>
    <w:rPr>
      <w:rFonts w:ascii="Times" w:eastAsia="Times New Roman" w:hAnsi="Times"/>
      <w:b/>
      <w:snapToGrid/>
      <w:sz w:val="18"/>
    </w:rPr>
  </w:style>
  <w:style w:type="character" w:customStyle="1" w:styleId="51AbsZchn">
    <w:name w:val="51_Abs Zchn"/>
    <w:link w:val="51Abs"/>
    <w:locked/>
    <w:rsid w:val="00104D5F"/>
    <w:rPr>
      <w:rFonts w:ascii="Times New Roman" w:eastAsia="Times New Roman" w:hAnsi="Times New Roman" w:cs="Times New Roman"/>
      <w:snapToGrid w:val="0"/>
      <w:color w:val="000000"/>
      <w:sz w:val="20"/>
      <w:szCs w:val="20"/>
      <w:lang w:eastAsia="de-DE"/>
    </w:rPr>
  </w:style>
  <w:style w:type="paragraph" w:styleId="PlainText">
    <w:name w:val="Plain Text"/>
    <w:basedOn w:val="Normal"/>
    <w:link w:val="PlainTextChar"/>
    <w:uiPriority w:val="99"/>
    <w:locked/>
    <w:rsid w:val="008D4C4B"/>
    <w:pPr>
      <w:spacing w:after="200" w:line="276" w:lineRule="auto"/>
    </w:pPr>
    <w:rPr>
      <w:rFonts w:ascii="Courier New" w:hAnsi="Courier New" w:cs="Courier New"/>
      <w:snapToGrid/>
      <w:sz w:val="20"/>
    </w:rPr>
  </w:style>
  <w:style w:type="character" w:customStyle="1" w:styleId="PlainTextChar">
    <w:name w:val="Plain Text Char"/>
    <w:basedOn w:val="DefaultParagraphFont"/>
    <w:link w:val="PlainText"/>
    <w:uiPriority w:val="99"/>
    <w:rsid w:val="008D4C4B"/>
    <w:rPr>
      <w:rFonts w:ascii="Courier New" w:eastAsiaTheme="minorEastAsia" w:hAnsi="Courier New" w:cs="Courier New"/>
      <w:color w:val="000000"/>
      <w:sz w:val="20"/>
      <w:szCs w:val="20"/>
      <w:lang w:val="fr-FR" w:eastAsia="de-DE"/>
    </w:rPr>
  </w:style>
  <w:style w:type="paragraph" w:styleId="Revision">
    <w:name w:val="Revision"/>
    <w:hidden/>
    <w:uiPriority w:val="99"/>
    <w:semiHidden/>
    <w:rsid w:val="003A6397"/>
    <w:pPr>
      <w:spacing w:after="0" w:line="240" w:lineRule="auto"/>
    </w:pPr>
    <w:rPr>
      <w:rFonts w:ascii="Corbel" w:eastAsiaTheme="minorEastAsia" w:hAnsi="Corbel" w:cs="Times New Roman"/>
      <w:snapToGrid w:val="0"/>
      <w:color w:val="000000"/>
      <w:szCs w:val="20"/>
      <w:lang w:eastAsia="de-DE"/>
    </w:rPr>
  </w:style>
  <w:style w:type="character" w:styleId="FollowedHyperlink">
    <w:name w:val="FollowedHyperlink"/>
    <w:basedOn w:val="DefaultParagraphFont"/>
    <w:uiPriority w:val="99"/>
    <w:semiHidden/>
    <w:unhideWhenUsed/>
    <w:locked/>
    <w:rsid w:val="000D0CAE"/>
    <w:rPr>
      <w:color w:val="636362" w:themeColor="followedHyperlink"/>
      <w:u w:val="single"/>
    </w:rPr>
  </w:style>
  <w:style w:type="character" w:styleId="BookTitle">
    <w:name w:val="Book Title"/>
    <w:basedOn w:val="DefaultParagraphFont"/>
    <w:uiPriority w:val="99"/>
    <w:locked/>
    <w:rsid w:val="000D0CAE"/>
    <w:rPr>
      <w:b/>
      <w:bCs/>
      <w:i/>
      <w:iCs/>
      <w:spacing w:val="5"/>
    </w:rPr>
  </w:style>
  <w:style w:type="character" w:styleId="HTMLAcronym">
    <w:name w:val="HTML Acronym"/>
    <w:basedOn w:val="DefaultParagraphFont"/>
    <w:uiPriority w:val="99"/>
    <w:semiHidden/>
    <w:unhideWhenUsed/>
    <w:locked/>
    <w:rsid w:val="000D0CAE"/>
  </w:style>
  <w:style w:type="character" w:styleId="HTMLSample">
    <w:name w:val="HTML Sample"/>
    <w:basedOn w:val="DefaultParagraphFont"/>
    <w:uiPriority w:val="99"/>
    <w:semiHidden/>
    <w:unhideWhenUsed/>
    <w:locked/>
    <w:rsid w:val="000D0CAE"/>
    <w:rPr>
      <w:rFonts w:ascii="Consolas" w:hAnsi="Consolas"/>
      <w:sz w:val="24"/>
      <w:szCs w:val="24"/>
    </w:rPr>
  </w:style>
  <w:style w:type="character" w:styleId="HTMLCode">
    <w:name w:val="HTML Code"/>
    <w:basedOn w:val="DefaultParagraphFont"/>
    <w:uiPriority w:val="99"/>
    <w:semiHidden/>
    <w:unhideWhenUsed/>
    <w:locked/>
    <w:rsid w:val="000D0CAE"/>
    <w:rPr>
      <w:rFonts w:ascii="Consolas" w:hAnsi="Consolas"/>
      <w:sz w:val="20"/>
      <w:szCs w:val="20"/>
    </w:rPr>
  </w:style>
  <w:style w:type="character" w:styleId="HTMLDefinition">
    <w:name w:val="HTML Definition"/>
    <w:basedOn w:val="DefaultParagraphFont"/>
    <w:uiPriority w:val="99"/>
    <w:semiHidden/>
    <w:unhideWhenUsed/>
    <w:locked/>
    <w:rsid w:val="000D0CAE"/>
    <w:rPr>
      <w:i/>
      <w:iCs/>
    </w:rPr>
  </w:style>
  <w:style w:type="character" w:styleId="HTMLTypewriter">
    <w:name w:val="HTML Typewriter"/>
    <w:basedOn w:val="DefaultParagraphFont"/>
    <w:uiPriority w:val="99"/>
    <w:semiHidden/>
    <w:unhideWhenUsed/>
    <w:locked/>
    <w:rsid w:val="000D0CAE"/>
    <w:rPr>
      <w:rFonts w:ascii="Consolas" w:hAnsi="Consolas"/>
      <w:sz w:val="20"/>
      <w:szCs w:val="20"/>
    </w:rPr>
  </w:style>
  <w:style w:type="character" w:styleId="HTMLKeyboard">
    <w:name w:val="HTML Keyboard"/>
    <w:basedOn w:val="DefaultParagraphFont"/>
    <w:uiPriority w:val="99"/>
    <w:semiHidden/>
    <w:unhideWhenUsed/>
    <w:locked/>
    <w:rsid w:val="000D0CAE"/>
    <w:rPr>
      <w:rFonts w:ascii="Consolas" w:hAnsi="Consolas"/>
      <w:sz w:val="20"/>
      <w:szCs w:val="20"/>
    </w:rPr>
  </w:style>
  <w:style w:type="character" w:styleId="HTMLVariable">
    <w:name w:val="HTML Variable"/>
    <w:basedOn w:val="DefaultParagraphFont"/>
    <w:uiPriority w:val="99"/>
    <w:semiHidden/>
    <w:unhideWhenUsed/>
    <w:locked/>
    <w:rsid w:val="000D0CAE"/>
    <w:rPr>
      <w:i/>
      <w:iCs/>
    </w:rPr>
  </w:style>
  <w:style w:type="character" w:styleId="HTMLCite">
    <w:name w:val="HTML Cite"/>
    <w:basedOn w:val="DefaultParagraphFont"/>
    <w:uiPriority w:val="99"/>
    <w:semiHidden/>
    <w:unhideWhenUsed/>
    <w:locked/>
    <w:rsid w:val="000D0CAE"/>
    <w:rPr>
      <w:i/>
      <w:iCs/>
    </w:rPr>
  </w:style>
  <w:style w:type="character" w:styleId="PageNumber">
    <w:name w:val="page number"/>
    <w:basedOn w:val="DefaultParagraphFont"/>
    <w:uiPriority w:val="99"/>
    <w:semiHidden/>
    <w:unhideWhenUsed/>
    <w:locked/>
    <w:rsid w:val="000D0CAE"/>
  </w:style>
  <w:style w:type="character" w:styleId="LineNumber">
    <w:name w:val="line number"/>
    <w:basedOn w:val="DefaultParagraphFont"/>
    <w:uiPriority w:val="99"/>
    <w:semiHidden/>
    <w:unhideWhenUsed/>
    <w:locked/>
    <w:rsid w:val="000D0C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630438">
      <w:bodyDiv w:val="1"/>
      <w:marLeft w:val="0"/>
      <w:marRight w:val="0"/>
      <w:marTop w:val="0"/>
      <w:marBottom w:val="0"/>
      <w:divBdr>
        <w:top w:val="none" w:sz="0" w:space="0" w:color="auto"/>
        <w:left w:val="none" w:sz="0" w:space="0" w:color="auto"/>
        <w:bottom w:val="none" w:sz="0" w:space="0" w:color="auto"/>
        <w:right w:val="none" w:sz="0" w:space="0" w:color="auto"/>
      </w:divBdr>
    </w:div>
    <w:div w:id="167602850">
      <w:bodyDiv w:val="1"/>
      <w:marLeft w:val="0"/>
      <w:marRight w:val="0"/>
      <w:marTop w:val="0"/>
      <w:marBottom w:val="0"/>
      <w:divBdr>
        <w:top w:val="none" w:sz="0" w:space="0" w:color="auto"/>
        <w:left w:val="none" w:sz="0" w:space="0" w:color="auto"/>
        <w:bottom w:val="none" w:sz="0" w:space="0" w:color="auto"/>
        <w:right w:val="none" w:sz="0" w:space="0" w:color="auto"/>
      </w:divBdr>
    </w:div>
    <w:div w:id="213856519">
      <w:bodyDiv w:val="1"/>
      <w:marLeft w:val="0"/>
      <w:marRight w:val="0"/>
      <w:marTop w:val="0"/>
      <w:marBottom w:val="0"/>
      <w:divBdr>
        <w:top w:val="none" w:sz="0" w:space="0" w:color="auto"/>
        <w:left w:val="none" w:sz="0" w:space="0" w:color="auto"/>
        <w:bottom w:val="none" w:sz="0" w:space="0" w:color="auto"/>
        <w:right w:val="none" w:sz="0" w:space="0" w:color="auto"/>
      </w:divBdr>
    </w:div>
    <w:div w:id="376050884">
      <w:bodyDiv w:val="1"/>
      <w:marLeft w:val="0"/>
      <w:marRight w:val="0"/>
      <w:marTop w:val="0"/>
      <w:marBottom w:val="0"/>
      <w:divBdr>
        <w:top w:val="none" w:sz="0" w:space="0" w:color="auto"/>
        <w:left w:val="none" w:sz="0" w:space="0" w:color="auto"/>
        <w:bottom w:val="none" w:sz="0" w:space="0" w:color="auto"/>
        <w:right w:val="none" w:sz="0" w:space="0" w:color="auto"/>
      </w:divBdr>
    </w:div>
    <w:div w:id="1569074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ck\AppData\Roaming\Microsoft\Templates\legistik.dotx" TargetMode="External"/></Relationships>
</file>

<file path=word/theme/theme1.xml><?xml version="1.0" encoding="utf-8"?>
<a:theme xmlns:a="http://schemas.openxmlformats.org/drawingml/2006/main" name="Republik-AT-Theme-Artikel">
  <a:themeElements>
    <a:clrScheme name="Republik-AT-Farben">
      <a:dk1>
        <a:srgbClr val="000000"/>
      </a:dk1>
      <a:lt1>
        <a:srgbClr val="E6EFF3"/>
      </a:lt1>
      <a:dk2>
        <a:srgbClr val="E6320F"/>
      </a:dk2>
      <a:lt2>
        <a:srgbClr val="FFFFFF"/>
      </a:lt2>
      <a:accent1>
        <a:srgbClr val="CA0237"/>
      </a:accent1>
      <a:accent2>
        <a:srgbClr val="5FB564"/>
      </a:accent2>
      <a:accent3>
        <a:srgbClr val="950F53"/>
      </a:accent3>
      <a:accent4>
        <a:srgbClr val="F59C00"/>
      </a:accent4>
      <a:accent5>
        <a:srgbClr val="3BACBE"/>
      </a:accent5>
      <a:accent6>
        <a:srgbClr val="BCCF00"/>
      </a:accent6>
      <a:hlink>
        <a:srgbClr val="1C1C1C"/>
      </a:hlink>
      <a:folHlink>
        <a:srgbClr val="636362"/>
      </a:folHlink>
    </a:clrScheme>
    <a:fontScheme name="BKA2018-Schriften">
      <a:majorFont>
        <a:latin typeface="Corbel"/>
        <a:ea typeface=""/>
        <a:cs typeface=""/>
      </a:majorFont>
      <a:minorFont>
        <a:latin typeface="Corbel"/>
        <a:ea typeface=""/>
        <a:cs typeface=""/>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fields xmlns:f="http://schemas.fabasoft.com/folio/2007/fields" catsources="">
  <f:record>
    <f:field ref="BMFCONFIG_3000_109_BMFDocProperty" text=""/>
    <f:field ref="doc_FSCFOLIO_1_1001_FieldDocumentNumber" text=""/>
    <f:field ref="doc_FSCFOLIO_1_1001_FieldSubject" text="" edit="true"/>
    <f:field ref="FSCFOLIO_1_1001_SignaturesFldCtx_FSCFOLIO_1_1001_FieldLastSignature" text="Genehmigt"/>
    <f:field ref="FSCFOLIO_1_1001_SignaturesFldCtx_FSCFOLIO_1_1001_FieldLastSignatureBy" text="Salzer, Irmi, DI"/>
    <f:field ref="FSCFOLIO_1_1001_SignaturesFldCtx_FSCFOLIO_1_1001_FieldLastSignatureAt" date="2023-03-27T15:30:30" text="27.03.2023 15:30:30"/>
    <f:field ref="FSCFOLIO_1_1001_SignaturesFldCtx_FSCFOLIO_1_1001_FieldLastSignatureRemark" text=""/>
    <f:field ref="FSCFOLIO_1_1001_FieldCurrentUser" text="Doris Peck"/>
    <f:field ref="FSCFOLIO_1_1001_FieldCurrentDate" text="28.03.2023 09:56"/>
    <f:field ref="objvalidfrom" date="" text="" edit="true"/>
    <f:field ref="objvalidto" date="" text="" edit="true"/>
    <f:field ref="FSCFOLIO_1_1001_FieldReleasedVersionDate" text=""/>
    <f:field ref="FSCFOLIO_1_1001_FieldReleasedVersionNr" text=""/>
    <f:field ref="CCAPRECONFIG_15_1001_Objektname" text="EinwegpfandVO Getränkeverpackungen Entwurf" edit="true"/>
    <f:field ref="CCAPRECONFIG_15_1001_Objektname" text="EinwegpfandVO Getränkeverpackungen Entwurf" edit="true"/>
    <f:field ref="EIBPRECONFIG_1_1001_FieldEIBAttachments" text="" multiline="true"/>
    <f:field ref="EIBPRECONFIG_1_1001_FieldEIBNextFiles" text="" multiline="true"/>
    <f:field ref="EIBPRECONFIG_1_1001_FieldEIBPreviousFiles" text="" multiline="true"/>
    <f:field ref="EIBPRECONFIG_1_1001_FieldEIBRelatedFiles" text="" multiline="true"/>
    <f:field ref="EIBPRECONFIG_1_1001_FieldEIBCompletedOrdinals" text="" multiline="true"/>
    <f:field ref="EIBPRECONFIG_1_1001_FieldEIBOUAddr" text="Stubenbastei 5, 1010 Wien" multiline="true"/>
    <f:field ref="EIBPRECONFIG_1_1001_FieldEIBRecipients" text="" multiline="true"/>
    <f:field ref="EIBPRECONFIG_1_1001_FieldEIBSignatures" text="Abzeichnen&#10;Abzeichnen&#10;Abzeichnen&#10;Abzeichnen&#10;Genehmigt" multiline="true"/>
    <f:field ref="EIBPRECONFIG_1_1001_FieldCCAAddrAbschriftsbemerkung" text="" multiline="true"/>
    <f:field ref="EIBPRECONFIG_1_1001_FieldCCAAddrAdresse" text="" multiline="true"/>
    <f:field ref="EIBPRECONFIG_1_1001_FieldCCAAddrPostalischeAdresse" text="" multiline="true"/>
    <f:field ref="EIBPRECONFIG_1_1001_FieldCCAIncomingSubject" text="" multiline="true"/>
    <f:field ref="EIBPRECONFIG_1_1001_FieldCCAPersonalSubjAddress" text="" multiline="true"/>
    <f:field ref="EIBPRECONFIG_1_1001_FieldCCASubfileSubject" text="" multiline="true"/>
    <f:field ref="EIBPRECONFIG_1_1001_FieldCCASubject" text="Pfandverordnung für Einweggetränkeverpackungen; Aussendung in das Begutachtungsverfahren" multiline="true"/>
    <f:field ref="EIBVFGH_15_1700_FieldPartPlaintiffList" text="" multiline="true"/>
    <f:field ref="EIBVFGH_15_1700_FieldGoesOutToList" text="" multiline="true"/>
    <f:field ref="CUSTOMIZATIONRESSORTBMF_103_2800_FieldRecipientsEmailBMF" text="" multiline="true"/>
    <f:field ref="objname" text="EinwegpfandVO Getränkeverpackungen Entwurf" edit="true"/>
    <f:field ref="objsubject" text="" edit="true"/>
    <f:field ref="objcreatedby" text="Fürnsinn, Georg, Mag."/>
    <f:field ref="objcreatedat" date="2023-03-24T15:10:53" text="24.03.2023 15:10:53"/>
    <f:field ref="objchangedby" text="Peck, Doris"/>
    <f:field ref="objmodifiedat" date="2023-03-28T08:26:30" text="28.03.2023 08:26:30"/>
  </f:record>
  <f:display text="Allgemein">
    <f:field ref="BMFCONFIG_3000_109_BMFDocProperty" text="BMFMailEmpfänger"/>
    <f:field ref="FSCFOLIO_1_1001_FieldCurrentUser" text="Aktueller Benutzer"/>
    <f:field ref="FSCFOLIO_1_1001_FieldCurrentDate" text="Aktueller Zeitpunkt"/>
    <f:field ref="objvalidfrom" text="Gültig ab" dateonly="true"/>
    <f:field ref="objvalidto" text="Gültig bis" dateonly="true"/>
    <f:field ref="FSCFOLIO_1_1001_FieldReleasedVersionDate" text="Freigegebene Version vom"/>
    <f:field ref="FSCFOLIO_1_1001_FieldReleasedVersionNr" text="Freigegebene Versionsnummer"/>
    <f:field ref="CCAPRECONFIG_15_1001_Objektname" text="Objektname"/>
    <f:field ref="EIBPRECONFIG_1_1001_FieldEIBAttachments" text="Beilagen"/>
    <f:field ref="EIBPRECONFIG_1_1001_FieldEIBNextFiles" text="Nachzahlen"/>
    <f:field ref="EIBPRECONFIG_1_1001_FieldEIBPreviousFiles" text="Vorzahlen"/>
    <f:field ref="EIBPRECONFIG_1_1001_FieldEIBRelatedFiles" text="Bezugszahlen"/>
    <f:field ref="EIBPRECONFIG_1_1001_FieldEIBCompletedOrdinals" text="Miterledigte Akten"/>
    <f:field ref="EIBPRECONFIG_1_1001_FieldEIBOUAddr" text="Adresse der OE"/>
    <f:field ref="EIBPRECONFIG_1_1001_FieldEIBRecipients" text="Empfänger"/>
    <f:field ref="EIBPRECONFIG_1_1001_FieldEIBSignatures" text="Unterschriften"/>
    <f:field ref="EIBPRECONFIG_1_1001_FieldCCAAddrAbschriftsbemerkung" text="Abschriftsbemerkung"/>
    <f:field ref="EIBPRECONFIG_1_1001_FieldCCAAddrAdresse" text="Adresse"/>
    <f:field ref="EIBPRECONFIG_1_1001_FieldCCAAddrPostalischeAdresse" text="PostalischeAdresse"/>
    <f:field ref="EIBPRECONFIG_1_1001_FieldCCAIncomingSubject" text="EST-Betreff"/>
    <f:field ref="EIBPRECONFIG_1_1001_FieldCCAPersonalSubjAddress" text="Adresse (Namenszahl)"/>
    <f:field ref="EIBPRECONFIG_1_1001_FieldCCASubfileSubject" text="Betreff des Geschäftsstücks"/>
    <f:field ref="EIBPRECONFIG_1_1001_FieldCCASubject" text="Gegenstand"/>
    <f:field ref="EIBVFGH_15_1700_FieldPartPlaintiffList" text="Liste der Antragsteller"/>
    <f:field ref="EIBVFGH_15_1700_FieldGoesOutToList" text="Ergeht an Liste"/>
    <f:field ref="CUSTOMIZATIONRESSORTBMF_103_2800_FieldRecipientsEmailBMF" text="Empfänger Mail BMF"/>
    <f:field ref="objname" text="Name"/>
    <f:field ref="objsubject" text="Anmerkungen"/>
    <f:field ref="objcreatedby" text="Erzeugt von"/>
    <f:field ref="objcreatedat" text="Erzeugt am/um"/>
    <f:field ref="objchangedby" text="Letzte Änderung von"/>
    <f:field ref="objmodifiedat" text="Letzte Änderung am/um"/>
  </f:display>
  <f:display text="Serienbrief">
    <f:field ref="doc_FSCFOLIO_1_1001_FieldDocumentNumber" text="Dokument Nummer"/>
    <f:field ref="doc_FSCFOLIO_1_1001_FieldSubject" text="Betreff"/>
  </f:display>
  <f:display text="Unterschriften">
    <f:field ref="FSCFOLIO_1_1001_SignaturesFldCtx_FSCFOLIO_1_1001_FieldLastSignature" text="Letzte Unterschrift"/>
    <f:field ref="FSCFOLIO_1_1001_SignaturesFldCtx_FSCFOLIO_1_1001_FieldLastSignatureBy" text="Letzte Unterschrift von"/>
    <f:field ref="FSCFOLIO_1_1001_SignaturesFldCtx_FSCFOLIO_1_1001_FieldLastSignatureAt" text="Letzte Unterschrift am/um"/>
    <f:field ref="FSCFOLIO_1_1001_SignaturesFldCtx_FSCFOLIO_1_1001_FieldLastSignatureRemark" text="Bemerkung der letzten Unterschrift"/>
  </f:display>
</f:field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docoptionsdata xmlns:xsi="http://www.w3.org/2001/XMLSchema-instance" xmlns:xsd="http://www.w3.org/2001/XMLSchema" xmlns="http://www.ris.bka.gv.at/docoptions/data/">
  <DocumentMap>false</DocumentMap>
  <OMathJc>1</OMathJc>
  <SnapToGrid>false</SnapToGrid>
  <SnapToShapes>false</SnapToShapes>
  <GridDistanceHorizontal>5.4</GridDistanceHorizontal>
  <GridDistanceVertical>5.4</GridDistanceVertical>
  <GridOriginFromMargin>false</GridOriginFromMargin>
  <GridOriginHorizontal>0</GridOriginHorizontal>
  <GridOriginVertical>0</GridOriginVertical>
  <TrackFormatting>false</TrackFormatting>
  <FormattingShowFilter>5</FormattingShowFilter>
  <FormattingShowFont>false</FormattingShowFont>
  <FormattingShowNextLevel>true</FormattingShowNextLevel>
  <FormattingShowNumbering>false</FormattingShowNumbering>
  <FormattingShowParagraph>false</FormattingShowParagraph>
  <ClickAndTypeParagraphStyle>51_Abs</ClickAndTypeParagraphStyle>
  <NoTabHangIndent>false</NoTabHangIndent>
  <NoSpaceRaiseLower>false</NoSpaceRaiseLower>
  <PrintColBlack>false</PrintColBlack>
  <WrapTrailSpaces>false</WrapTrailSpaces>
  <NoColumnBalance>false</NoColumnBalance>
  <ConvMailMergeEsc>false</ConvMailMergeEsc>
  <SuppressSpBfAfterPgBrk>false</SuppressSpBfAfterPgBrk>
  <SuppressTopSpacing>false</SuppressTopSpacing>
  <OrigWordTableRules>false</OrigWordTableRules>
  <TransparentMetafiles>false</TransparentMetafiles>
  <ShowBreaksInFrames>false</ShowBreaksInFrames>
  <SwapBordersFacingPages>false</SwapBordersFacingPages>
  <LeaveBackslashAlone>true</LeaveBackslashAlone>
  <ExpandShiftReturn>true</ExpandShiftReturn>
  <DontULTrailSpace>true</DontULTrailSpace>
  <DontBalanceSingleByteDoubleByteWidth>true</DontBalanceSingleByteDoubleByteWidth>
  <SuppressTopSpacingMac5>false</SuppressTopSpacingMac5>
  <SpacingInWholePoints>false</SpacingInWholePoints>
  <PrintBodyTextBeforeHeader>false</PrintBodyTextBeforeHeader>
  <NoLeading>false</NoLeading>
  <NoSpaceForUL>true</NoSpaceForUL>
  <MWSmallCaps>false</MWSmallCaps>
  <NoExtraLineSpacing>false</NoExtraLineSpacing>
  <TruncateFontHeight>false</TruncateFontHeight>
  <UsePrinterMetrics>false</UsePrinterMetrics>
  <SubFontBySize>false</SubFontBySize>
  <WW6BorderRules>false</WW6BorderRules>
  <ExactOnTop>false</ExactOnTop>
  <SuppressBottomSpacing>false</SuppressBottomSpacing>
  <WPSpaceWidth>false</WPSpaceWidth>
  <WPJustification>false</WPJustification>
  <LineWrapLikeWord6>false</LineWrapLikeWord6>
  <ShapeLayoutLikeWW8>false</ShapeLayoutLikeWW8>
  <FootnoteLayoutLikeWW8>false</FootnoteLayoutLikeWW8>
  <DontUseHTMLParagraphAutoSpacing>false</DontUseHTMLParagraphAutoSpacing>
  <DontAdjustLineHeightInTable>true</DontAdjustLineHeightInTable>
  <ForgetLastTabAlignment>false</ForgetLastTabAlignment>
  <AutospaceLikeWW7>false</AutospaceLikeWW7>
  <AlignTablesRowByRow>false</AlignTablesRowByRow>
  <LayoutRawTableWidth>false</LayoutRawTableWidth>
  <LayoutTableRowsApart>false</LayoutTableRowsApart>
  <UseWord97LineBreakingRules>false</UseWord97LineBreakingRules>
  <DontBreakWrappedTables>false</DontBreakWrappedTables>
  <DontSnapTextToGridInTableWithObjects>false</DontSnapTextToGridInTableWithObjects>
  <SelectFieldWithFirstOrLastCharacter>false</SelectFieldWithFirstOrLastCharacter>
  <ApplyBreakingRules>false</ApplyBreakingRules>
  <DontWrapTextWithPunctuation>false</DontWrapTextWithPunctuation>
  <DontUseAsianBreakRulesInGrid>false</DontUseAsianBreakRulesInGrid>
  <UseWord2002TableStyleRules>false</UseWord2002TableStyleRules>
  <GrowAutofit>false</GrowAutofit>
  <UseNormalStyleForList>false</UseNormalStyleForList>
  <DontUseIndentAsNumberingTabStop>false</DontUseIndentAsNumberingTabStop>
  <FELineBreak11>false</FELineBreak11>
  <AllowSpaceOfSameStyleInTable>false</AllowSpaceOfSameStyleInTable>
  <WW11IndentRules>false</WW11IndentRules>
  <DontAutofitConstrainedTables>false</DontAutofitConstrainedTables>
  <AutofitLikeWW11>false</AutofitLikeWW11>
  <UnderlineTabInNumList>false</UnderlineTabInNumList>
  <HangulWidthLikeWW11>false</HangulWidthLikeWW11>
  <SplitPgBreakAndParaMark>false</SplitPgBreakAndParaMark>
  <DontVertAlignCellWithShape>false</DontVertAlignCellWithShape>
  <DontBreakConstrainedForcedTables>false</DontBreakConstrainedForcedTables>
  <DontVertAlignInTextbox>false</DontVertAlignInTextbox>
  <Word11KerningPairs>false</Word11KerningPairs>
  <CachedColBalance>false</CachedColBalance>
  <DisableOTKerning>false</DisableOTKerning>
  <FlipMirrorIndents>false</FlipMirrorIndents>
  <DontOverrideTableStyleFontSzAndJustification>false</DontOverrideTableStyleFontSzAndJustification>
</docoptionsdata>
</file>

<file path=customXml/item4.xml><?xml version="1.0" encoding="utf-8"?>
<c:configuration xmlns:c="http://ns.axespdf.com/word/configuration">
  <c:group id="Styles">
    <c:group id="TH-Spalte">
      <c:property id="RoleID" type="string">ParagraphHeaderCell</c:property>
      <c:property id="Scope" type="integer">1</c:property>
    </c:group>
    <c:group id="TH Spalte 1">
      <c:property id="RoleID" type="string">ParagraphHeaderCell</c:property>
      <c:property id="Scope" type="integer">1</c:property>
    </c:group>
    <c:group id="Brief Ü2">
      <c:property id="RoleID" type="string">ParagraphHeading</c:property>
      <c:property id="Level" type="integer">2</c:property>
    </c:group>
    <c:group id="__Caption">
      <c:property id="RoleID" type="string">ParagraphCaption</c:property>
    </c:group>
    <c:group id="__ListContinue">
      <c:property id="RoleID" type="string">ParagraphListContinue</c:property>
    </c:group>
    <c:group id="TH Spalte links;TH Sp links">
      <c:property id="RoleID" type="string">ParagraphHeaderCell</c:property>
      <c:property id="Scope" type="integer">1</c:property>
    </c:group>
    <c:group id="TH Zeile">
      <c:property id="RoleID" type="string">ParagraphHeaderCell</c:property>
      <c:property id="Scope" type="integer">2</c:property>
    </c:group>
    <c:group id="__Quote">
      <c:property id="RoleID" type="string">ParagraphBlockQuote</c:property>
    </c:group>
    <c:group id="Gliederung Listenfortsetzung 1);GL F 1)">
      <c:property id="RoleID" type="string">ParagraphListContinue</c:property>
    </c:group>
    <c:group id="Gliederung Listenfortsetzung 1)a);GL F 1)a)">
      <c:property id="RoleID" type="string">ParagraphListContinue</c:property>
      <c:property id="Level" type="integer">2</c:property>
    </c:group>
    <c:group id="Gliederung Listenfortsetzung 1)a)i);GL F 1)a)i)">
      <c:property id="RoleID" type="string">ParagraphListContinue</c:property>
      <c:property id="Level" type="integer">3</c:property>
    </c:group>
    <c:group id="Gliederung Listenfortsetzung 1;GL F 1.">
      <c:property id="RoleID" type="string">ParagraphListContinue</c:property>
    </c:group>
    <c:group id="Gliederung Listenfortsetzung 1.1.;GL F 1.1.">
      <c:property id="RoleID" type="string">ParagraphListContinue</c:property>
      <c:property id="Level" type="integer">2</c:property>
    </c:group>
    <c:group id="Gliederung Listenfortsetzung 1.1.1;GL F 1.1.1.">
      <c:property id="RoleID" type="string">ParagraphListContinue</c:property>
      <c:property id="Level" type="integer">3</c:property>
    </c:group>
    <c:group id="__ListContinue2">
      <c:property id="RoleID" type="string">ParagraphListContinue</c:property>
      <c:property id="Level" type="integer">2</c:property>
    </c:group>
    <c:group id="__ListContinue3">
      <c:property id="RoleID" type="string">ParagraphListContinue</c:property>
      <c:property id="Level" type="integer">3</c:property>
    </c:group>
    <c:group id="Brief Titel">
      <c:property id="RoleID" type="string">ParagraphDefault</c:property>
    </c:group>
    <c:group id="Brief Ü1">
      <c:property id="RoleID" type="string">ParagraphHeading</c:property>
    </c:group>
    <c:group id="__ListContinue4">
      <c:property id="RoleID" type="string">ParagraphListContinue</c:property>
      <c:property id="Level" type="integer">4</c:property>
    </c:group>
    <c:group id="__ListContinue5">
      <c:property id="RoleID" type="string">ParagraphListContinue</c:property>
      <c:property id="Level" type="integer">5</c:property>
    </c:group>
    <c:group id="Ü1 nummeriert">
      <c:property id="RoleID" type="string">ParagraphHeading</c:property>
    </c:group>
    <c:group id="Ü2 nummeriert">
      <c:property id="RoleID" type="string">ParagraphHeading</c:property>
      <c:property id="Level" type="integer">2</c:property>
    </c:group>
    <c:group id="Ü3 nummeriert">
      <c:property id="RoleID" type="string">ParagraphHeading</c:property>
      <c:property id="Level" type="integer">3</c:property>
    </c:group>
    <c:group id="Ü4 nummeriert">
      <c:property id="RoleID" type="string">ParagraphHeading</c:property>
      <c:property id="Level" type="integer">4</c:property>
    </c:group>
    <c:group id="Ü5 nummeriert">
      <c:property id="RoleID" type="string">ParagraphHeading</c:property>
      <c:property id="Level" type="integer">5</c:property>
    </c:group>
    <c:group id="TH-Spalte links;TH Sp links">
      <c:property id="RoleID" type="string">ParagraphHeaderCell</c:property>
      <c:property id="Scope" type="integer">1</c:property>
    </c:group>
    <c:group id="TH-Zeile">
      <c:property id="RoleID" type="string">ParagraphHeaderCell</c:property>
      <c:property id="Scope" type="integer">2</c:property>
    </c:group>
    <c:group id="Bild-UT in Positionsrahmen;Bild-UT">
      <c:property id="RoleID" type="string">ParagraphCaption</c:property>
    </c:group>
    <c:group id="Bilduntertitel;Bild-UT">
      <c:property id="RoleID" type="string">ParagraphCaption</c:property>
    </c:group>
  </c:group>
  <c:group id="Content">
    <c:group id="686494040">
      <c:property id="RoleID" type="string">TableLayoutTable</c:property>
    </c:group>
    <c:group id="3921579054">
      <c:property id="RoleID" type="string">TableLayoutTable</c:property>
    </c:group>
    <c:group id="4">
      <c:property id="RoleID" type="string">FigureArtifact</c:property>
    </c:group>
  </c:group>
  <c:group id="InitialView">
    <c:property id="MagnificationFactor" type="float">100</c:property>
  </c:group>
</c:configuration>
</file>

<file path=customXml/item5.xml><?xml version="1.0" encoding="utf-8"?>
<protocoldata xmlns:xsi="http://www.w3.org/2001/XMLSchema-instance" xmlns:xsd="http://www.w3.org/2001/XMLSchema" xmlns="http://www.ris.bka.gv.at/protocol/data/">
  <konformitaetspruefung>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</konformitaetspruefung>
</protocoldata>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41B16253-0B17-4198-A643-0AFE8BB9DA96}">
  <ds:schemaRefs>
    <ds:schemaRef ds:uri="http://schemas.openxmlformats.org/officeDocument/2006/bibliography"/>
  </ds:schemaRefs>
</ds:datastoreItem>
</file>

<file path=customXml/itemProps3.xml><?xml version="1.0" encoding="utf-8"?>
<ds:datastoreItem xmlns:ds="http://schemas.openxmlformats.org/officeDocument/2006/customXml" ds:itemID="{EC7A4A9A-A9BB-44B5-B43D-0FCD54BEE725}">
  <ds:schemaRefs>
    <ds:schemaRef ds:uri="http://www.w3.org/2001/XMLSchema"/>
    <ds:schemaRef ds:uri="http://www.ris.bka.gv.at/docoptions/data/"/>
  </ds:schemaRefs>
</ds:datastoreItem>
</file>

<file path=customXml/itemProps4.xml><?xml version="1.0" encoding="utf-8"?>
<ds:datastoreItem xmlns:ds="http://schemas.openxmlformats.org/officeDocument/2006/customXml" ds:itemID="{E4523BE0-0112-4BA1-B206-1D2C815FA86B}">
  <ds:schemaRefs>
    <ds:schemaRef ds:uri="http://ns.axespdf.com/word/configuration"/>
  </ds:schemaRefs>
</ds:datastoreItem>
</file>

<file path=customXml/itemProps5.xml><?xml version="1.0" encoding="utf-8"?>
<ds:datastoreItem xmlns:ds="http://schemas.openxmlformats.org/officeDocument/2006/customXml" ds:itemID="{E2274D9A-E261-49E0-A7F1-1D1BDC81D14C}">
  <ds:schemaRefs>
    <ds:schemaRef ds:uri="http://www.w3.org/2001/XMLSchema"/>
    <ds:schemaRef ds:uri="http://www.ris.bka.gv.at/protocol/data/"/>
  </ds:schemaRefs>
</ds:datastoreItem>
</file>

<file path=docProps/app.xml><?xml version="1.0" encoding="utf-8"?>
<Properties xmlns="http://schemas.openxmlformats.org/officeDocument/2006/extended-properties" xmlns:vt="http://schemas.openxmlformats.org/officeDocument/2006/docPropsVTypes">
  <Template>legistik.dotx</Template>
  <TotalTime>6</TotalTime>
  <Pages>9</Pages>
  <Words>5074</Words>
  <Characters>28082</Characters>
  <Application>Microsoft Office Word</Application>
  <DocSecurity>0</DocSecurity>
  <Lines>234</Lines>
  <Paragraphs>66</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33090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Fuernsinn Georg</dc:creator>
  <cp:keywords/>
  <dc:description/>
  <cp:lastModifiedBy>Liana Brili</cp:lastModifiedBy>
  <cp:revision>4</cp:revision>
  <cp:lastPrinted>2023-02-20T08:00:00Z</cp:lastPrinted>
  <dcterms:created xsi:type="dcterms:W3CDTF">2023-03-28T07:57:00Z</dcterms:created>
  <dcterms:modified xsi:type="dcterms:W3CDTF">2023-04-18T17:18:00Z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KALegistikAktiv">
    <vt:bool>true</vt:bool>
  </property>
  <property fmtid="{D5CDD505-2E9C-101B-9397-08002B2CF9AE}" pid="3" name="ParaFormatMigrationDone">
    <vt:bool>true</vt:bool>
  </property>
  <property fmtid="{D5CDD505-2E9C-101B-9397-08002B2CF9AE}" pid="4" name="FSC#SAPConfigSettingsSC@101.9800:FMM_ABP_NUMMER">
    <vt:lpwstr/>
  </property>
  <property fmtid="{D5CDD505-2E9C-101B-9397-08002B2CF9AE}" pid="5" name="FSC#SAPConfigSettingsSC@101.9800:FMM_ABLEHNGRUND">
    <vt:lpwstr/>
  </property>
  <property fmtid="{D5CDD505-2E9C-101B-9397-08002B2CF9AE}" pid="6" name="FSC#SAPConfigSettingsSC@101.9800:FMM_ADRESSE_ALLGEMEINES_SCHREIBEN">
    <vt:lpwstr/>
  </property>
  <property fmtid="{D5CDD505-2E9C-101B-9397-08002B2CF9AE}" pid="7" name="FSC#SAPConfigSettingsSC@101.9800:FMM_GRANTOR_ADDRESS">
    <vt:lpwstr/>
  </property>
  <property fmtid="{D5CDD505-2E9C-101B-9397-08002B2CF9AE}" pid="8" name="FSC#SAPConfigSettingsSC@101.9800:FMM_CONTACT_PERSON">
    <vt:lpwstr/>
  </property>
  <property fmtid="{D5CDD505-2E9C-101B-9397-08002B2CF9AE}" pid="9" name="FSC#SAPConfigSettingsSC@101.9800:FMM_ANTRAGSBESCHREIBUNG">
    <vt:lpwstr/>
  </property>
  <property fmtid="{D5CDD505-2E9C-101B-9397-08002B2CF9AE}" pid="10" name="FSC#SAPConfigSettingsSC@101.9800:FMM_ZANTRAGDATUM">
    <vt:lpwstr/>
  </property>
  <property fmtid="{D5CDD505-2E9C-101B-9397-08002B2CF9AE}" pid="11" name="FSC#SAPConfigSettingsSC@101.9800:FMM_ANZAHL_DER_POS_ANTRAG">
    <vt:lpwstr/>
  </property>
  <property fmtid="{D5CDD505-2E9C-101B-9397-08002B2CF9AE}" pid="12" name="FSC#SAPConfigSettingsSC@101.9800:FMM_ANZAHL_DER_POS_BEWILLIGUNG">
    <vt:lpwstr/>
  </property>
  <property fmtid="{D5CDD505-2E9C-101B-9397-08002B2CF9AE}" pid="13" name="FSC#SAPConfigSettingsSC@101.9800:FMM_AUFWANDSART_ID">
    <vt:lpwstr/>
  </property>
  <property fmtid="{D5CDD505-2E9C-101B-9397-08002B2CF9AE}" pid="14" name="FSC#SAPConfigSettingsSC@101.9800:FMM_AUFWANDSART_TEXT">
    <vt:lpwstr/>
  </property>
  <property fmtid="{D5CDD505-2E9C-101B-9397-08002B2CF9AE}" pid="15" name="FSC#SAPConfigSettingsSC@101.9800:FMM_SWIFT_BIC">
    <vt:lpwstr/>
  </property>
  <property fmtid="{D5CDD505-2E9C-101B-9397-08002B2CF9AE}" pid="16" name="FSC#SAPConfigSettingsSC@101.9800:FMM_IBAN">
    <vt:lpwstr/>
  </property>
  <property fmtid="{D5CDD505-2E9C-101B-9397-08002B2CF9AE}" pid="17" name="FSC#SAPConfigSettingsSC@101.9800:FMM_BEANTRAGTER_BETRAG">
    <vt:lpwstr/>
  </property>
  <property fmtid="{D5CDD505-2E9C-101B-9397-08002B2CF9AE}" pid="18" name="FSC#SAPConfigSettingsSC@101.9800:FMM_BEANTRAGTER_BETRAG_WORT">
    <vt:lpwstr/>
  </property>
  <property fmtid="{D5CDD505-2E9C-101B-9397-08002B2CF9AE}" pid="19" name="FSC#SAPConfigSettingsSC@101.9800:FMM_BILL_DATE">
    <vt:lpwstr/>
  </property>
  <property fmtid="{D5CDD505-2E9C-101B-9397-08002B2CF9AE}" pid="20" name="FSC#SAPConfigSettingsSC@101.9800:FMM_DATUM_DES_ANSUCHENS">
    <vt:lpwstr/>
  </property>
  <property fmtid="{D5CDD505-2E9C-101B-9397-08002B2CF9AE}" pid="21" name="FSC#SAPConfigSettingsSC@101.9800:FMM_ERGEBNIS_DER_ANTRAGSPRUEFUNG">
    <vt:lpwstr/>
  </property>
  <property fmtid="{D5CDD505-2E9C-101B-9397-08002B2CF9AE}" pid="22" name="FSC#SAPConfigSettingsSC@101.9800:FMM_ERSTELLUNGSDATUM_PLUS_35T">
    <vt:lpwstr/>
  </property>
  <property fmtid="{D5CDD505-2E9C-101B-9397-08002B2CF9AE}" pid="23" name="FSC#SAPConfigSettingsSC@101.9800:FMM_EXT_KEY">
    <vt:lpwstr/>
  </property>
  <property fmtid="{D5CDD505-2E9C-101B-9397-08002B2CF9AE}" pid="24" name="FSC#SAPConfigSettingsSC@101.9800:FMM_VORGESCHLAGENER_BETRAG">
    <vt:lpwstr/>
  </property>
  <property fmtid="{D5CDD505-2E9C-101B-9397-08002B2CF9AE}" pid="25" name="FSC#SAPConfigSettingsSC@101.9800:FMM_GRANTOR">
    <vt:lpwstr/>
  </property>
  <property fmtid="{D5CDD505-2E9C-101B-9397-08002B2CF9AE}" pid="26" name="FSC#SAPConfigSettingsSC@101.9800:FMM_GRM_VAL_TO">
    <vt:lpwstr/>
  </property>
  <property fmtid="{D5CDD505-2E9C-101B-9397-08002B2CF9AE}" pid="27" name="FSC#SAPConfigSettingsSC@101.9800:FMM_GRM_VAL_FROM">
    <vt:lpwstr/>
  </property>
  <property fmtid="{D5CDD505-2E9C-101B-9397-08002B2CF9AE}" pid="28" name="FSC#SAPConfigSettingsSC@101.9800:FMM_FREITEXT_ALLGEMEINES_SCHREIBEN">
    <vt:lpwstr/>
  </property>
  <property fmtid="{D5CDD505-2E9C-101B-9397-08002B2CF9AE}" pid="29" name="FSC#SAPConfigSettingsSC@101.9800:FMM_GESAMTBETRAG">
    <vt:lpwstr/>
  </property>
  <property fmtid="{D5CDD505-2E9C-101B-9397-08002B2CF9AE}" pid="30" name="FSC#SAPConfigSettingsSC@101.9800:FMM_GESAMTBETRAG_WORT">
    <vt:lpwstr/>
  </property>
  <property fmtid="{D5CDD505-2E9C-101B-9397-08002B2CF9AE}" pid="31" name="FSC#SAPConfigSettingsSC@101.9800:FMM_GESAMTPROJEKTSUMME">
    <vt:lpwstr/>
  </property>
  <property fmtid="{D5CDD505-2E9C-101B-9397-08002B2CF9AE}" pid="32" name="FSC#SAPConfigSettingsSC@101.9800:FMM_GESAMTPROJEKTSUMME_WORT">
    <vt:lpwstr/>
  </property>
  <property fmtid="{D5CDD505-2E9C-101B-9397-08002B2CF9AE}" pid="33" name="FSC#SAPConfigSettingsSC@101.9800:FMM_GESCHAEFTSZAHL">
    <vt:lpwstr/>
  </property>
  <property fmtid="{D5CDD505-2E9C-101B-9397-08002B2CF9AE}" pid="34" name="FSC#SAPConfigSettingsSC@101.9800:FMM_GRANTOR_ID">
    <vt:lpwstr/>
  </property>
  <property fmtid="{D5CDD505-2E9C-101B-9397-08002B2CF9AE}" pid="35" name="FSC#SAPConfigSettingsSC@101.9800:FMM_1_NACHTRAG">
    <vt:lpwstr/>
  </property>
  <property fmtid="{D5CDD505-2E9C-101B-9397-08002B2CF9AE}" pid="36" name="FSC#SAPConfigSettingsSC@101.9800:FMM_2_NACHTRAG">
    <vt:lpwstr/>
  </property>
  <property fmtid="{D5CDD505-2E9C-101B-9397-08002B2CF9AE}" pid="37" name="FSC#SAPConfigSettingsSC@101.9800:FMM_VERTRAG_FOERDERBARE_KOSTEN">
    <vt:lpwstr/>
  </property>
  <property fmtid="{D5CDD505-2E9C-101B-9397-08002B2CF9AE}" pid="38" name="FSC#SAPConfigSettingsSC@101.9800:FMM_VERTRAG_NICHT_FOERDERBARE_KOSTEN">
    <vt:lpwstr/>
  </property>
  <property fmtid="{D5CDD505-2E9C-101B-9397-08002B2CF9AE}" pid="39" name="FSC#SAPConfigSettingsSC@101.9800:FMM_SERVICE_ORG_TEXT">
    <vt:lpwstr/>
  </property>
  <property fmtid="{D5CDD505-2E9C-101B-9397-08002B2CF9AE}" pid="40" name="FSC#SAPConfigSettingsSC@101.9800:FMM_SERVICE_ORG_ID">
    <vt:lpwstr/>
  </property>
  <property fmtid="{D5CDD505-2E9C-101B-9397-08002B2CF9AE}" pid="41" name="FSC#SAPConfigSettingsSC@101.9800:FMM_SERVICE_ORG_SHORT">
    <vt:lpwstr/>
  </property>
  <property fmtid="{D5CDD505-2E9C-101B-9397-08002B2CF9AE}" pid="42" name="FSC#SAPConfigSettingsSC@101.9800:FMM_POSITIONS">
    <vt:lpwstr/>
  </property>
  <property fmtid="{D5CDD505-2E9C-101B-9397-08002B2CF9AE}" pid="43" name="FSC#SAPConfigSettingsSC@101.9800:FMM_POSITIONS_AGREEMENT">
    <vt:lpwstr/>
  </property>
  <property fmtid="{D5CDD505-2E9C-101B-9397-08002B2CF9AE}" pid="44" name="FSC#SAPConfigSettingsSC@101.9800:FMM_POSITIONS_APPLICATION">
    <vt:lpwstr/>
  </property>
  <property fmtid="{D5CDD505-2E9C-101B-9397-08002B2CF9AE}" pid="45" name="FSC#SAPConfigSettingsSC@101.9800:FMM_PROGRAM_ID">
    <vt:lpwstr/>
  </property>
  <property fmtid="{D5CDD505-2E9C-101B-9397-08002B2CF9AE}" pid="46" name="FSC#SAPConfigSettingsSC@101.9800:FMM_PROGRAM_NAME">
    <vt:lpwstr/>
  </property>
  <property fmtid="{D5CDD505-2E9C-101B-9397-08002B2CF9AE}" pid="47" name="FSC#SAPConfigSettingsSC@101.9800:FMM_VERTRAG_PROJEKTBESCHREIBUNG">
    <vt:lpwstr/>
  </property>
  <property fmtid="{D5CDD505-2E9C-101B-9397-08002B2CF9AE}" pid="48" name="FSC#SAPConfigSettingsSC@101.9800:FMM_PROJEKTZEITRAUM_BIS_PLUS_1M">
    <vt:lpwstr/>
  </property>
  <property fmtid="{D5CDD505-2E9C-101B-9397-08002B2CF9AE}" pid="49" name="FSC#SAPConfigSettingsSC@101.9800:FMM_PROJEKTZEITRAUM_BIS_PLUS_3M">
    <vt:lpwstr/>
  </property>
  <property fmtid="{D5CDD505-2E9C-101B-9397-08002B2CF9AE}" pid="50" name="FSC#SAPConfigSettingsSC@101.9800:FMM_PROJEKTZEITRAUM_VON">
    <vt:lpwstr/>
  </property>
  <property fmtid="{D5CDD505-2E9C-101B-9397-08002B2CF9AE}" pid="51" name="FSC#SAPConfigSettingsSC@101.9800:FMM_PROJEKTZEITRAUM_BIS">
    <vt:lpwstr/>
  </property>
  <property fmtid="{D5CDD505-2E9C-101B-9397-08002B2CF9AE}" pid="52" name="FSC#SAPConfigSettingsSC@101.9800:FMM_RECHTSGRUNDLAGE">
    <vt:lpwstr/>
  </property>
  <property fmtid="{D5CDD505-2E9C-101B-9397-08002B2CF9AE}" pid="53" name="FSC#SAPConfigSettingsSC@101.9800:FMM_RUECKFORDERUNGSGRUND">
    <vt:lpwstr/>
  </property>
  <property fmtid="{D5CDD505-2E9C-101B-9397-08002B2CF9AE}" pid="54" name="FSC#SAPConfigSettingsSC@101.9800:FMM_RUECK_FV">
    <vt:lpwstr/>
  </property>
  <property fmtid="{D5CDD505-2E9C-101B-9397-08002B2CF9AE}" pid="55" name="FSC#SAPConfigSettingsSC@101.9800:FMM_ABLEHNGRUND_SONSTIGES_TXT">
    <vt:lpwstr/>
  </property>
  <property fmtid="{D5CDD505-2E9C-101B-9397-08002B2CF9AE}" pid="56" name="FSC#SAPConfigSettingsSC@101.9800:FMM_VETRAG_SPEZIELLE_FOEDERBEDG">
    <vt:lpwstr/>
  </property>
  <property fmtid="{D5CDD505-2E9C-101B-9397-08002B2CF9AE}" pid="57" name="FSC#SAPConfigSettingsSC@101.9800:FMM_TURNUSARZT">
    <vt:lpwstr/>
  </property>
  <property fmtid="{D5CDD505-2E9C-101B-9397-08002B2CF9AE}" pid="58" name="FSC#SAPConfigSettingsSC@101.9800:FMM_VORGESCHLAGENER_BETRAG_WORT">
    <vt:lpwstr/>
  </property>
  <property fmtid="{D5CDD505-2E9C-101B-9397-08002B2CF9AE}" pid="59" name="FSC#SAPConfigSettingsSC@101.9800:FMM_WIRKUNGSZIELE_EVALUIERUNG">
    <vt:lpwstr/>
  </property>
  <property fmtid="{D5CDD505-2E9C-101B-9397-08002B2CF9AE}" pid="60" name="FSC#SAPConfigSettingsSC@101.9800:FMM_GRANTOR_TYPE">
    <vt:lpwstr/>
  </property>
  <property fmtid="{D5CDD505-2E9C-101B-9397-08002B2CF9AE}" pid="61" name="FSC#SAPConfigSettingsSC@101.9800:FMM_GRANTOR_TYPE_TEXT">
    <vt:lpwstr/>
  </property>
  <property fmtid="{D5CDD505-2E9C-101B-9397-08002B2CF9AE}" pid="62" name="FSC#SAPConfigSettingsSC@101.9800:FMM_XX_BUNDESLAND_MULTISELECT">
    <vt:lpwstr/>
  </property>
  <property fmtid="{D5CDD505-2E9C-101B-9397-08002B2CF9AE}" pid="63" name="FSC#SAPConfigSettingsSC@101.9800:FMM_XX_LGS_MULTISELECT">
    <vt:lpwstr/>
  </property>
  <property fmtid="{D5CDD505-2E9C-101B-9397-08002B2CF9AE}" pid="64" name="FSC#SAPConfigSettingsSC@101.9800:FMM_10_GP_DETAILBEZ">
    <vt:lpwstr/>
  </property>
  <property fmtid="{D5CDD505-2E9C-101B-9397-08002B2CF9AE}" pid="65" name="FSC#SAPConfigSettingsSC@101.9800:FMM_10_MONATLICHE_RATE_WAER">
    <vt:lpwstr/>
  </property>
  <property fmtid="{D5CDD505-2E9C-101B-9397-08002B2CF9AE}" pid="66" name="FSC#SAPConfigSettingsSC@101.9800:FMM_10_MONATLICHE_RATE">
    <vt:lpwstr/>
  </property>
  <property fmtid="{D5CDD505-2E9C-101B-9397-08002B2CF9AE}" pid="67" name="FSC#SAPConfigSettingsSC@101.9800:FMM_VEREINSREGISTERNUMMER">
    <vt:lpwstr/>
  </property>
  <property fmtid="{D5CDD505-2E9C-101B-9397-08002B2CF9AE}" pid="68" name="FSC#SAPConfigSettingsSC@101.9800:FMM_TRADEID">
    <vt:lpwstr/>
  </property>
  <property fmtid="{D5CDD505-2E9C-101B-9397-08002B2CF9AE}" pid="69" name="FSC#SAPConfigSettingsSC@101.9800:FMM_ERGAENZUNGSREGISTERNUMMER">
    <vt:lpwstr/>
  </property>
  <property fmtid="{D5CDD505-2E9C-101B-9397-08002B2CF9AE}" pid="70" name="FSC#SAPConfigSettingsSC@101.9800:FMM_SCHWERPUNKT">
    <vt:lpwstr/>
  </property>
  <property fmtid="{D5CDD505-2E9C-101B-9397-08002B2CF9AE}" pid="71" name="FSC#SAPConfigSettingsSC@101.9800:FMM_PROJEKT_ID">
    <vt:lpwstr/>
  </property>
  <property fmtid="{D5CDD505-2E9C-101B-9397-08002B2CF9AE}" pid="72" name="FSC#SAPConfigSettingsSC@101.9800:FMM_ANMERKUNG_PROJEKT">
    <vt:lpwstr/>
  </property>
  <property fmtid="{D5CDD505-2E9C-101B-9397-08002B2CF9AE}" pid="73" name="FSC#SAPConfigSettingsSC@101.9800:FMM_ANSPRECHPERSON">
    <vt:lpwstr/>
  </property>
  <property fmtid="{D5CDD505-2E9C-101B-9397-08002B2CF9AE}" pid="74" name="FSC#SAPConfigSettingsSC@101.9800:FMM_TELEFON_EMAIL">
    <vt:lpwstr/>
  </property>
  <property fmtid="{D5CDD505-2E9C-101B-9397-08002B2CF9AE}" pid="75" name="FSC#SAPConfigSettingsSC@101.9800:FMM_ANMERKUNG_ABRECHNUNGSFRIST">
    <vt:lpwstr/>
  </property>
  <property fmtid="{D5CDD505-2E9C-101B-9397-08002B2CF9AE}" pid="76" name="FSC#SAPConfigSettingsSC@101.9800:FMM_TEILNEHMERANZAHL">
    <vt:lpwstr/>
  </property>
  <property fmtid="{D5CDD505-2E9C-101B-9397-08002B2CF9AE}" pid="77" name="FSC#SAPConfigSettingsSC@101.9800:FMM_AUSLAND">
    <vt:lpwstr/>
  </property>
  <property fmtid="{D5CDD505-2E9C-101B-9397-08002B2CF9AE}" pid="78" name="FSC#SAPConfigSettingsSC@101.9800:FMM_00_BEANTR_BETRAG">
    <vt:lpwstr/>
  </property>
  <property fmtid="{D5CDD505-2E9C-101B-9397-08002B2CF9AE}" pid="79" name="FSC#SAPConfigSettingsSC@101.9800:FMM_SACHBEARBEITER">
    <vt:lpwstr/>
  </property>
  <property fmtid="{D5CDD505-2E9C-101B-9397-08002B2CF9AE}" pid="80" name="FSC#SAPConfigSettingsSC@101.9800:FMM_ABRECHNUNGSFRIST">
    <vt:lpwstr/>
  </property>
  <property fmtid="{D5CDD505-2E9C-101B-9397-08002B2CF9AE}" pid="81" name="FSC#EIBPRECONFIG@1.1001:EIBInternalApprovedAt">
    <vt:lpwstr/>
  </property>
  <property fmtid="{D5CDD505-2E9C-101B-9397-08002B2CF9AE}" pid="82" name="FSC#EIBPRECONFIG@1.1001:EIBInternalApprovedBy">
    <vt:lpwstr/>
  </property>
  <property fmtid="{D5CDD505-2E9C-101B-9397-08002B2CF9AE}" pid="83" name="FSC#EIBPRECONFIG@1.1001:EIBInternalApprovedByPostTitle">
    <vt:lpwstr/>
  </property>
  <property fmtid="{D5CDD505-2E9C-101B-9397-08002B2CF9AE}" pid="84" name="FSC#EIBPRECONFIG@1.1001:EIBSettlementApprovedBy">
    <vt:lpwstr/>
  </property>
  <property fmtid="{D5CDD505-2E9C-101B-9397-08002B2CF9AE}" pid="85" name="FSC#EIBPRECONFIG@1.1001:EIBSettlementApprovedByFirstnameSurname">
    <vt:lpwstr/>
  </property>
  <property fmtid="{D5CDD505-2E9C-101B-9397-08002B2CF9AE}" pid="86" name="FSC#EIBPRECONFIG@1.1001:EIBSettlementApprovedByPostTitle">
    <vt:lpwstr/>
  </property>
  <property fmtid="{D5CDD505-2E9C-101B-9397-08002B2CF9AE}" pid="87" name="FSC#EIBPRECONFIG@1.1001:EIBApprovedAt">
    <vt:lpwstr/>
  </property>
  <property fmtid="{D5CDD505-2E9C-101B-9397-08002B2CF9AE}" pid="88" name="FSC#EIBPRECONFIG@1.1001:EIBApprovedBy">
    <vt:lpwstr/>
  </property>
  <property fmtid="{D5CDD505-2E9C-101B-9397-08002B2CF9AE}" pid="89" name="FSC#EIBPRECONFIG@1.1001:EIBApprovedBySubst">
    <vt:lpwstr/>
  </property>
  <property fmtid="{D5CDD505-2E9C-101B-9397-08002B2CF9AE}" pid="90" name="FSC#EIBPRECONFIG@1.1001:EIBApprovedByTitle">
    <vt:lpwstr/>
  </property>
  <property fmtid="{D5CDD505-2E9C-101B-9397-08002B2CF9AE}" pid="91" name="FSC#EIBPRECONFIG@1.1001:EIBApprovedByPostTitle">
    <vt:lpwstr/>
  </property>
  <property fmtid="{D5CDD505-2E9C-101B-9397-08002B2CF9AE}" pid="92" name="FSC#EIBPRECONFIG@1.1001:EIBDepartment">
    <vt:lpwstr>BMK - V/2 (Abfall- und Altlastenrecht)</vt:lpwstr>
  </property>
  <property fmtid="{D5CDD505-2E9C-101B-9397-08002B2CF9AE}" pid="93" name="FSC#EIBPRECONFIG@1.1001:EIBDispatchedBy">
    <vt:lpwstr/>
  </property>
  <property fmtid="{D5CDD505-2E9C-101B-9397-08002B2CF9AE}" pid="94" name="FSC#EIBPRECONFIG@1.1001:EIBDispatchedByPostTitle">
    <vt:lpwstr/>
  </property>
  <property fmtid="{D5CDD505-2E9C-101B-9397-08002B2CF9AE}" pid="95" name="FSC#EIBPRECONFIG@1.1001:ExtRefInc">
    <vt:lpwstr/>
  </property>
  <property fmtid="{D5CDD505-2E9C-101B-9397-08002B2CF9AE}" pid="96" name="FSC#EIBPRECONFIG@1.1001:IncomingAddrdate">
    <vt:lpwstr/>
  </property>
  <property fmtid="{D5CDD505-2E9C-101B-9397-08002B2CF9AE}" pid="97" name="FSC#EIBPRECONFIG@1.1001:IncomingDelivery">
    <vt:lpwstr/>
  </property>
  <property fmtid="{D5CDD505-2E9C-101B-9397-08002B2CF9AE}" pid="98" name="FSC#EIBPRECONFIG@1.1001:OwnerEmail">
    <vt:lpwstr>GEORG.FUERNSINN@BMK.GV.AT</vt:lpwstr>
  </property>
  <property fmtid="{D5CDD505-2E9C-101B-9397-08002B2CF9AE}" pid="99" name="FSC#EIBPRECONFIG@1.1001:FileOUEmail">
    <vt:lpwstr>v2@bmk.gv.at</vt:lpwstr>
  </property>
  <property fmtid="{D5CDD505-2E9C-101B-9397-08002B2CF9AE}" pid="100" name="FSC#EIBPRECONFIG@1.1001:OUEmail">
    <vt:lpwstr>v2@bmk.gv.at</vt:lpwstr>
  </property>
  <property fmtid="{D5CDD505-2E9C-101B-9397-08002B2CF9AE}" pid="101" name="FSC#EIBPRECONFIG@1.1001:OwnerGender">
    <vt:lpwstr>Männlich</vt:lpwstr>
  </property>
  <property fmtid="{D5CDD505-2E9C-101B-9397-08002B2CF9AE}" pid="102" name="FSC#EIBPRECONFIG@1.1001:Priority">
    <vt:lpwstr>Nein</vt:lpwstr>
  </property>
  <property fmtid="{D5CDD505-2E9C-101B-9397-08002B2CF9AE}" pid="103" name="FSC#EIBPRECONFIG@1.1001:PreviousFiles">
    <vt:lpwstr/>
  </property>
  <property fmtid="{D5CDD505-2E9C-101B-9397-08002B2CF9AE}" pid="104" name="FSC#EIBPRECONFIG@1.1001:NextFiles">
    <vt:lpwstr/>
  </property>
  <property fmtid="{D5CDD505-2E9C-101B-9397-08002B2CF9AE}" pid="105" name="FSC#EIBPRECONFIG@1.1001:RelatedFiles">
    <vt:lpwstr/>
  </property>
  <property fmtid="{D5CDD505-2E9C-101B-9397-08002B2CF9AE}" pid="106" name="FSC#EIBPRECONFIG@1.1001:CompletedOrdinals">
    <vt:lpwstr/>
  </property>
  <property fmtid="{D5CDD505-2E9C-101B-9397-08002B2CF9AE}" pid="107" name="FSC#EIBPRECONFIG@1.1001:NrAttachments">
    <vt:lpwstr/>
  </property>
  <property fmtid="{D5CDD505-2E9C-101B-9397-08002B2CF9AE}" pid="108" name="FSC#EIBPRECONFIG@1.1001:Attachments">
    <vt:lpwstr/>
  </property>
  <property fmtid="{D5CDD505-2E9C-101B-9397-08002B2CF9AE}" pid="109" name="FSC#EIBPRECONFIG@1.1001:SubjectArea">
    <vt:lpwstr>Legistik im Abfallbereich</vt:lpwstr>
  </property>
  <property fmtid="{D5CDD505-2E9C-101B-9397-08002B2CF9AE}" pid="110" name="FSC#EIBPRECONFIG@1.1001:Recipients">
    <vt:lpwstr/>
  </property>
  <property fmtid="{D5CDD505-2E9C-101B-9397-08002B2CF9AE}" pid="111" name="FSC#EIBPRECONFIG@1.1001:Classified">
    <vt:lpwstr/>
  </property>
  <property fmtid="{D5CDD505-2E9C-101B-9397-08002B2CF9AE}" pid="112" name="FSC#EIBPRECONFIG@1.1001:Deadline">
    <vt:lpwstr/>
  </property>
  <property fmtid="{D5CDD505-2E9C-101B-9397-08002B2CF9AE}" pid="113" name="FSC#EIBPRECONFIG@1.1001:SettlementSubj">
    <vt:lpwstr/>
  </property>
  <property fmtid="{D5CDD505-2E9C-101B-9397-08002B2CF9AE}" pid="114" name="FSC#EIBPRECONFIG@1.1001:OUAddr">
    <vt:lpwstr>Stubenbastei 5, 1010 Wien</vt:lpwstr>
  </property>
  <property fmtid="{D5CDD505-2E9C-101B-9397-08002B2CF9AE}" pid="115" name="FSC#EIBPRECONFIG@1.1001:FileOUName">
    <vt:lpwstr>BMK - V/2 (Abfall- und Altlastenrecht)</vt:lpwstr>
  </property>
  <property fmtid="{D5CDD505-2E9C-101B-9397-08002B2CF9AE}" pid="116" name="FSC#EIBPRECONFIG@1.1001:FileOUDescr">
    <vt:lpwstr>202</vt:lpwstr>
  </property>
  <property fmtid="{D5CDD505-2E9C-101B-9397-08002B2CF9AE}" pid="117" name="FSC#EIBPRECONFIG@1.1001:OUDescr">
    <vt:lpwstr>202</vt:lpwstr>
  </property>
  <property fmtid="{D5CDD505-2E9C-101B-9397-08002B2CF9AE}" pid="118" name="FSC#EIBPRECONFIG@1.1001:Signatures">
    <vt:lpwstr>Abzeichnen_x000d_
Abzeichnen</vt:lpwstr>
  </property>
  <property fmtid="{D5CDD505-2E9C-101B-9397-08002B2CF9AE}" pid="119" name="FSC#EIBPRECONFIG@1.1001:currentuser">
    <vt:lpwstr>COO.3000.100.1.16807</vt:lpwstr>
  </property>
  <property fmtid="{D5CDD505-2E9C-101B-9397-08002B2CF9AE}" pid="120" name="FSC#EIBPRECONFIG@1.1001:currentuserrolegroup">
    <vt:lpwstr>COO.3000.100.1.16219</vt:lpwstr>
  </property>
  <property fmtid="{D5CDD505-2E9C-101B-9397-08002B2CF9AE}" pid="121" name="FSC#EIBPRECONFIG@1.1001:currentuserroleposition">
    <vt:lpwstr>COO.1.1001.1.4595</vt:lpwstr>
  </property>
  <property fmtid="{D5CDD505-2E9C-101B-9397-08002B2CF9AE}" pid="122" name="FSC#EIBPRECONFIG@1.1001:currentuserroot">
    <vt:lpwstr>COO.3000.106.2.2589551</vt:lpwstr>
  </property>
  <property fmtid="{D5CDD505-2E9C-101B-9397-08002B2CF9AE}" pid="123" name="FSC#EIBPRECONFIG@1.1001:toplevelobject">
    <vt:lpwstr>COO.3000.106.14.2620571</vt:lpwstr>
  </property>
  <property fmtid="{D5CDD505-2E9C-101B-9397-08002B2CF9AE}" pid="124" name="FSC#EIBPRECONFIG@1.1001:objchangedby">
    <vt:lpwstr>Mag. Evelyn Wolfslehner</vt:lpwstr>
  </property>
  <property fmtid="{D5CDD505-2E9C-101B-9397-08002B2CF9AE}" pid="125" name="FSC#EIBPRECONFIG@1.1001:objchangedbyPostTitle">
    <vt:lpwstr/>
  </property>
  <property fmtid="{D5CDD505-2E9C-101B-9397-08002B2CF9AE}" pid="126" name="FSC#EIBPRECONFIG@1.1001:objchangedat">
    <vt:lpwstr>27.03.2023</vt:lpwstr>
  </property>
  <property fmtid="{D5CDD505-2E9C-101B-9397-08002B2CF9AE}" pid="127" name="FSC#EIBPRECONFIG@1.1001:objname">
    <vt:lpwstr>EinwegpfandVO Getränkeverpackungen Entwurf</vt:lpwstr>
  </property>
  <property fmtid="{D5CDD505-2E9C-101B-9397-08002B2CF9AE}" pid="128" name="FSC#EIBPRECONFIG@1.1001:EIBProcessResponsiblePhone">
    <vt:lpwstr/>
  </property>
  <property fmtid="{D5CDD505-2E9C-101B-9397-08002B2CF9AE}" pid="129" name="FSC#EIBPRECONFIG@1.1001:EIBProcessResponsibleMail">
    <vt:lpwstr/>
  </property>
  <property fmtid="{D5CDD505-2E9C-101B-9397-08002B2CF9AE}" pid="130" name="FSC#EIBPRECONFIG@1.1001:EIBProcessResponsibleFax">
    <vt:lpwstr/>
  </property>
  <property fmtid="{D5CDD505-2E9C-101B-9397-08002B2CF9AE}" pid="131" name="FSC#EIBPRECONFIG@1.1001:EIBProcessResponsiblePostTitle">
    <vt:lpwstr/>
  </property>
  <property fmtid="{D5CDD505-2E9C-101B-9397-08002B2CF9AE}" pid="132" name="FSC#EIBPRECONFIG@1.1001:EIBProcessResponsible">
    <vt:lpwstr/>
  </property>
  <property fmtid="{D5CDD505-2E9C-101B-9397-08002B2CF9AE}" pid="133" name="FSC#EIBPRECONFIG@1.1001:FileResponsibleFullName">
    <vt:lpwstr/>
  </property>
  <property fmtid="{D5CDD505-2E9C-101B-9397-08002B2CF9AE}" pid="134" name="FSC#EIBPRECONFIG@1.1001:FileResponsibleFirstnameSurname">
    <vt:lpwstr/>
  </property>
  <property fmtid="{D5CDD505-2E9C-101B-9397-08002B2CF9AE}" pid="135" name="FSC#EIBPRECONFIG@1.1001:FileResponsibleEmail">
    <vt:lpwstr/>
  </property>
  <property fmtid="{D5CDD505-2E9C-101B-9397-08002B2CF9AE}" pid="136" name="FSC#EIBPRECONFIG@1.1001:FileResponsibleExtension">
    <vt:lpwstr/>
  </property>
  <property fmtid="{D5CDD505-2E9C-101B-9397-08002B2CF9AE}" pid="137" name="FSC#EIBPRECONFIG@1.1001:FileResponsibleFaxExtension">
    <vt:lpwstr/>
  </property>
  <property fmtid="{D5CDD505-2E9C-101B-9397-08002B2CF9AE}" pid="138" name="FSC#EIBPRECONFIG@1.1001:FileResponsibleGender">
    <vt:lpwstr/>
  </property>
  <property fmtid="{D5CDD505-2E9C-101B-9397-08002B2CF9AE}" pid="139" name="FSC#EIBPRECONFIG@1.1001:FileResponsibleAddr">
    <vt:lpwstr/>
  </property>
  <property fmtid="{D5CDD505-2E9C-101B-9397-08002B2CF9AE}" pid="140" name="FSC#EIBPRECONFIG@1.1001:OwnerPostTitle">
    <vt:lpwstr/>
  </property>
  <property fmtid="{D5CDD505-2E9C-101B-9397-08002B2CF9AE}" pid="141" name="FSC#EIBPRECONFIG@1.1001:OwnerAddr">
    <vt:lpwstr>Stubenbastei 5, 1010 Wien</vt:lpwstr>
  </property>
  <property fmtid="{D5CDD505-2E9C-101B-9397-08002B2CF9AE}" pid="142" name="FSC#EIBPRECONFIG@1.1001:IsFileAttachment">
    <vt:lpwstr>Ja</vt:lpwstr>
  </property>
  <property fmtid="{D5CDD505-2E9C-101B-9397-08002B2CF9AE}" pid="143" name="FSC#EIBPRECONFIG@1.1001:AddrTelefon">
    <vt:lpwstr/>
  </property>
  <property fmtid="{D5CDD505-2E9C-101B-9397-08002B2CF9AE}" pid="144" name="FSC#EIBPRECONFIG@1.1001:AddrGeburtsdatum">
    <vt:lpwstr/>
  </property>
  <property fmtid="{D5CDD505-2E9C-101B-9397-08002B2CF9AE}" pid="145" name="FSC#EIBPRECONFIG@1.1001:AddrGeboren_am_2">
    <vt:lpwstr/>
  </property>
  <property fmtid="{D5CDD505-2E9C-101B-9397-08002B2CF9AE}" pid="146" name="FSC#EIBPRECONFIG@1.1001:AddrBundesland">
    <vt:lpwstr/>
  </property>
  <property fmtid="{D5CDD505-2E9C-101B-9397-08002B2CF9AE}" pid="147" name="FSC#EIBPRECONFIG@1.1001:AddrBezeichnung">
    <vt:lpwstr/>
  </property>
  <property fmtid="{D5CDD505-2E9C-101B-9397-08002B2CF9AE}" pid="148" name="FSC#EIBPRECONFIG@1.1001:AddrGruppeName_vollstaendig">
    <vt:lpwstr/>
  </property>
  <property fmtid="{D5CDD505-2E9C-101B-9397-08002B2CF9AE}" pid="149" name="FSC#EIBPRECONFIG@1.1001:AddrAdresseBeschreibung">
    <vt:lpwstr/>
  </property>
  <property fmtid="{D5CDD505-2E9C-101B-9397-08002B2CF9AE}" pid="150" name="FSC#EIBPRECONFIG@1.1001:AddrName_Ergaenzung">
    <vt:lpwstr/>
  </property>
  <property fmtid="{D5CDD505-2E9C-101B-9397-08002B2CF9AE}" pid="151" name="FSC#COOELAK@1.1001:Subject">
    <vt:lpwstr>Pfandverordnung für Einweggetränkeverpackungen; Aussendung in das Begutachtungsverfahren</vt:lpwstr>
  </property>
  <property fmtid="{D5CDD505-2E9C-101B-9397-08002B2CF9AE}" pid="152" name="FSC#COOELAK@1.1001:FileReference">
    <vt:lpwstr>2023-0.195.934</vt:lpwstr>
  </property>
  <property fmtid="{D5CDD505-2E9C-101B-9397-08002B2CF9AE}" pid="153" name="FSC#COOELAK@1.1001:FileRefYear">
    <vt:lpwstr>2023</vt:lpwstr>
  </property>
  <property fmtid="{D5CDD505-2E9C-101B-9397-08002B2CF9AE}" pid="154" name="FSC#COOELAK@1.1001:FileRefOrdinal">
    <vt:lpwstr>195934</vt:lpwstr>
  </property>
  <property fmtid="{D5CDD505-2E9C-101B-9397-08002B2CF9AE}" pid="155" name="FSC#COOELAK@1.1001:FileRefOU">
    <vt:lpwstr>V/2</vt:lpwstr>
  </property>
  <property fmtid="{D5CDD505-2E9C-101B-9397-08002B2CF9AE}" pid="156" name="FSC#COOELAK@1.1001:Organization">
    <vt:lpwstr/>
  </property>
  <property fmtid="{D5CDD505-2E9C-101B-9397-08002B2CF9AE}" pid="157" name="FSC#COOELAK@1.1001:Owner">
    <vt:lpwstr>Mag. Georg Fürnsinn</vt:lpwstr>
  </property>
  <property fmtid="{D5CDD505-2E9C-101B-9397-08002B2CF9AE}" pid="158" name="FSC#COOELAK@1.1001:OwnerExtension">
    <vt:lpwstr>+43 1 71162 613437</vt:lpwstr>
  </property>
  <property fmtid="{D5CDD505-2E9C-101B-9397-08002B2CF9AE}" pid="159" name="FSC#COOELAK@1.1001:OwnerFaxExtension">
    <vt:lpwstr>+43 1 5131679 1077</vt:lpwstr>
  </property>
  <property fmtid="{D5CDD505-2E9C-101B-9397-08002B2CF9AE}" pid="160" name="FSC#COOELAK@1.1001:DispatchedBy">
    <vt:lpwstr/>
  </property>
  <property fmtid="{D5CDD505-2E9C-101B-9397-08002B2CF9AE}" pid="161" name="FSC#COOELAK@1.1001:DispatchedAt">
    <vt:lpwstr/>
  </property>
  <property fmtid="{D5CDD505-2E9C-101B-9397-08002B2CF9AE}" pid="162" name="FSC#COOELAK@1.1001:ApprovedBy">
    <vt:lpwstr/>
  </property>
  <property fmtid="{D5CDD505-2E9C-101B-9397-08002B2CF9AE}" pid="163" name="FSC#COOELAK@1.1001:ApprovedAt">
    <vt:lpwstr/>
  </property>
  <property fmtid="{D5CDD505-2E9C-101B-9397-08002B2CF9AE}" pid="164" name="FSC#COOELAK@1.1001:Department">
    <vt:lpwstr>BMK - V/2 (Abfall- und Altlastenrecht)</vt:lpwstr>
  </property>
  <property fmtid="{D5CDD505-2E9C-101B-9397-08002B2CF9AE}" pid="165" name="FSC#COOELAK@1.1001:CreatedAt">
    <vt:lpwstr>24.03.2023</vt:lpwstr>
  </property>
  <property fmtid="{D5CDD505-2E9C-101B-9397-08002B2CF9AE}" pid="166" name="FSC#COOELAK@1.1001:OU">
    <vt:lpwstr>BMK - V/2 (Abfall- und Altlastenrecht)</vt:lpwstr>
  </property>
  <property fmtid="{D5CDD505-2E9C-101B-9397-08002B2CF9AE}" pid="167" name="FSC#COOELAK@1.1001:Priority">
    <vt:lpwstr> ()</vt:lpwstr>
  </property>
  <property fmtid="{D5CDD505-2E9C-101B-9397-08002B2CF9AE}" pid="168" name="FSC#COOELAK@1.1001:ObjBarCode">
    <vt:lpwstr>*COO.3000.106.6.2520590*</vt:lpwstr>
  </property>
  <property fmtid="{D5CDD505-2E9C-101B-9397-08002B2CF9AE}" pid="169" name="FSC#COOELAK@1.1001:RefBarCode">
    <vt:lpwstr/>
  </property>
  <property fmtid="{D5CDD505-2E9C-101B-9397-08002B2CF9AE}" pid="170" name="FSC#COOELAK@1.1001:FileRefBarCode">
    <vt:lpwstr>*2023-0.195.934*</vt:lpwstr>
  </property>
  <property fmtid="{D5CDD505-2E9C-101B-9397-08002B2CF9AE}" pid="171" name="FSC#COOELAK@1.1001:ExternalRef">
    <vt:lpwstr/>
  </property>
  <property fmtid="{D5CDD505-2E9C-101B-9397-08002B2CF9AE}" pid="172" name="FSC#COOELAK@1.1001:IncomingNumber">
    <vt:lpwstr/>
  </property>
  <property fmtid="{D5CDD505-2E9C-101B-9397-08002B2CF9AE}" pid="173" name="FSC#COOELAK@1.1001:IncomingSubject">
    <vt:lpwstr/>
  </property>
  <property fmtid="{D5CDD505-2E9C-101B-9397-08002B2CF9AE}" pid="174" name="FSC#COOELAK@1.1001:ProcessResponsible">
    <vt:lpwstr/>
  </property>
  <property fmtid="{D5CDD505-2E9C-101B-9397-08002B2CF9AE}" pid="175" name="FSC#COOELAK@1.1001:ProcessResponsiblePhone">
    <vt:lpwstr/>
  </property>
  <property fmtid="{D5CDD505-2E9C-101B-9397-08002B2CF9AE}" pid="176" name="FSC#COOELAK@1.1001:ProcessResponsibleMail">
    <vt:lpwstr/>
  </property>
  <property fmtid="{D5CDD505-2E9C-101B-9397-08002B2CF9AE}" pid="177" name="FSC#COOELAK@1.1001:ProcessResponsibleFax">
    <vt:lpwstr/>
  </property>
  <property fmtid="{D5CDD505-2E9C-101B-9397-08002B2CF9AE}" pid="178" name="FSC#COOELAK@1.1001:ApproverFirstName">
    <vt:lpwstr/>
  </property>
  <property fmtid="{D5CDD505-2E9C-101B-9397-08002B2CF9AE}" pid="179" name="FSC#COOELAK@1.1001:ApproverSurName">
    <vt:lpwstr/>
  </property>
  <property fmtid="{D5CDD505-2E9C-101B-9397-08002B2CF9AE}" pid="180" name="FSC#COOELAK@1.1001:ApproverTitle">
    <vt:lpwstr/>
  </property>
  <property fmtid="{D5CDD505-2E9C-101B-9397-08002B2CF9AE}" pid="181" name="FSC#COOELAK@1.1001:ExternalDate">
    <vt:lpwstr/>
  </property>
  <property fmtid="{D5CDD505-2E9C-101B-9397-08002B2CF9AE}" pid="182" name="FSC#COOELAK@1.1001:SettlementApprovedAt">
    <vt:lpwstr/>
  </property>
  <property fmtid="{D5CDD505-2E9C-101B-9397-08002B2CF9AE}" pid="183" name="FSC#COOELAK@1.1001:BaseNumber">
    <vt:lpwstr>UW.2.1.6</vt:lpwstr>
  </property>
  <property fmtid="{D5CDD505-2E9C-101B-9397-08002B2CF9AE}" pid="184" name="FSC#COOELAK@1.1001:CurrentUserRolePos">
    <vt:lpwstr>Leiter/in</vt:lpwstr>
  </property>
  <property fmtid="{D5CDD505-2E9C-101B-9397-08002B2CF9AE}" pid="185" name="FSC#COOELAK@1.1001:CurrentUserEmail">
    <vt:lpwstr>CHRISTIAN.HOLZER@BMK.GV.AT</vt:lpwstr>
  </property>
  <property fmtid="{D5CDD505-2E9C-101B-9397-08002B2CF9AE}" pid="186" name="FSC#ELAKGOV@1.1001:PersonalSubjGender">
    <vt:lpwstr/>
  </property>
  <property fmtid="{D5CDD505-2E9C-101B-9397-08002B2CF9AE}" pid="187" name="FSC#ELAKGOV@1.1001:PersonalSubjFirstName">
    <vt:lpwstr/>
  </property>
  <property fmtid="{D5CDD505-2E9C-101B-9397-08002B2CF9AE}" pid="188" name="FSC#ELAKGOV@1.1001:PersonalSubjSurName">
    <vt:lpwstr/>
  </property>
  <property fmtid="{D5CDD505-2E9C-101B-9397-08002B2CF9AE}" pid="189" name="FSC#ELAKGOV@1.1001:PersonalSubjSalutation">
    <vt:lpwstr/>
  </property>
  <property fmtid="{D5CDD505-2E9C-101B-9397-08002B2CF9AE}" pid="190" name="FSC#ELAKGOV@1.1001:PersonalSubjAddress">
    <vt:lpwstr/>
  </property>
  <property fmtid="{D5CDD505-2E9C-101B-9397-08002B2CF9AE}" pid="191" name="FSC#ATSTATECFG@1.1001:Office">
    <vt:lpwstr/>
  </property>
  <property fmtid="{D5CDD505-2E9C-101B-9397-08002B2CF9AE}" pid="192" name="FSC#ATSTATECFG@1.1001:Agent">
    <vt:lpwstr/>
  </property>
  <property fmtid="{D5CDD505-2E9C-101B-9397-08002B2CF9AE}" pid="193" name="FSC#ATSTATECFG@1.1001:AgentPhone">
    <vt:lpwstr/>
  </property>
  <property fmtid="{D5CDD505-2E9C-101B-9397-08002B2CF9AE}" pid="194" name="FSC#ATSTATECFG@1.1001:DepartmentFax">
    <vt:lpwstr/>
  </property>
  <property fmtid="{D5CDD505-2E9C-101B-9397-08002B2CF9AE}" pid="195" name="FSC#ATSTATECFG@1.1001:DepartmentEmail">
    <vt:lpwstr/>
  </property>
  <property fmtid="{D5CDD505-2E9C-101B-9397-08002B2CF9AE}" pid="196" name="FSC#ATSTATECFG@1.1001:SubfileDate">
    <vt:lpwstr/>
  </property>
  <property fmtid="{D5CDD505-2E9C-101B-9397-08002B2CF9AE}" pid="197" name="FSC#ATSTATECFG@1.1001:SubfileSubject">
    <vt:lpwstr/>
  </property>
  <property fmtid="{D5CDD505-2E9C-101B-9397-08002B2CF9AE}" pid="198" name="FSC#ATSTATECFG@1.1001:DepartmentZipCode">
    <vt:lpwstr/>
  </property>
  <property fmtid="{D5CDD505-2E9C-101B-9397-08002B2CF9AE}" pid="199" name="FSC#ATSTATECFG@1.1001:DepartmentCountry">
    <vt:lpwstr/>
  </property>
  <property fmtid="{D5CDD505-2E9C-101B-9397-08002B2CF9AE}" pid="200" name="FSC#ATSTATECFG@1.1001:DepartmentCity">
    <vt:lpwstr/>
  </property>
  <property fmtid="{D5CDD505-2E9C-101B-9397-08002B2CF9AE}" pid="201" name="FSC#ATSTATECFG@1.1001:DepartmentStreet">
    <vt:lpwstr/>
  </property>
  <property fmtid="{D5CDD505-2E9C-101B-9397-08002B2CF9AE}" pid="202" name="FSC#CCAPRECONFIGG@15.1001:DepartmentON">
    <vt:lpwstr/>
  </property>
  <property fmtid="{D5CDD505-2E9C-101B-9397-08002B2CF9AE}" pid="203" name="FSC#CCAPRECONFIGG@15.1001:DepartmentWebsite">
    <vt:lpwstr/>
  </property>
  <property fmtid="{D5CDD505-2E9C-101B-9397-08002B2CF9AE}" pid="204" name="FSC#ATSTATECFG@1.1001:DepartmentDVR">
    <vt:lpwstr/>
  </property>
  <property fmtid="{D5CDD505-2E9C-101B-9397-08002B2CF9AE}" pid="205" name="FSC#ATSTATECFG@1.1001:DepartmentUID">
    <vt:lpwstr/>
  </property>
  <property fmtid="{D5CDD505-2E9C-101B-9397-08002B2CF9AE}" pid="206" name="FSC#ATSTATECFG@1.1001:SubfileReference">
    <vt:lpwstr/>
  </property>
  <property fmtid="{D5CDD505-2E9C-101B-9397-08002B2CF9AE}" pid="207" name="FSC#ATSTATECFG@1.1001:Clause">
    <vt:lpwstr/>
  </property>
  <property fmtid="{D5CDD505-2E9C-101B-9397-08002B2CF9AE}" pid="208" name="FSC#ATSTATECFG@1.1001:ApprovedSignature">
    <vt:lpwstr/>
  </property>
  <property fmtid="{D5CDD505-2E9C-101B-9397-08002B2CF9AE}" pid="209" name="FSC#ATSTATECFG@1.1001:BankAccount">
    <vt:lpwstr/>
  </property>
  <property fmtid="{D5CDD505-2E9C-101B-9397-08002B2CF9AE}" pid="210" name="FSC#ATSTATECFG@1.1001:BankAccountOwner">
    <vt:lpwstr/>
  </property>
  <property fmtid="{D5CDD505-2E9C-101B-9397-08002B2CF9AE}" pid="211" name="FSC#ATSTATECFG@1.1001:BankInstitute">
    <vt:lpwstr/>
  </property>
  <property fmtid="{D5CDD505-2E9C-101B-9397-08002B2CF9AE}" pid="212" name="FSC#ATSTATECFG@1.1001:BankAccountID">
    <vt:lpwstr/>
  </property>
  <property fmtid="{D5CDD505-2E9C-101B-9397-08002B2CF9AE}" pid="213" name="FSC#ATSTATECFG@1.1001:BankAccountIBAN">
    <vt:lpwstr/>
  </property>
  <property fmtid="{D5CDD505-2E9C-101B-9397-08002B2CF9AE}" pid="214" name="FSC#ATSTATECFG@1.1001:BankAccountBIC">
    <vt:lpwstr/>
  </property>
  <property fmtid="{D5CDD505-2E9C-101B-9397-08002B2CF9AE}" pid="215" name="FSC#ATSTATECFG@1.1001:BankName">
    <vt:lpwstr/>
  </property>
  <property fmtid="{D5CDD505-2E9C-101B-9397-08002B2CF9AE}" pid="216" name="FSC#COOELAK@1.1001:ObjectAddressees">
    <vt:lpwstr/>
  </property>
  <property fmtid="{D5CDD505-2E9C-101B-9397-08002B2CF9AE}" pid="217" name="FSC#COOELAK@1.1001:replyreference">
    <vt:lpwstr/>
  </property>
  <property fmtid="{D5CDD505-2E9C-101B-9397-08002B2CF9AE}" pid="218" name="FSC#COOELAK@1.1001:OfficeHours">
    <vt:lpwstr/>
  </property>
  <property fmtid="{D5CDD505-2E9C-101B-9397-08002B2CF9AE}" pid="219" name="FSC#COOELAK@1.1001:FileRefOULong">
    <vt:lpwstr>Abfall- und Altlastenrecht</vt:lpwstr>
  </property>
  <property fmtid="{D5CDD505-2E9C-101B-9397-08002B2CF9AE}" pid="220" name="FSC#ATPRECONFIG@1.1001:ChargePreview">
    <vt:lpwstr/>
  </property>
  <property fmtid="{D5CDD505-2E9C-101B-9397-08002B2CF9AE}" pid="221" name="FSC#ATSTATECFG@1.1001:ExternalFile">
    <vt:lpwstr/>
  </property>
  <property fmtid="{D5CDD505-2E9C-101B-9397-08002B2CF9AE}" pid="222" name="FSC#COOSYSTEM@1.1:Container">
    <vt:lpwstr>COO.3000.106.6.2520590</vt:lpwstr>
  </property>
  <property fmtid="{D5CDD505-2E9C-101B-9397-08002B2CF9AE}" pid="223" name="FSC#FSCFOLIO@1.1001:docpropproject">
    <vt:lpwstr/>
  </property>
  <property fmtid="{D5CDD505-2E9C-101B-9397-08002B2CF9AE}" pid="224" name="LegistikVersion">
    <vt:lpwstr>2.0.0.0 (20.02.2023)</vt:lpwstr>
  </property>
</Properties>
</file>