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24AF" w14:textId="6293A273" w:rsidR="00A61365" w:rsidRDefault="00A61365">
      <w:pPr>
        <w:rPr>
          <w:b/>
        </w:rPr>
      </w:pPr>
      <w:r>
        <w:rPr>
          <w:b/>
        </w:rPr>
        <w:t>PROJEKTS DATĒTS AR 2023. gada 24. aprīli</w:t>
      </w:r>
    </w:p>
    <w:p w14:paraId="47AEB7CF" w14:textId="77777777" w:rsidR="00A61365" w:rsidRDefault="00A61365">
      <w:pPr>
        <w:rPr>
          <w:b/>
        </w:rPr>
      </w:pPr>
    </w:p>
    <w:p w14:paraId="6180DDA9" w14:textId="710E2BAE" w:rsidR="00812A71" w:rsidRDefault="00DE2DBE">
      <w:r>
        <w:rPr>
          <w:b/>
        </w:rPr>
        <w:t>[Datums] dekrēts, ar ko groza dekrētu par uguņošanas ierīcēm saistībā ar Beniluksa lēmuma par pirotehnikas atļaujas ieviešanu, un citi grozījumi</w:t>
      </w:r>
    </w:p>
    <w:p w14:paraId="72D47658" w14:textId="77777777" w:rsidR="004550E6" w:rsidRDefault="004550E6"/>
    <w:p w14:paraId="27C48DC3" w14:textId="1F17E5B8" w:rsidR="00812A71" w:rsidRDefault="00DE2DBE">
      <w:r>
        <w:t> </w:t>
      </w:r>
    </w:p>
    <w:p w14:paraId="29AE9671" w14:textId="77777777" w:rsidR="001B02F2" w:rsidRDefault="00DE2DBE">
      <w:r>
        <w:t>Par Infrastruktūras un ūdens apsaimniekošanas valsts sekretāra ieteikumu Nr. Ien/BSK; Administratīvo un juridisko lietu centrālais departaments;</w:t>
      </w:r>
    </w:p>
    <w:p w14:paraId="35B52BA7" w14:textId="77777777" w:rsidR="001B02F2" w:rsidRDefault="00DE2DBE">
      <w:r>
        <w:t>ņemot vērā 9.2.2.1. panta 1. un 2. punktu un 9.5.8. panta 3., 4. un 6. punktu;</w:t>
      </w:r>
    </w:p>
    <w:p w14:paraId="0BFE77BB" w14:textId="77777777" w:rsidR="001B02F2" w:rsidRDefault="00DE2DBE">
      <w:r>
        <w:t>pēc Valsts padomes Padomdevējas nodaļas atzinuma uzklausīšanas ([datums] atzinums Nr. [numurs]);</w:t>
      </w:r>
    </w:p>
    <w:p w14:paraId="6870CA70" w14:textId="3C44008C" w:rsidR="00812A71" w:rsidRDefault="00DE2DBE">
      <w:r>
        <w:t>ņemot vērā apsaimniekošanas valsts sekretāra detalizēto ziņojumu Nr. IenW/BSK; Administratīvo un juridisko lietu centrālais departaments;</w:t>
      </w:r>
    </w:p>
    <w:p w14:paraId="4A13238C" w14:textId="77777777" w:rsidR="00812A71" w:rsidRDefault="00DE2DBE">
      <w:r>
        <w:t> </w:t>
      </w:r>
    </w:p>
    <w:p w14:paraId="5B478B2C" w14:textId="77777777" w:rsidR="00812A71" w:rsidRDefault="00DE2DBE">
      <w:r>
        <w:t>apstiprinu un izdodu šādu dekrētu.</w:t>
      </w:r>
    </w:p>
    <w:p w14:paraId="62B3049A" w14:textId="77777777" w:rsidR="00812A71" w:rsidRDefault="00DE2DBE">
      <w:r>
        <w:t> </w:t>
      </w:r>
    </w:p>
    <w:p w14:paraId="08C47E30" w14:textId="147069F8" w:rsidR="00812A71" w:rsidRDefault="006F7252">
      <w:pPr>
        <w:rPr>
          <w:b/>
          <w:bCs/>
        </w:rPr>
      </w:pPr>
      <w:bookmarkStart w:id="0" w:name="_Hlk124949658"/>
      <w:r>
        <w:rPr>
          <w:b/>
        </w:rPr>
        <w:t>I PANTS</w:t>
      </w:r>
    </w:p>
    <w:p w14:paraId="379E0185" w14:textId="43AD2E86" w:rsidR="006F7252" w:rsidRDefault="006F7252">
      <w:pPr>
        <w:rPr>
          <w:b/>
          <w:bCs/>
        </w:rPr>
      </w:pPr>
    </w:p>
    <w:p w14:paraId="65DE9109" w14:textId="514A9AD2" w:rsidR="006F7252" w:rsidRPr="006F7252" w:rsidRDefault="006F7252">
      <w:r>
        <w:t>Dekrētu par uguņošanas ierīcēm [Vuurwerkbesluit] groza šādi:</w:t>
      </w:r>
    </w:p>
    <w:p w14:paraId="75299CAD" w14:textId="77777777" w:rsidR="00812A71" w:rsidRDefault="00DE2DBE">
      <w:r>
        <w:t> </w:t>
      </w:r>
    </w:p>
    <w:p w14:paraId="586C7D40" w14:textId="693C44A7" w:rsidR="00812A71" w:rsidRDefault="00C57973">
      <w:r>
        <w:t>A</w:t>
      </w:r>
    </w:p>
    <w:p w14:paraId="4822AB6F" w14:textId="7517A952" w:rsidR="00C57973" w:rsidRDefault="00C57973"/>
    <w:p w14:paraId="4169BAB0" w14:textId="784B9809" w:rsidR="00864C9A" w:rsidRDefault="00864C9A" w:rsidP="00864C9A">
      <w:r>
        <w:t>Direktīvas 1.1.1. panta 1. punktā alfabētiskā secībā iekļauj šādas definīcijas:</w:t>
      </w:r>
    </w:p>
    <w:p w14:paraId="0714850A" w14:textId="6A9B9B8B" w:rsidR="00A00841" w:rsidRPr="00DF3AEC" w:rsidRDefault="00A00841" w:rsidP="00864C9A">
      <w:r>
        <w:t>pirotehnikas atļauja: pārbaudes dokuments, ko izdevusi kompetentā iestāde Beļģijā, Luksemburgā vai Nīderlandē un kas ļauj turētājam pierādīt, ka tām var izsniegt F3 un F4 kategorijas pirotehniskos izstrādājumus, T2 kategorijas pirotehniskos izstrādājumus un citus P2 kategorijas pirotehniskos izstrādājumus;</w:t>
      </w:r>
    </w:p>
    <w:p w14:paraId="02589494" w14:textId="44710ED4" w:rsidR="006722D9" w:rsidRPr="00DF3AEC" w:rsidRDefault="006722D9" w:rsidP="00864C9A">
      <w:r>
        <w:t>pirotehnikas atļaujas reģistrs: vides pārvaldības likuma 9.5.8. panta 1. punktā minētais reģistrs;</w:t>
      </w:r>
    </w:p>
    <w:p w14:paraId="5F9CB859" w14:textId="063BB3E5" w:rsidR="001D30A8" w:rsidRPr="00DF3AEC" w:rsidRDefault="00031518" w:rsidP="00317EB5">
      <w:r>
        <w:t xml:space="preserve">atbildīgā persona: persona ar specializētām zināšanām, uguņošanas ierīču pārstrādātājs vai uguņošanas ierīču operators, ko izraudzījusies </w:t>
      </w:r>
      <w:bookmarkStart w:id="1" w:name="_Hlk130044621"/>
      <w:r>
        <w:t xml:space="preserve">juridiska persona, kurai ir tiesības izmantot, uzglabāt vai darīt pieejamus tirgū pirotehniskos izstrādājumus, </w:t>
      </w:r>
      <w:bookmarkEnd w:id="1"/>
      <w:r>
        <w:t>apieties ar pirotehniskajiem izstrādājumiem vai tos izmantot minētās juridiskās personas vārdā;</w:t>
      </w:r>
    </w:p>
    <w:p w14:paraId="317A0783" w14:textId="73E49B15" w:rsidR="001D30A8" w:rsidRPr="00DF3AEC" w:rsidRDefault="001D30A8" w:rsidP="00317EB5">
      <w:r>
        <w:t xml:space="preserve">uguņošanas veicējs: persona, </w:t>
      </w:r>
      <w:bookmarkStart w:id="2" w:name="_Hlk124078821"/>
      <w:r>
        <w:t>kas reģistrēta uguņošanas ierīču veicēju reģistrā, kas minēts Dekrēta par darba nosacījumiem 4.9. panta 2. punktā</w:t>
      </w:r>
      <w:bookmarkEnd w:id="2"/>
      <w:r>
        <w:t>;</w:t>
      </w:r>
    </w:p>
    <w:p w14:paraId="710EEB49" w14:textId="241E6D0A" w:rsidR="00031518" w:rsidRDefault="001D30A8" w:rsidP="00317EB5">
      <w:r>
        <w:t xml:space="preserve">uguņošanas iekārtu operators: persona, kas reģistrēta Dekrēta par darba nosacījumiem 4.9. panta 1. punktā minētajā uguņošanas ierīču operatoru reģistrā. </w:t>
      </w:r>
    </w:p>
    <w:p w14:paraId="6785AB54" w14:textId="5BBC2F4A" w:rsidR="00864C9A" w:rsidRDefault="00864C9A" w:rsidP="00864C9A"/>
    <w:p w14:paraId="5D6EFE7A" w14:textId="416A9532" w:rsidR="003F0C01" w:rsidRDefault="003F0C01" w:rsidP="00864C9A">
      <w:r>
        <w:t>B</w:t>
      </w:r>
    </w:p>
    <w:p w14:paraId="30EA7B1A" w14:textId="2E81696A" w:rsidR="00400AC3" w:rsidRDefault="00400AC3" w:rsidP="00864C9A"/>
    <w:p w14:paraId="67F69213" w14:textId="0D7C0B08" w:rsidR="003F0C01" w:rsidRDefault="00603A66" w:rsidP="00864C9A">
      <w:r>
        <w:t>Noteikumu 1.1.3. pantam pievieno šādu punktu:</w:t>
      </w:r>
    </w:p>
    <w:p w14:paraId="6207D1B7" w14:textId="2B1CFD2E" w:rsidR="00603A66" w:rsidRDefault="00603A66" w:rsidP="00864C9A">
      <w:r>
        <w:t>3. 4. nodaļa attiecas arī uz P2 kategorijas pirotehniskajiem izstrādājumiem.</w:t>
      </w:r>
    </w:p>
    <w:p w14:paraId="206638C4" w14:textId="77777777" w:rsidR="00603A66" w:rsidRDefault="00603A66" w:rsidP="00864C9A"/>
    <w:p w14:paraId="48552EC5" w14:textId="590E48AF" w:rsidR="00864C9A" w:rsidRDefault="003F0C01" w:rsidP="00864C9A">
      <w:r>
        <w:lastRenderedPageBreak/>
        <w:t>C</w:t>
      </w:r>
    </w:p>
    <w:p w14:paraId="779A719A" w14:textId="5BC15FB4" w:rsidR="003F0C01" w:rsidRDefault="003F0C01" w:rsidP="00864C9A"/>
    <w:p w14:paraId="24815D6D" w14:textId="02BA9EE8" w:rsidR="003F0C01" w:rsidRDefault="00E32087" w:rsidP="00864C9A">
      <w:r>
        <w:t xml:space="preserve">1.2.5. panta 2. punktā “reģistrācijas apliecību vai kravas pavadzīmi, kā minēts Autopārvadājumu likuma 20. un 29. pantā” aizstāj ar “kravas pavadzīmi, kā minēts Autotransporta likuma 2.13. pantā”. </w:t>
      </w:r>
    </w:p>
    <w:p w14:paraId="7878B565" w14:textId="49D3E265" w:rsidR="002B6FA7" w:rsidRDefault="002B6FA7" w:rsidP="00864C9A"/>
    <w:p w14:paraId="60A11C86" w14:textId="0F6ABCE9" w:rsidR="002B6FA7" w:rsidRDefault="002B6FA7" w:rsidP="00864C9A">
      <w:r>
        <w:t>D</w:t>
      </w:r>
    </w:p>
    <w:p w14:paraId="0CDDFC7B" w14:textId="3B2BB940" w:rsidR="002B6FA7" w:rsidRDefault="002B6FA7" w:rsidP="00864C9A"/>
    <w:p w14:paraId="5F694593" w14:textId="253090EE" w:rsidR="002B6FA7" w:rsidRDefault="002B6FA7" w:rsidP="002B6FA7">
      <w:r>
        <w:t>Noteikumu 3B.1. pantam pievieno šādu punktu:</w:t>
      </w:r>
    </w:p>
    <w:p w14:paraId="649EF529" w14:textId="77777777" w:rsidR="002B6FA7" w:rsidRDefault="002B6FA7" w:rsidP="002B6FA7">
      <w:r>
        <w:t xml:space="preserve">7. Pieteikuma atļauja ir derīga piecus gadus. </w:t>
      </w:r>
    </w:p>
    <w:p w14:paraId="2F92B588" w14:textId="77777777" w:rsidR="00E32087" w:rsidRDefault="00E32087" w:rsidP="00864C9A"/>
    <w:p w14:paraId="17DE2EF5" w14:textId="77777777" w:rsidR="00B35E9F" w:rsidRDefault="007460A2" w:rsidP="00864C9A">
      <w:r>
        <w:t>E</w:t>
      </w:r>
    </w:p>
    <w:p w14:paraId="683CCB9B" w14:textId="77777777" w:rsidR="00B35E9F" w:rsidRDefault="00B35E9F" w:rsidP="00864C9A"/>
    <w:p w14:paraId="306C8B8E" w14:textId="79750FD1" w:rsidR="00895E5E" w:rsidRDefault="00895E5E" w:rsidP="00864C9A">
      <w:r>
        <w:t>Noteikumu 3B.6. pantam pievieno šādu punktu:</w:t>
      </w:r>
    </w:p>
    <w:p w14:paraId="1CDB343A" w14:textId="0F48CA81" w:rsidR="00895E5E" w:rsidRDefault="0054451D" w:rsidP="00864C9A">
      <w:r>
        <w:t>6. Par grozījumiem 1. punkta a) apakšpunktā minētajos datos nekavējoties paziņo mūsu ministram.</w:t>
      </w:r>
    </w:p>
    <w:p w14:paraId="10331F17" w14:textId="143C7DE4" w:rsidR="00B35E9F" w:rsidRDefault="00B35E9F" w:rsidP="00864C9A"/>
    <w:p w14:paraId="6FB657B6" w14:textId="414FD0B0" w:rsidR="00B35E9F" w:rsidRDefault="00B35E9F" w:rsidP="00864C9A">
      <w:r>
        <w:t>F</w:t>
      </w:r>
    </w:p>
    <w:p w14:paraId="4754A8C1" w14:textId="15DADDEA" w:rsidR="00A12AF7" w:rsidRDefault="00A12AF7" w:rsidP="00864C9A"/>
    <w:p w14:paraId="7DE21107" w14:textId="55C8D053" w:rsidR="000F702A" w:rsidRDefault="004B4934" w:rsidP="00864C9A">
      <w:r>
        <w:t>Pēc 3.B nodaļas iekļauj šādu nodaļu:</w:t>
      </w:r>
    </w:p>
    <w:p w14:paraId="4CEFE234" w14:textId="29C5BC09" w:rsidR="000F702A" w:rsidRDefault="000F702A" w:rsidP="00864C9A"/>
    <w:p w14:paraId="21CB6243" w14:textId="17276665" w:rsidR="000F702A" w:rsidRPr="002304E9" w:rsidRDefault="004B4934">
      <w:pPr>
        <w:rPr>
          <w:b/>
          <w:bCs/>
        </w:rPr>
      </w:pPr>
      <w:r>
        <w:rPr>
          <w:b/>
        </w:rPr>
        <w:t>4. nodaļa. Pirotehnikas atļauja</w:t>
      </w:r>
    </w:p>
    <w:p w14:paraId="4A6084CB" w14:textId="73D3469F" w:rsidR="000F702A" w:rsidRPr="002304E9" w:rsidRDefault="000F702A" w:rsidP="00864C9A">
      <w:pPr>
        <w:rPr>
          <w:b/>
          <w:bCs/>
        </w:rPr>
      </w:pPr>
    </w:p>
    <w:p w14:paraId="15C97DA4" w14:textId="78FAB42F" w:rsidR="000F702A" w:rsidRPr="004B4934" w:rsidRDefault="004B4934" w:rsidP="00864C9A">
      <w:pPr>
        <w:rPr>
          <w:b/>
          <w:bCs/>
        </w:rPr>
      </w:pPr>
      <w:bookmarkStart w:id="3" w:name="_Hlk127535452"/>
      <w:r>
        <w:rPr>
          <w:b/>
        </w:rPr>
        <w:t>4.1. pants</w:t>
      </w:r>
    </w:p>
    <w:p w14:paraId="57E5750B" w14:textId="28D6C40F" w:rsidR="004B4934" w:rsidRPr="009A55B4" w:rsidRDefault="003F1E3A" w:rsidP="004B4934">
      <w:pPr>
        <w:pStyle w:val="ListParagraph"/>
        <w:numPr>
          <w:ilvl w:val="0"/>
          <w:numId w:val="26"/>
        </w:numPr>
      </w:pPr>
      <w:r>
        <w:t>Operatori profesionālās uguņošanas ierīces, teātra pirotehniskos izstrādājumus un P2 kategorijas pirotehniskos izstrādājumus var darīt pieejamus tirgū tikai personām ar speciālām zināšanām, uzrādot kontroles dokumentu un personu apliecinošu dokumentu.</w:t>
      </w:r>
    </w:p>
    <w:p w14:paraId="7E9230A5" w14:textId="530D3733" w:rsidR="00AB2AC7" w:rsidRPr="009A55B4" w:rsidRDefault="00AB2AC7" w:rsidP="004B4934">
      <w:pPr>
        <w:pStyle w:val="ListParagraph"/>
        <w:numPr>
          <w:ilvl w:val="0"/>
          <w:numId w:val="26"/>
        </w:numPr>
      </w:pPr>
      <w:r>
        <w:t xml:space="preserve">Turklāt, ja fiziska persona rīkojas tādas juridiskas personas vārdā, kurai ir tiesības pieteikties, uzglabāt vai darīt pieejamus tirgū pirotehniskos izstrādājumus, attiecīgos pirotehniskos izstrādājumus var nodrošināt tikai tad, ja ir uzrādīts minētās juridiskās personas norādītās personas kontroles dokuments un personu apliecinošs dokuments. </w:t>
      </w:r>
    </w:p>
    <w:p w14:paraId="31B600EA" w14:textId="7B16AA02" w:rsidR="00C532E8" w:rsidRDefault="008E1C92" w:rsidP="004B4934">
      <w:pPr>
        <w:pStyle w:val="ListParagraph"/>
        <w:numPr>
          <w:ilvl w:val="0"/>
          <w:numId w:val="26"/>
        </w:numPr>
      </w:pPr>
      <w:r>
        <w:t xml:space="preserve">Personām ar specializētām zināšanām vai atbildīgām personām, kas par tādām izraudzītas Beļģijā, Luksemburgā vai Nīderlandē, izņemot personas ar specializētām zināšanām, kā minēts 1.1.2.a panta 1. punkta c) līdz f) apakšpunktā, pirotehnikas atļauja ir 1. punktā minētais kontroles dokuments. </w:t>
      </w:r>
    </w:p>
    <w:p w14:paraId="6F2C5157" w14:textId="1E4A15D5" w:rsidR="00C532E8" w:rsidRDefault="00C532E8" w:rsidP="004B4934">
      <w:pPr>
        <w:pStyle w:val="ListParagraph"/>
        <w:numPr>
          <w:ilvl w:val="0"/>
          <w:numId w:val="26"/>
        </w:numPr>
      </w:pPr>
      <w:r>
        <w:t xml:space="preserve">Pirotehnikas atļaujas turētājus, kas ir pilnvaroti F3 vai F4 kategorijas uguņošanas ierīcēm, uzskata par atļautiem arī F2 kategorijas uguņošanas ierīcēm, kas nav paredzētas privātai lietošanai. </w:t>
      </w:r>
    </w:p>
    <w:p w14:paraId="3BA1F50D" w14:textId="3F881A76" w:rsidR="000850FB" w:rsidRPr="009A55B4" w:rsidRDefault="00C532E8" w:rsidP="004B4934">
      <w:pPr>
        <w:pStyle w:val="ListParagraph"/>
        <w:numPr>
          <w:ilvl w:val="0"/>
          <w:numId w:val="26"/>
        </w:numPr>
      </w:pPr>
      <w:r>
        <w:t xml:space="preserve">Pirotehnikas atļaujas turētājus, kam atļauts izmantot T2 kategorijas pirotehniskos izstrādājumus, uzskata par pilnvarotiem izmantot arī T1 kategorijas pirotehniskos izstrādājumus. </w:t>
      </w:r>
    </w:p>
    <w:p w14:paraId="790DA6F6" w14:textId="07CEEADF" w:rsidR="008E1C92" w:rsidRPr="009A55B4" w:rsidRDefault="00C41727" w:rsidP="004B4934">
      <w:pPr>
        <w:pStyle w:val="ListParagraph"/>
        <w:numPr>
          <w:ilvl w:val="0"/>
          <w:numId w:val="26"/>
        </w:numPr>
      </w:pPr>
      <w:r>
        <w:t>Pārbaudot pirotehnikas atļauju, operatori izmanto arī pirotehnikas atļaujas reģistru, lai pārbaudītu pirotehnikas atļaujas derīgumu.</w:t>
      </w:r>
    </w:p>
    <w:p w14:paraId="5A80755F" w14:textId="37B504C7" w:rsidR="00BB309A" w:rsidRPr="009A55B4" w:rsidRDefault="00BB309A" w:rsidP="004B4934">
      <w:pPr>
        <w:pStyle w:val="ListParagraph"/>
        <w:numPr>
          <w:ilvl w:val="0"/>
          <w:numId w:val="26"/>
        </w:numPr>
      </w:pPr>
      <w:r>
        <w:t xml:space="preserve">Attiecībā uz personām ar specializētām zināšanām, kuras par tādām nav izraudzītas Beļģijā, Luksemburgā vai Nīderlandē, kontroles dokumentā ir jābūt rakstiskam apliecinājumam par atļauju, ko persona saņēmusi Eiropas Savienības dalībvalstī, kura nav Beniluksa valsts daļa, kā minēts 1.1.2.a panta 2. punktā. </w:t>
      </w:r>
    </w:p>
    <w:p w14:paraId="401495BD" w14:textId="09A5EDDF" w:rsidR="00F57FFC" w:rsidRDefault="003A36BF" w:rsidP="004B4934">
      <w:pPr>
        <w:pStyle w:val="ListParagraph"/>
        <w:numPr>
          <w:ilvl w:val="0"/>
          <w:numId w:val="26"/>
        </w:numPr>
      </w:pPr>
      <w:r>
        <w:t xml:space="preserve">Tirgus dalībnieki, </w:t>
      </w:r>
      <w:r>
        <w:rPr>
          <w:color w:val="auto"/>
        </w:rPr>
        <w:t xml:space="preserve">kuri piegādā uguņošanas ierīces, kā minēts pirmajā </w:t>
      </w:r>
      <w:r>
        <w:t xml:space="preserve">punktā, septiņus gadus glabā kontroles dokumenta kopiju kopā ar attiecīgo rēķinu un attiecīgo pārvadājuma dokumentu, kā noteikts Noteikumu par bīstamu vielu </w:t>
      </w:r>
      <w:r>
        <w:lastRenderedPageBreak/>
        <w:t xml:space="preserve">pārvadāšanu pa sauszemi 1. pielikumā, kas ir ADR A un B pielikuma un tam pievienoto pielikumu tulkojums holandiešu valodā. </w:t>
      </w:r>
    </w:p>
    <w:bookmarkEnd w:id="3"/>
    <w:p w14:paraId="77CCAB3D" w14:textId="6C5EE37D" w:rsidR="000D187A" w:rsidRPr="00F57FFC" w:rsidRDefault="000D187A" w:rsidP="000D187A"/>
    <w:p w14:paraId="0F4A2607" w14:textId="6E2FEC3B" w:rsidR="007542A2" w:rsidRDefault="007542A2" w:rsidP="000D187A">
      <w:pPr>
        <w:rPr>
          <w:b/>
          <w:bCs/>
        </w:rPr>
      </w:pPr>
      <w:r>
        <w:rPr>
          <w:b/>
        </w:rPr>
        <w:t>4.2. pants</w:t>
      </w:r>
    </w:p>
    <w:p w14:paraId="6C9263C0" w14:textId="2F392ECE" w:rsidR="00E32087" w:rsidRDefault="002F342A" w:rsidP="00C03B50">
      <w:pPr>
        <w:pStyle w:val="ListParagraph"/>
        <w:numPr>
          <w:ilvl w:val="0"/>
          <w:numId w:val="28"/>
        </w:numPr>
      </w:pPr>
      <w:r>
        <w:t>Pirotehnikas atļauju var saņemt šādas fiziskas personas:</w:t>
      </w:r>
    </w:p>
    <w:p w14:paraId="7E1D1169" w14:textId="0C382BF9" w:rsidR="002E68CD" w:rsidRPr="00DF3AEC" w:rsidRDefault="002E68CD" w:rsidP="00B35E9F">
      <w:pPr>
        <w:pStyle w:val="ListParagraph"/>
        <w:numPr>
          <w:ilvl w:val="1"/>
          <w:numId w:val="28"/>
        </w:numPr>
      </w:pPr>
      <w:r>
        <w:t>persona ar specializētām zināšanām, kā minēts 1.1.2.a panta 1. punkta a) apakšpunktā, kas ir arī uguņošanas ierīču apstrādātājs;</w:t>
      </w:r>
    </w:p>
    <w:p w14:paraId="6D94DC98" w14:textId="09CB35A6" w:rsidR="002E68CD" w:rsidRPr="00DF3AEC" w:rsidRDefault="002E68CD" w:rsidP="002E68CD">
      <w:pPr>
        <w:pStyle w:val="ListParagraph"/>
        <w:numPr>
          <w:ilvl w:val="1"/>
          <w:numId w:val="28"/>
        </w:numPr>
      </w:pPr>
      <w:r>
        <w:t>persona ar specializētām zināšanām, kā minēts 1.1.2.a panta 1. punkta b) apakšpunktā, kas ir arī uguņošanas ierīču operators;</w:t>
      </w:r>
    </w:p>
    <w:p w14:paraId="53D5CF3C" w14:textId="24BCD38A" w:rsidR="00BC356D" w:rsidRPr="00DF3AEC" w:rsidRDefault="00B35E9F" w:rsidP="002E68CD">
      <w:pPr>
        <w:pStyle w:val="ListParagraph"/>
        <w:numPr>
          <w:ilvl w:val="1"/>
          <w:numId w:val="28"/>
        </w:numPr>
      </w:pPr>
      <w:r>
        <w:t xml:space="preserve">atbildīgā persona; </w:t>
      </w:r>
    </w:p>
    <w:p w14:paraId="56DE35FC" w14:textId="1FE5C43F" w:rsidR="006A7277" w:rsidRPr="00DF3AEC" w:rsidRDefault="0076622F" w:rsidP="002E68CD">
      <w:pPr>
        <w:pStyle w:val="ListParagraph"/>
        <w:numPr>
          <w:ilvl w:val="1"/>
          <w:numId w:val="28"/>
        </w:numPr>
      </w:pPr>
      <w:r>
        <w:t xml:space="preserve">persona ar specializētām zināšanām par P2 kategorijas pirotehniskajiem izstrādājumiem. </w:t>
      </w:r>
    </w:p>
    <w:p w14:paraId="6C382F70" w14:textId="2769EB19" w:rsidR="0007311B" w:rsidRPr="00DF3AEC" w:rsidRDefault="0007311B" w:rsidP="002D1271">
      <w:pPr>
        <w:pStyle w:val="ListParagraph"/>
        <w:numPr>
          <w:ilvl w:val="0"/>
          <w:numId w:val="28"/>
        </w:numPr>
      </w:pPr>
      <w:r>
        <w:t xml:space="preserve">Pieteikumu par pirotehnikas atļauju atbildīgajai personai iesniedz mūsu ministram pieteikuma atļaujas turētājs kopā ar atbildīgo personu. </w:t>
      </w:r>
    </w:p>
    <w:p w14:paraId="4BDACCD8" w14:textId="6400775F" w:rsidR="00BA12A9" w:rsidRPr="00734FD2" w:rsidRDefault="00C57360" w:rsidP="00D73B55">
      <w:pPr>
        <w:pStyle w:val="ListParagraph"/>
        <w:numPr>
          <w:ilvl w:val="0"/>
          <w:numId w:val="28"/>
        </w:numPr>
      </w:pPr>
      <w:r>
        <w:t xml:space="preserve">Pirotehnikas atļaujas paraugs, prasības pieteikuma iesniegšanai un pieteikuma procedūra, kā noteikts ministrijas rīkojumā. pieteikties. </w:t>
      </w:r>
    </w:p>
    <w:p w14:paraId="702AC5EF" w14:textId="77777777" w:rsidR="004F1E43" w:rsidRDefault="00C15C66" w:rsidP="00C03B50">
      <w:pPr>
        <w:pStyle w:val="ListParagraph"/>
        <w:numPr>
          <w:ilvl w:val="0"/>
          <w:numId w:val="28"/>
        </w:numPr>
      </w:pPr>
      <w:r>
        <w:t xml:space="preserve">Uguņošanas iekārtu apstrādātāju un operatoru pirotehnikas atļaujas termiņš beidzas, kad beidzas to reģistrācija uguņošanas iekārtu pārstrādātāju reģistrā vai uguņošanas iekārtu operatoru reģistrā. </w:t>
      </w:r>
    </w:p>
    <w:p w14:paraId="2A5184CC" w14:textId="0ED72ECA" w:rsidR="0076622F" w:rsidRPr="00734FD2" w:rsidRDefault="009632C8" w:rsidP="00C03B50">
      <w:pPr>
        <w:pStyle w:val="ListParagraph"/>
        <w:numPr>
          <w:ilvl w:val="0"/>
          <w:numId w:val="28"/>
        </w:numPr>
      </w:pPr>
      <w:r>
        <w:t>Pirotehnikas atļaujas derīguma termiņš ir uguņošanas iekārtas apstrādātāja vai uguņošanas ierīču apstrādātāja reģistrācijas derīguma termiņš, ja vien 1.1.2.a panta 1. punkta a) apakšpunktā minētajai vides atļaujai vai pieteikuma atļaujai nav īsāks derīguma termiņš.</w:t>
      </w:r>
    </w:p>
    <w:p w14:paraId="0DE9BD15" w14:textId="7E5A88AF" w:rsidR="00C03B50" w:rsidRDefault="00866364" w:rsidP="008709B6">
      <w:pPr>
        <w:pStyle w:val="ListParagraph"/>
        <w:numPr>
          <w:ilvl w:val="0"/>
          <w:numId w:val="28"/>
        </w:numPr>
      </w:pPr>
      <w:r>
        <w:t xml:space="preserve">Mūsu ministrs atsauc pirotehnikas atļauju, ja persona, kurai ir izsniegta pirotehnikas atļauja: </w:t>
      </w:r>
    </w:p>
    <w:p w14:paraId="2ED244AD" w14:textId="215639E0" w:rsidR="00C03B50" w:rsidRDefault="00C03B50" w:rsidP="006D6DD1">
      <w:pPr>
        <w:pStyle w:val="ListParagraph"/>
        <w:numPr>
          <w:ilvl w:val="1"/>
          <w:numId w:val="28"/>
        </w:numPr>
      </w:pPr>
      <w:r>
        <w:t xml:space="preserve">vairs neatbilst prasībām, kas izvirzītas personai ar specializētām zināšanām, kā minēts 1.1.2.a pantā, vai persona, kurai ir specializētas zināšanas, vairs nav norīkojusi rīkoties ar uguņošanas ierīcēm vai tās izmantot šīs personas vārdā; </w:t>
      </w:r>
    </w:p>
    <w:p w14:paraId="26A5E645" w14:textId="7F810F0C" w:rsidR="00C03B50" w:rsidRDefault="00C03B50" w:rsidP="006D6DD1">
      <w:pPr>
        <w:pStyle w:val="ListParagraph"/>
        <w:numPr>
          <w:ilvl w:val="1"/>
          <w:numId w:val="28"/>
        </w:numPr>
      </w:pPr>
      <w:r>
        <w:t>ir ļaunprātīgi izmantojusi pirotehnikas atļauju.</w:t>
      </w:r>
    </w:p>
    <w:p w14:paraId="7A9A9F1A" w14:textId="622A6EF4" w:rsidR="00C03B50" w:rsidRDefault="00C03B50" w:rsidP="00C03B50">
      <w:pPr>
        <w:pStyle w:val="ListParagraph"/>
        <w:numPr>
          <w:ilvl w:val="0"/>
          <w:numId w:val="28"/>
        </w:numPr>
      </w:pPr>
      <w:r>
        <w:t>Ļaunprātīga izmantošana, kā minēts 6. punkta b) apakšpunktā, ietver:</w:t>
      </w:r>
    </w:p>
    <w:p w14:paraId="09E47B8D" w14:textId="1241E2ED" w:rsidR="00C03B50" w:rsidRDefault="00C03B50" w:rsidP="00C03B50">
      <w:pPr>
        <w:pStyle w:val="ListParagraph"/>
        <w:numPr>
          <w:ilvl w:val="1"/>
          <w:numId w:val="28"/>
        </w:numPr>
      </w:pPr>
      <w:r>
        <w:t>F3 un F4 kategorijas uguņošanas ierīču, T2 kategorijas teātra pirotehnisko izstrādājumu un citu P2 kategorijas pirotehnisko izstrādājumu pieejamības nodrošināšana tirgū personai, kas nav persona ar specializētām zināšanām;</w:t>
      </w:r>
    </w:p>
    <w:p w14:paraId="51CEFB2A" w14:textId="12860C5F" w:rsidR="00C03B50" w:rsidRDefault="00C03B50" w:rsidP="00450E58">
      <w:pPr>
        <w:pStyle w:val="ListParagraph"/>
        <w:numPr>
          <w:ilvl w:val="1"/>
          <w:numId w:val="28"/>
        </w:numPr>
      </w:pPr>
      <w:r>
        <w:t>to uzglabāšana nelicencētā vietā.</w:t>
      </w:r>
    </w:p>
    <w:p w14:paraId="3B9564DD" w14:textId="17356908" w:rsidR="00C41727" w:rsidRPr="00C41727" w:rsidRDefault="00C41727" w:rsidP="009A55B4">
      <w:pPr>
        <w:pStyle w:val="ListParagraph"/>
        <w:numPr>
          <w:ilvl w:val="0"/>
          <w:numId w:val="28"/>
        </w:numPr>
      </w:pPr>
      <w:r>
        <w:t>Mūsu ministrs reģistrā norāda, vai pirotehnikas atļauja ir atsaukta vai ir beigusies.</w:t>
      </w:r>
    </w:p>
    <w:p w14:paraId="7E2D75FF" w14:textId="77777777" w:rsidR="00BA12A9" w:rsidRPr="00C41727" w:rsidRDefault="00BA12A9" w:rsidP="000D187A"/>
    <w:p w14:paraId="7D32A34D" w14:textId="71E8F1B3" w:rsidR="00F90681" w:rsidRPr="009A55B4" w:rsidRDefault="00F90681" w:rsidP="000D187A">
      <w:pPr>
        <w:rPr>
          <w:b/>
          <w:bCs/>
        </w:rPr>
      </w:pPr>
      <w:r>
        <w:rPr>
          <w:b/>
        </w:rPr>
        <w:t>4.3. pants</w:t>
      </w:r>
    </w:p>
    <w:p w14:paraId="108D4D5A" w14:textId="5BC28F8A" w:rsidR="00F90681" w:rsidRPr="009A55B4" w:rsidRDefault="00F90681" w:rsidP="000D187A">
      <w:r>
        <w:t>Pirotehnikas atļauju reģistrā ieraksta šādus datus un dokumentus:</w:t>
      </w:r>
    </w:p>
    <w:p w14:paraId="5209896F" w14:textId="08B555D1" w:rsidR="00A42410" w:rsidRPr="009A55B4" w:rsidRDefault="0096601D" w:rsidP="00A42410">
      <w:pPr>
        <w:pStyle w:val="ListParagraph"/>
        <w:numPr>
          <w:ilvl w:val="0"/>
          <w:numId w:val="51"/>
        </w:numPr>
      </w:pPr>
      <w:r>
        <w:t>pirotehnikas atļaujas kopija;</w:t>
      </w:r>
    </w:p>
    <w:p w14:paraId="6DDD51EE" w14:textId="6EAB093F" w:rsidR="00972741" w:rsidRPr="009A55B4" w:rsidRDefault="0083099A" w:rsidP="00A42410">
      <w:pPr>
        <w:pStyle w:val="ListParagraph"/>
        <w:numPr>
          <w:ilvl w:val="0"/>
          <w:numId w:val="51"/>
        </w:numPr>
      </w:pPr>
      <w:r>
        <w:t>pierādījums, ka pieteikuma iesniedzējs ir iecelts par personu ar specializētām zināšanām par P2 kategorijas pirotehniskajiem izstrādājumiem; vai</w:t>
      </w:r>
    </w:p>
    <w:p w14:paraId="08498957" w14:textId="23B692FD" w:rsidR="00A42410" w:rsidRPr="009A55B4" w:rsidRDefault="0083099A" w:rsidP="00A42410">
      <w:pPr>
        <w:pStyle w:val="ListParagraph"/>
        <w:numPr>
          <w:ilvl w:val="0"/>
          <w:numId w:val="51"/>
        </w:numPr>
      </w:pPr>
      <w:r>
        <w:t>pierādījums, ka pieteikuma iesniedzējs ir reģistrēts kā uguņošanas ierīču operators vai lietotājs; un</w:t>
      </w:r>
    </w:p>
    <w:p w14:paraId="7052A3C4" w14:textId="43D7FCA7" w:rsidR="00972741" w:rsidRPr="009A55B4" w:rsidRDefault="0083099A" w:rsidP="00972741">
      <w:pPr>
        <w:pStyle w:val="ListParagraph"/>
        <w:numPr>
          <w:ilvl w:val="0"/>
          <w:numId w:val="51"/>
        </w:numPr>
      </w:pPr>
      <w:r>
        <w:t>attiecīgā gadījumā 1.1.2.a panta 1. punkta a) apakšpunktā minētās pieteikuma atļaujas vai vides atļaujas kopija.</w:t>
      </w:r>
    </w:p>
    <w:p w14:paraId="521386B6" w14:textId="028FA53C" w:rsidR="00F90681" w:rsidRPr="00A42410" w:rsidRDefault="00F90681" w:rsidP="00A42410">
      <w:pPr>
        <w:pStyle w:val="ListParagraph"/>
      </w:pPr>
    </w:p>
    <w:p w14:paraId="61B58290" w14:textId="77777777" w:rsidR="00F90681" w:rsidRDefault="00F90681" w:rsidP="000D187A">
      <w:pPr>
        <w:rPr>
          <w:b/>
          <w:bCs/>
        </w:rPr>
      </w:pPr>
    </w:p>
    <w:p w14:paraId="275DDCA7" w14:textId="409638DF" w:rsidR="00C57360" w:rsidRPr="00C57360" w:rsidRDefault="00C03BFC" w:rsidP="000D187A">
      <w:r>
        <w:rPr>
          <w:b/>
        </w:rPr>
        <w:t xml:space="preserve">4.4. pants </w:t>
      </w:r>
    </w:p>
    <w:p w14:paraId="395C4940" w14:textId="66A85C1F" w:rsidR="000F702A" w:rsidRPr="008A135A" w:rsidRDefault="00450BE5" w:rsidP="000F702A">
      <w:pPr>
        <w:pStyle w:val="Default"/>
        <w:rPr>
          <w:rFonts w:ascii="Verdana" w:hAnsi="Verdana" w:cs="ALKKO J+ Univers"/>
          <w:color w:val="211D1F"/>
          <w:sz w:val="18"/>
          <w:szCs w:val="18"/>
        </w:rPr>
      </w:pPr>
      <w:r>
        <w:rPr>
          <w:rFonts w:ascii="Verdana" w:hAnsi="Verdana"/>
          <w:color w:val="211D1F"/>
          <w:sz w:val="18"/>
        </w:rPr>
        <w:t xml:space="preserve">Mūsu ministrs nodrošina, ka pirotehnikas atļauju reģistrā ievadītie dati un dokumenti tiek nekavējoties darīti pieejami iestādēm, kurām dati un dokumenti ir pieejami saskaņā ar 4.5. panta 1. un 2. punktu. </w:t>
      </w:r>
    </w:p>
    <w:p w14:paraId="594C0EAD" w14:textId="15070A64" w:rsidR="000F702A" w:rsidRDefault="000F702A" w:rsidP="00864C9A">
      <w:pPr>
        <w:rPr>
          <w:b/>
          <w:bCs/>
        </w:rPr>
      </w:pPr>
    </w:p>
    <w:p w14:paraId="3C25919C" w14:textId="5E109E33" w:rsidR="008A135A" w:rsidRDefault="008A135A" w:rsidP="008A135A">
      <w:pPr>
        <w:pStyle w:val="Default"/>
        <w:rPr>
          <w:rFonts w:ascii="Verdana" w:hAnsi="Verdana" w:cs="ALKKO H+ Univers"/>
          <w:b/>
          <w:bCs/>
          <w:color w:val="211D1F"/>
          <w:sz w:val="18"/>
          <w:szCs w:val="18"/>
        </w:rPr>
      </w:pPr>
      <w:r>
        <w:rPr>
          <w:rFonts w:ascii="Verdana" w:hAnsi="Verdana"/>
          <w:b/>
          <w:color w:val="211D1F"/>
          <w:sz w:val="18"/>
        </w:rPr>
        <w:t xml:space="preserve">4.5. pants </w:t>
      </w:r>
    </w:p>
    <w:p w14:paraId="0C7D3561" w14:textId="63C5A020" w:rsidR="00A83423" w:rsidRDefault="008A135A" w:rsidP="00B35E9F">
      <w:pPr>
        <w:pStyle w:val="ListParagraph"/>
        <w:numPr>
          <w:ilvl w:val="0"/>
          <w:numId w:val="31"/>
        </w:numPr>
      </w:pPr>
      <w:r>
        <w:t>Pirotehnikas atļauju reģistrā iekļautie dati un dokumenti ir pieejami Beļģijas, Luksemburgas un Nīderlandes kompetentajām iestādēm, kas ir atbildīgas par pirotehniskajiem izstrādājumiem piemērojamo noteikumu ievērošanas uzraudzību un šo noteikumu izpildi.</w:t>
      </w:r>
    </w:p>
    <w:p w14:paraId="4CD86864" w14:textId="2603B817" w:rsidR="00A83423" w:rsidRDefault="008A135A" w:rsidP="0024295E">
      <w:pPr>
        <w:pStyle w:val="ListParagraph"/>
        <w:numPr>
          <w:ilvl w:val="0"/>
          <w:numId w:val="31"/>
        </w:numPr>
      </w:pPr>
      <w:r>
        <w:t>Dati un dokumenti, kas ierakstīti pirotehnikas atļauju reģistrā, ir pieejami uzņēmējiem, kas minēti 4.1. panta 1. punktā, lai pārbaudītu kontroles dokumentu un pirotehnikas atļaujas derīgumu.</w:t>
      </w:r>
    </w:p>
    <w:p w14:paraId="13A7FA7F" w14:textId="1E079461" w:rsidR="00A83423" w:rsidRDefault="008A135A" w:rsidP="00A83423">
      <w:pPr>
        <w:pStyle w:val="ListParagraph"/>
        <w:numPr>
          <w:ilvl w:val="0"/>
          <w:numId w:val="31"/>
        </w:numPr>
      </w:pPr>
      <w:r>
        <w:t xml:space="preserve">Lai piekļūtu pirotehnikas atļauju reģistram, izmanto eRecognition sistēmu vai citus elektroniskos autentifikācijas līdzekļus, ko noteicis reģistra pārvaldnieks. </w:t>
      </w:r>
    </w:p>
    <w:p w14:paraId="5548DEA6" w14:textId="77777777" w:rsidR="00B8205D" w:rsidRDefault="008A135A" w:rsidP="00A83423">
      <w:pPr>
        <w:pStyle w:val="ListParagraph"/>
        <w:numPr>
          <w:ilvl w:val="0"/>
          <w:numId w:val="31"/>
        </w:numPr>
      </w:pPr>
      <w:r>
        <w:t xml:space="preserve">Šā panta 1. un 2. punktā minēto iestāžu darbinieki, kuri ir tieši iesaistīti attiecīgās struktūras juridiskā uzdevuma izpildē vai attiecīgās sabiedrības veiktajos pirotehnisko izstrādājumu pārdošanas darbos un kurus pilnvarojusi attiecīgā struktūra vai sabiedrība, var piekļūt tikai pirotehnikas atļauju reģistram. </w:t>
      </w:r>
    </w:p>
    <w:p w14:paraId="4CDEBD4E" w14:textId="4DBA1CD8" w:rsidR="00B8205D" w:rsidRDefault="00C72CE5" w:rsidP="00A83423">
      <w:pPr>
        <w:pStyle w:val="ListParagraph"/>
        <w:numPr>
          <w:ilvl w:val="0"/>
          <w:numId w:val="31"/>
        </w:numPr>
      </w:pPr>
      <w:r>
        <w:t>Sīki izstrādātus noteikumus, kas paredzēti ministrijas rīkojumā, piemēro attiecībā uz datu un ierakstu ievadīšanu un aplūkošanu pirotehnikas atļauju reģistrā, ko veic personas, kurām ir piekļuve šai sistēmai, tostarp nepieciešamo eRecognition uzticamības līmeni.</w:t>
      </w:r>
      <w:r>
        <w:rPr>
          <w:b/>
        </w:rPr>
        <w:t xml:space="preserve"> </w:t>
      </w:r>
      <w:r>
        <w:rPr>
          <w:b/>
        </w:rPr>
        <w:br/>
      </w:r>
    </w:p>
    <w:p w14:paraId="3627E4CF" w14:textId="641AF07A" w:rsidR="00164C4F" w:rsidRDefault="008A135A" w:rsidP="00B8205D">
      <w:r>
        <w:rPr>
          <w:b/>
        </w:rPr>
        <w:t xml:space="preserve">4.6. pants </w:t>
      </w:r>
      <w:r>
        <w:br/>
        <w:t xml:space="preserve">Pirotehnikas atļauju reģistrā ievadītie dati un dokumenti jāglabā 12 gadus. </w:t>
      </w:r>
    </w:p>
    <w:p w14:paraId="1C231879" w14:textId="77777777" w:rsidR="007F6D5D" w:rsidRDefault="007F6D5D" w:rsidP="0022132D"/>
    <w:p w14:paraId="55F68ADA" w14:textId="46A2A4D2" w:rsidR="00510B4B" w:rsidRDefault="008A135A" w:rsidP="0022132D">
      <w:pPr>
        <w:rPr>
          <w:b/>
          <w:bCs/>
        </w:rPr>
      </w:pPr>
      <w:r>
        <w:br/>
      </w:r>
      <w:r>
        <w:rPr>
          <w:b/>
        </w:rPr>
        <w:t>II pants Pārejas noteikums</w:t>
      </w:r>
    </w:p>
    <w:p w14:paraId="144AE3D4" w14:textId="1812F051" w:rsidR="001A647B" w:rsidRDefault="001A647B" w:rsidP="0022132D">
      <w:pPr>
        <w:rPr>
          <w:b/>
          <w:bCs/>
        </w:rPr>
      </w:pPr>
    </w:p>
    <w:p w14:paraId="299A2506" w14:textId="30EE6ECC" w:rsidR="001A647B" w:rsidRDefault="001A647B" w:rsidP="0022132D">
      <w:r>
        <w:t>Neskarot 3B.1. panta 6. punkta noteikumus, licences, kas jau piešķirtas šā dekrēta spēkā stāšanās brīdī, zaudē spēku no 2025. gada 1. janvāra.</w:t>
      </w:r>
    </w:p>
    <w:p w14:paraId="461D4DA5" w14:textId="6D387BFE" w:rsidR="001A647B" w:rsidRDefault="001A647B" w:rsidP="0022132D"/>
    <w:p w14:paraId="01073440" w14:textId="72BC960E" w:rsidR="00510B4B" w:rsidRDefault="001A647B" w:rsidP="0022132D">
      <w:pPr>
        <w:rPr>
          <w:b/>
          <w:bCs/>
        </w:rPr>
      </w:pPr>
      <w:r>
        <w:rPr>
          <w:b/>
        </w:rPr>
        <w:t>III pants</w:t>
      </w:r>
    </w:p>
    <w:p w14:paraId="4126569C" w14:textId="77777777" w:rsidR="001A647B" w:rsidRDefault="001A647B" w:rsidP="0022132D">
      <w:pPr>
        <w:rPr>
          <w:b/>
          <w:bCs/>
        </w:rPr>
      </w:pPr>
    </w:p>
    <w:p w14:paraId="2CA2AEBF" w14:textId="785F24DD" w:rsidR="00510B4B" w:rsidRPr="00510B4B" w:rsidRDefault="00510B4B" w:rsidP="0022132D">
      <w:r>
        <w:t xml:space="preserve">Šis Dekrēts stājas spēkā karaliskajā dekrētā noteiktajā datumā, kas var atšķirties attiecībā uz atsevišķiem pantiem vai to daļām. </w:t>
      </w:r>
    </w:p>
    <w:p w14:paraId="550DE960" w14:textId="77777777" w:rsidR="00812A71" w:rsidRDefault="00DE2DBE">
      <w:r>
        <w:t> </w:t>
      </w:r>
    </w:p>
    <w:p w14:paraId="11BEDBA6" w14:textId="77777777" w:rsidR="00812A71" w:rsidRDefault="00DE2DBE">
      <w:r>
        <w:t>Šo dekrētu kopā ar saistītajiem skaidrojumiem publicē Likumu un Dekrētu biļetenā.</w:t>
      </w:r>
    </w:p>
    <w:p w14:paraId="61FD25A0" w14:textId="77777777" w:rsidR="00812A71" w:rsidRPr="00AE0502" w:rsidRDefault="00DE2DBE">
      <w:pPr>
        <w:rPr>
          <w:sz w:val="16"/>
          <w:szCs w:val="16"/>
        </w:rPr>
      </w:pPr>
      <w:r>
        <w:rPr>
          <w:sz w:val="16"/>
        </w:rPr>
        <w:t> </w:t>
      </w:r>
    </w:p>
    <w:p w14:paraId="20CA73A6" w14:textId="07BE9C46" w:rsidR="00812A71" w:rsidRPr="00AE0502" w:rsidRDefault="00812A71">
      <w:pPr>
        <w:rPr>
          <w:sz w:val="16"/>
          <w:szCs w:val="16"/>
        </w:rPr>
      </w:pPr>
    </w:p>
    <w:p w14:paraId="11C36AE5" w14:textId="77777777" w:rsidR="00812A71" w:rsidRPr="00AE0502" w:rsidRDefault="00DE2DBE">
      <w:pPr>
        <w:rPr>
          <w:sz w:val="16"/>
          <w:szCs w:val="16"/>
        </w:rPr>
      </w:pPr>
      <w:r>
        <w:rPr>
          <w:sz w:val="16"/>
        </w:rPr>
        <w:t> </w:t>
      </w:r>
    </w:p>
    <w:p w14:paraId="10E88087" w14:textId="77777777" w:rsidR="00812A71" w:rsidRPr="00AE0502" w:rsidRDefault="00DE2DBE">
      <w:pPr>
        <w:rPr>
          <w:sz w:val="16"/>
          <w:szCs w:val="16"/>
        </w:rPr>
      </w:pPr>
      <w:r>
        <w:rPr>
          <w:sz w:val="16"/>
        </w:rPr>
        <w:t> </w:t>
      </w:r>
    </w:p>
    <w:p w14:paraId="42976A66" w14:textId="77777777" w:rsidR="00812A71" w:rsidRPr="00AE0502" w:rsidRDefault="00DE2DBE">
      <w:pPr>
        <w:rPr>
          <w:sz w:val="16"/>
          <w:szCs w:val="16"/>
        </w:rPr>
      </w:pPr>
      <w:r>
        <w:rPr>
          <w:sz w:val="16"/>
        </w:rPr>
        <w:t> </w:t>
      </w:r>
    </w:p>
    <w:p w14:paraId="45D99D1A" w14:textId="77777777" w:rsidR="00812A71" w:rsidRPr="00AE0502" w:rsidRDefault="00DE2DBE">
      <w:pPr>
        <w:rPr>
          <w:sz w:val="16"/>
          <w:szCs w:val="16"/>
        </w:rPr>
      </w:pPr>
      <w:r>
        <w:rPr>
          <w:sz w:val="16"/>
        </w:rPr>
        <w:t> </w:t>
      </w:r>
    </w:p>
    <w:p w14:paraId="486CC450" w14:textId="77777777" w:rsidR="00812A71" w:rsidRDefault="00DE2DBE">
      <w:r>
        <w:br/>
        <w:t>INFRASTRUKTŪRAS UN ŪDENS RESURSU APSAIMNIEKOŠANAS VALSTS SEKRETĀRS,</w:t>
      </w:r>
    </w:p>
    <w:p w14:paraId="0FB4110D" w14:textId="77777777" w:rsidR="00812A71" w:rsidRPr="00AE0502" w:rsidRDefault="00DE2DBE">
      <w:pPr>
        <w:rPr>
          <w:sz w:val="16"/>
          <w:szCs w:val="16"/>
        </w:rPr>
      </w:pPr>
      <w:r>
        <w:t> </w:t>
      </w:r>
    </w:p>
    <w:p w14:paraId="09FEC6FD" w14:textId="77777777" w:rsidR="00812A71" w:rsidRPr="00AE0502" w:rsidRDefault="00DE2DBE">
      <w:pPr>
        <w:rPr>
          <w:sz w:val="16"/>
          <w:szCs w:val="16"/>
        </w:rPr>
      </w:pPr>
      <w:r>
        <w:rPr>
          <w:sz w:val="16"/>
        </w:rPr>
        <w:t> </w:t>
      </w:r>
    </w:p>
    <w:p w14:paraId="272976D2" w14:textId="69520E85" w:rsidR="00865EEC" w:rsidRDefault="00DE2DBE" w:rsidP="00AE0502">
      <w:r>
        <w:rPr>
          <w:sz w:val="16"/>
        </w:rPr>
        <w:t> </w:t>
      </w:r>
      <w:r>
        <w:br w:type="page"/>
      </w:r>
    </w:p>
    <w:bookmarkEnd w:id="0"/>
    <w:p w14:paraId="11542E4E" w14:textId="2FAD49F7" w:rsidR="00812A71" w:rsidRDefault="00865EEC">
      <w:pPr>
        <w:rPr>
          <w:b/>
          <w:bCs/>
        </w:rPr>
      </w:pPr>
      <w:r>
        <w:rPr>
          <w:b/>
        </w:rPr>
        <w:lastRenderedPageBreak/>
        <w:t>SKAIDROJUMI</w:t>
      </w:r>
    </w:p>
    <w:p w14:paraId="25FB4EDE" w14:textId="350D65BA" w:rsidR="00865EEC" w:rsidRDefault="00865EEC">
      <w:pPr>
        <w:rPr>
          <w:b/>
          <w:bCs/>
        </w:rPr>
      </w:pPr>
    </w:p>
    <w:p w14:paraId="5E046A8F" w14:textId="37E54663" w:rsidR="00865EEC" w:rsidRDefault="00865EEC">
      <w:pPr>
        <w:rPr>
          <w:b/>
          <w:bCs/>
        </w:rPr>
      </w:pPr>
      <w:r>
        <w:rPr>
          <w:b/>
        </w:rPr>
        <w:t>Vispārīga informācija</w:t>
      </w:r>
    </w:p>
    <w:p w14:paraId="71CA219F" w14:textId="7278D2E9" w:rsidR="0022132D" w:rsidRDefault="0022132D">
      <w:pPr>
        <w:rPr>
          <w:b/>
          <w:bCs/>
        </w:rPr>
      </w:pPr>
    </w:p>
    <w:p w14:paraId="33F08ADF" w14:textId="382743B7" w:rsidR="00E021AD" w:rsidRPr="00E021AD" w:rsidRDefault="00E021AD" w:rsidP="00E021AD">
      <w:pPr>
        <w:pStyle w:val="ListParagraph"/>
        <w:numPr>
          <w:ilvl w:val="0"/>
          <w:numId w:val="23"/>
        </w:numPr>
        <w:rPr>
          <w:b/>
          <w:bCs/>
        </w:rPr>
      </w:pPr>
      <w:r>
        <w:rPr>
          <w:b/>
        </w:rPr>
        <w:t>Ievads</w:t>
      </w:r>
    </w:p>
    <w:p w14:paraId="2B349D7E" w14:textId="77777777" w:rsidR="00E021AD" w:rsidRDefault="00E021AD" w:rsidP="002701E5"/>
    <w:p w14:paraId="297BEA88" w14:textId="7A565559" w:rsidR="00E021AD" w:rsidRDefault="0022132D">
      <w:r>
        <w:t>Šā dekrēta mērķis ir īstenot Beniluksa lēmumu</w:t>
      </w:r>
      <w:r w:rsidR="002701E5" w:rsidRPr="00183C54">
        <w:rPr>
          <w:rStyle w:val="FootnoteReference"/>
        </w:rPr>
        <w:footnoteReference w:id="2"/>
      </w:r>
      <w:r>
        <w:t xml:space="preserve"> uguņošanas ierīču jomā, kā noteikts dekrētā par uguņošanas ierīcēm. Ar šo dekrētu turpina darboties pirotehnikas atļauju reģistrs, kā paziņots likumprojekta paskaidrojuma rakstā, ar ko groza dažus Infrastruktūras un ūdenssaimniecības ministrijas likumus (2021. gada IenW kolektīvais akts).</w:t>
      </w:r>
      <w:r>
        <w:rPr>
          <w:rStyle w:val="FootnoteReference"/>
        </w:rPr>
        <w:footnoteReference w:id="3"/>
      </w:r>
      <w:r>
        <w:t xml:space="preserve"> Pirotehnikas atļauju reģistra izveidi reglamentē Vides pārvaldības likuma 9.5.8. pants (turpmāk — Wm). Tā izstrāde notiek šajā dekrētā. Reģistra un pieteikuma procesa tehniskos datus izstrādā ar ministrijas rīkojumu. Šā dekrēta pamatā ir Rīkojuma par uguņošanu teksts, jo tas notiks pēc Vides likuma stāšanās spēkā un uguņošanas ierīču dekrēta grozīšanas, kas stājas spēkā vienlaikus ar Vides likumu (Likumu un Dekrētu biļetens 2022, 291). </w:t>
      </w:r>
    </w:p>
    <w:p w14:paraId="650CCA37" w14:textId="36B682F6" w:rsidR="00E021AD" w:rsidRDefault="00E021AD"/>
    <w:p w14:paraId="0C057784" w14:textId="552DF53B" w:rsidR="00E021AD" w:rsidRDefault="000734E3" w:rsidP="000734E3">
      <w:pPr>
        <w:pStyle w:val="ListParagraph"/>
        <w:numPr>
          <w:ilvl w:val="0"/>
          <w:numId w:val="23"/>
        </w:numPr>
        <w:rPr>
          <w:b/>
          <w:bCs/>
        </w:rPr>
      </w:pPr>
      <w:r>
        <w:rPr>
          <w:b/>
        </w:rPr>
        <w:t>Īstenošanas tiesību akti</w:t>
      </w:r>
    </w:p>
    <w:p w14:paraId="5F25AEAD" w14:textId="77777777" w:rsidR="000734E3" w:rsidRPr="000734E3" w:rsidRDefault="000734E3" w:rsidP="000734E3">
      <w:pPr>
        <w:pStyle w:val="ListParagraph"/>
        <w:rPr>
          <w:b/>
          <w:bCs/>
        </w:rPr>
      </w:pPr>
    </w:p>
    <w:p w14:paraId="3E0499A7" w14:textId="5D131EB0" w:rsidR="007F40A5" w:rsidRDefault="007F40A5" w:rsidP="00E021AD">
      <w:r>
        <w:t>Pamatojoties uz Direktīvu 2013/29/ES</w:t>
      </w:r>
      <w:r>
        <w:rPr>
          <w:rStyle w:val="FootnoteReference"/>
        </w:rPr>
        <w:footnoteReference w:id="4"/>
      </w:r>
      <w:r>
        <w:t xml:space="preserve"> (turpmāk: pirotehnikas direktīva) dažus pirotehniskos izstrādājumus var darīt pieejamus tirgū tikai personām ar specializētām zināšanām. 2020. gada 7. decembrī tika parakstīts Beniluksa lēmums ar mērķi ieviest vienotu kontroles dokumentu, lai persona, kas vēlas iegādāties attiecīgos pirotehniskos izstrādājumus, varētu pierādīt, ka tai ir nepieciešamās specializētās zināšanas pārrobežu kontekstā. Pirotehnikas atļaujas ieviešana, kas ir vienots kontroles dokuments Beniluksa valstīs, var atvieglot šādu pirotehnisko izstrādājumu pārdevējam Beniluksa valstī pārbaudīt dokumenta autentiskumu un derīgumu. Tas novērš šķēršļus iekšējā tirgus pareizai darbībai. Turklāt šis instruments var sniegt būtisku ieguldījumu nelegālās tirdzniecības apkarošanā un kaitējuma un materiālo zaudējumu novēršanā. Beniluksa valstis vēlas uzņemties vadību ES, lai izveidotu kārtību, kas galu galā būtu piemērojama personām, kuras citās ES dalībvalstīs ir pilnvarotas kā personas ar specializētām zināšanām. </w:t>
      </w:r>
    </w:p>
    <w:p w14:paraId="39FD9BF4" w14:textId="5154AA32" w:rsidR="00FA2E81" w:rsidRDefault="00FA2E81" w:rsidP="00E021AD"/>
    <w:p w14:paraId="0EC72B35" w14:textId="77BA0E63" w:rsidR="00FA2E81" w:rsidRDefault="00C22BC4" w:rsidP="00E021AD">
      <w:r>
        <w:t>Beniluksa lēmuma darbības joma un priekšmets ir ierobežots. Beniluksa lēmuma mērķis nav to pamatprasību saskaņošana, ko attiecīgās Beniluksa valstis var vai nevar noteikt saistībā ar atļauju izsniegšanu personām ar specializētām zināšanām.</w:t>
      </w:r>
      <w:r w:rsidR="00FA2E81">
        <w:rPr>
          <w:rStyle w:val="FootnoteReference"/>
        </w:rPr>
        <w:footnoteReference w:id="5"/>
      </w:r>
      <w:r>
        <w:t xml:space="preserve"> Beniluksa lēmums arī nemaina pašreizējos — Eiropas vai Nīderlandes — aizliegumus pirotehniskos izstrādājumus darīt pieejamus plašai sabiedrībai. Beniluksa lēmumā nav arī noteikumu par pirotehnisko izstrādājumu apstrādi un/vai izmantošanu pēc to iegādes. </w:t>
      </w:r>
    </w:p>
    <w:p w14:paraId="7DDCC343" w14:textId="77777777" w:rsidR="00AC6B62" w:rsidRDefault="00AC6B62" w:rsidP="00AC6B62">
      <w:pPr>
        <w:rPr>
          <w:u w:val="single"/>
        </w:rPr>
      </w:pPr>
    </w:p>
    <w:p w14:paraId="4AF20E0C" w14:textId="6451BBD4" w:rsidR="000734E3" w:rsidRPr="00AC6B62" w:rsidRDefault="000734E3" w:rsidP="00AE0502">
      <w:pPr>
        <w:pStyle w:val="ListParagraph"/>
        <w:keepNext/>
        <w:keepLines/>
        <w:numPr>
          <w:ilvl w:val="0"/>
          <w:numId w:val="23"/>
        </w:numPr>
        <w:rPr>
          <w:u w:val="single"/>
        </w:rPr>
      </w:pPr>
      <w:r>
        <w:rPr>
          <w:b/>
        </w:rPr>
        <w:lastRenderedPageBreak/>
        <w:t>Priekšlikuma principi</w:t>
      </w:r>
    </w:p>
    <w:p w14:paraId="7A469048" w14:textId="6BCD8C84" w:rsidR="003557A3" w:rsidRDefault="003557A3" w:rsidP="00AE0502">
      <w:pPr>
        <w:keepNext/>
        <w:keepLines/>
        <w:spacing w:line="240" w:lineRule="auto"/>
        <w:rPr>
          <w:b/>
          <w:bCs/>
        </w:rPr>
      </w:pPr>
    </w:p>
    <w:p w14:paraId="4794A2CE" w14:textId="0690B572" w:rsidR="003557A3" w:rsidRDefault="003557A3" w:rsidP="00AE0502">
      <w:pPr>
        <w:keepNext/>
        <w:keepLines/>
        <w:spacing w:line="240" w:lineRule="auto"/>
      </w:pPr>
      <w:r>
        <w:t xml:space="preserve">Pirotehnisko izstrādājumu neatbilstīga izmantošana, ko veic personas, kurām nav atļauts to darīt, ir pastāvīga problēma, kas katru gadu rada lielas traumas un bojājumus. Dažus smagāku pirotehnisko izstrādājumu veidus tirgū var darīt pieejamus tikai personām ar specializētām zināšanām. Lai gan persona, kas vēlas iegādāties šādus produktus pārrobežu kontekstā, var uzrādīt dokumentu no citas valsts, lai to pierādītu, pārdevējs nevar pienācīgi novērtēt šī dokumenta autentiskumu un derīgumu. Pirotehnikas atļaujas kā vienota kontroles dokumenta ieviešana var to novērst attiecībā uz personām, kas citā Beniluksa valstī ir pilnvarotas kā personas ar specializētām zināšanām. Tā ļauj padarīt likumīgas tirdzniecības plūsmas pamanāmas, lai efektīvāk varētu samazināt profesionālo uguņošanas ierīču nelikumīgu pārdošanu. Turklāt tā veicina iekšējā tirgus pienācīgu darbību profesionāliem uguņošanas ierīču izmantotājiem, kas vēlas sniegt pakalpojumus citā valstī. </w:t>
      </w:r>
    </w:p>
    <w:p w14:paraId="215B2C65" w14:textId="41C2E340" w:rsidR="003557A3" w:rsidRDefault="003557A3" w:rsidP="000734E3">
      <w:pPr>
        <w:spacing w:line="240" w:lineRule="auto"/>
      </w:pPr>
    </w:p>
    <w:p w14:paraId="7AEDAB51" w14:textId="6A9A2BD6" w:rsidR="00C15C66" w:rsidRDefault="003557A3" w:rsidP="000734E3">
      <w:pPr>
        <w:spacing w:line="240" w:lineRule="auto"/>
      </w:pPr>
      <w:r>
        <w:t xml:space="preserve">Šis grozījums dekrētā par uguņošanu nosaka gadījumus, kad nepieciešamo pārbaudes dokumentu pārbaude ir jāveic, pamatojoties uz pirotehnikas atļauju, pienākumu to pārbaudīt un atsaukšanas pamatojumu. Turklāt ir sīkāk izstrādāta arī pirotehnikas atļauju reģistra pieejamība. </w:t>
      </w:r>
    </w:p>
    <w:p w14:paraId="7E4A8999" w14:textId="0C8DBEDA" w:rsidR="00C15C66" w:rsidRDefault="00C15C66" w:rsidP="000734E3">
      <w:pPr>
        <w:spacing w:line="240" w:lineRule="auto"/>
      </w:pPr>
    </w:p>
    <w:p w14:paraId="34DF65DF" w14:textId="3790A2B5" w:rsidR="00C15C66" w:rsidRDefault="00C15C66" w:rsidP="000734E3">
      <w:pPr>
        <w:spacing w:line="240" w:lineRule="auto"/>
      </w:pPr>
      <w:r>
        <w:t xml:space="preserve">Šis priekšlikums uzliek par pienākumu uzņēmējiem (ražotājiem, importētājiem un izplatītājiem), kas tirgū dara pieejamas profesionālas uguņošanas ierīces, pirotehniskos izstrādājumus teātrim un P2 kategorijas pirotehniskos izstrādājumus, pārbaudīt, vai šai personai ir tiesības iegādāties minētos pirotehniskos izstrādājumus. Attiecībā uz personām, kas saskaņā ar Beniluksa valstu tiesību aktiem izraudzītas par personu ar specializētām zināšanām vai atbildīgo personu, šo pārbaudi veic, pamatojoties uz pirotehnikas atļauju. Pēc tam operators var pārbaudīt šim nolūkam aprīkotajā sistēmā esošās pirotehnikas atļaujas derīgumu. Turklāt uzņēmējam ir pienākums savā uzskaitē glabāt pirotehnikas atļaujas kopiju un rēķinu. Pirotehnikas atļauja var tikt atsaukta, ja vairs nav spēkā norāde par personu ar specializētām zināšanām vai atbildīgo personu vai ja tā ir nepareizi izmantota. </w:t>
      </w:r>
    </w:p>
    <w:p w14:paraId="509A1F16" w14:textId="77777777" w:rsidR="00FA2E81" w:rsidRDefault="00FA2E81" w:rsidP="000734E3">
      <w:pPr>
        <w:spacing w:line="240" w:lineRule="auto"/>
      </w:pPr>
    </w:p>
    <w:p w14:paraId="6C94EFCE" w14:textId="46409923" w:rsidR="003557A3" w:rsidRPr="003557A3" w:rsidRDefault="00D156E5" w:rsidP="000734E3">
      <w:pPr>
        <w:spacing w:line="240" w:lineRule="auto"/>
      </w:pPr>
      <w:r>
        <w:t xml:space="preserve">Turklāt tiek izmantota iespēja pieteikuma atļaujai pievienot derīguma termiņu, un tiek novērsti daži nelieli izlaidumi. To sīkāk apspriež katra panta piezīmēs. </w:t>
      </w:r>
    </w:p>
    <w:p w14:paraId="195F8E5C" w14:textId="77777777" w:rsidR="000734E3" w:rsidRDefault="000734E3" w:rsidP="000734E3">
      <w:pPr>
        <w:spacing w:line="240" w:lineRule="auto"/>
        <w:rPr>
          <w:b/>
          <w:bCs/>
        </w:rPr>
      </w:pPr>
    </w:p>
    <w:p w14:paraId="00156170" w14:textId="7F21773E" w:rsidR="00975E08" w:rsidRDefault="00975E08" w:rsidP="00AC6B62">
      <w:pPr>
        <w:pStyle w:val="ListParagraph"/>
        <w:numPr>
          <w:ilvl w:val="0"/>
          <w:numId w:val="23"/>
        </w:numPr>
        <w:spacing w:line="240" w:lineRule="auto"/>
        <w:rPr>
          <w:b/>
          <w:bCs/>
        </w:rPr>
      </w:pPr>
      <w:r>
        <w:rPr>
          <w:b/>
        </w:rPr>
        <w:t>Saistība ar augstākiem tiesību aktiem</w:t>
      </w:r>
    </w:p>
    <w:p w14:paraId="41E88221" w14:textId="69B181BD" w:rsidR="00AC6B62" w:rsidRDefault="00AC6B62" w:rsidP="00AC6B62">
      <w:pPr>
        <w:spacing w:line="240" w:lineRule="auto"/>
        <w:rPr>
          <w:b/>
          <w:bCs/>
        </w:rPr>
      </w:pPr>
    </w:p>
    <w:p w14:paraId="6FB4BDA4" w14:textId="7528792F" w:rsidR="00776C70" w:rsidRPr="00776C70" w:rsidRDefault="00776C70" w:rsidP="00AC6B62">
      <w:pPr>
        <w:spacing w:line="240" w:lineRule="auto"/>
        <w:rPr>
          <w:u w:val="single"/>
        </w:rPr>
      </w:pPr>
      <w:r>
        <w:rPr>
          <w:u w:val="single"/>
        </w:rPr>
        <w:t>Eiropas tiesības</w:t>
      </w:r>
    </w:p>
    <w:p w14:paraId="15B82FB7" w14:textId="459F957D" w:rsidR="00AC6B62" w:rsidRDefault="00CF7C1C" w:rsidP="00AC6B62">
      <w:pPr>
        <w:spacing w:line="240" w:lineRule="auto"/>
      </w:pPr>
      <w:r>
        <w:t xml:space="preserve">Pirotehniskos izstrādājumus lielā mērā regulē Pirotehnikas direktīva. Minētās direktīvas 5. pantā ir noteikts, ka dalībvalstis veic vajadzīgos pasākumus, lai nodrošinātu, ka pirotehniskos izstrādājumus dara pieejamus tirgū tikai tad, ja tie atbilst šīs direktīvas prasībām. Šīs direktīvas 6. pantā F4 kategorijas uguņošanas ierīces, T2 kategorijas pirotehniskie izstrādājumi un citi P2 kategorijas pirotehniskie izstrādājumi ir definēti kā tādi, kas paredzēti vienīgi personām ar specializētām zināšanām, un tajā ir noteikts, ka dalībvalstis informē Eiropas Komisiju par procedūrām, saskaņā ar kurām tās identificē un pilnvaro personas ar specializētām zināšanām. Pirotehnikas direktīvas 7. panta 3. punktā ir noteikts, ka iepriekš minētos izstrādājumus ražotāji, importētāji vai izplatītāji var darīt pieejamus tirgū tikai personām ar specializētām zināšanām. Saskaņā ar Pirotehnikas direktīvas 4. panta 2. punktu dalībvalsts var veikt pasākumus, lai aizliegtu vai ierobežotu dažus pirotehniskos izstrādājumus. Tādējādi Nīderlandē, piemēram, T1 kategorijas pirotehnisko izstrādājumu, kā arī F3 kategorijas uguņošanas ierīču un noteiktu F2 kategorijas izstrādājumu laišana tirgū personām, kurām nav īpašu zināšanu, ir pilnīgi aizliegta. </w:t>
      </w:r>
    </w:p>
    <w:p w14:paraId="10FDAB75" w14:textId="6EA752F6" w:rsidR="00776C70" w:rsidRDefault="00776C70" w:rsidP="00AC6B62">
      <w:pPr>
        <w:spacing w:line="240" w:lineRule="auto"/>
      </w:pPr>
    </w:p>
    <w:p w14:paraId="24268EB2" w14:textId="6DFD3872" w:rsidR="00776C70" w:rsidRDefault="00776C70" w:rsidP="00AC6B62">
      <w:pPr>
        <w:spacing w:line="240" w:lineRule="auto"/>
        <w:rPr>
          <w:u w:val="single"/>
        </w:rPr>
      </w:pPr>
      <w:r>
        <w:rPr>
          <w:u w:val="single"/>
        </w:rPr>
        <w:t>Beniluksa valstis</w:t>
      </w:r>
    </w:p>
    <w:p w14:paraId="266B5C3C" w14:textId="71C2CD25" w:rsidR="00776C70" w:rsidRPr="00776C70" w:rsidRDefault="00776C70" w:rsidP="00AC6B62">
      <w:pPr>
        <w:spacing w:line="240" w:lineRule="auto"/>
      </w:pPr>
      <w:r>
        <w:t xml:space="preserve">Beniluksa lēmuma juridiskais pamats ir Beniluksa Savienības dibināšanas līguma 6. panta 2. punkta a) apakšpunkts un 1969. gada 29. aprīļa Protokola par kontroles un formalitāšu atcelšanu pie Beniluksa iekšējām robežām un par brīvas pārvietošanās šķēršļu novēršanu 1. panta b) punkts. Pamatojoties uz šiem noteikumiem, Ministru </w:t>
      </w:r>
      <w:r>
        <w:lastRenderedPageBreak/>
        <w:t xml:space="preserve">komiteja var pieņemt lēmumus, lai koordinētu trīs Beniluksa valstu tiesību aktus, lai novērstu dažus šķēršļus. Beniluksa lēmumā galvenā uzmanība pievērsta pirotehnisko izstrādājumu iekšējā tirgus pareizai darbībai. Tas padara pirotehnisko izstrādājumu pārdošanu vieglāku personām ar nepieciešamajām specializētajām zināšanām. Turklāt Beniluksa lēmums veicina arī cīņu pret nelikumīgu tirdzniecību un kaitējuma un materiālo zaudējumu novēršanu, kurā Beniluksa Savienība vēlas uzņemties vadošo lomu. </w:t>
      </w:r>
    </w:p>
    <w:p w14:paraId="3C5992BB" w14:textId="77777777" w:rsidR="00975E08" w:rsidRDefault="00975E08" w:rsidP="000734E3">
      <w:pPr>
        <w:spacing w:line="240" w:lineRule="auto"/>
        <w:rPr>
          <w:u w:val="single"/>
        </w:rPr>
      </w:pPr>
    </w:p>
    <w:p w14:paraId="7DEE9076" w14:textId="44250DBA" w:rsidR="00975E08" w:rsidRDefault="00975E08" w:rsidP="00CF7C1C">
      <w:pPr>
        <w:pStyle w:val="ListParagraph"/>
        <w:numPr>
          <w:ilvl w:val="0"/>
          <w:numId w:val="23"/>
        </w:numPr>
        <w:spacing w:line="240" w:lineRule="auto"/>
        <w:rPr>
          <w:b/>
          <w:bCs/>
        </w:rPr>
      </w:pPr>
      <w:r>
        <w:rPr>
          <w:b/>
        </w:rPr>
        <w:t>Saistība ar valsts noteikumiem</w:t>
      </w:r>
    </w:p>
    <w:p w14:paraId="5C8C5EA0" w14:textId="01A65BBA" w:rsidR="00327EE7" w:rsidRDefault="00327EE7" w:rsidP="00327EE7">
      <w:pPr>
        <w:spacing w:line="240" w:lineRule="auto"/>
        <w:rPr>
          <w:b/>
          <w:bCs/>
        </w:rPr>
      </w:pPr>
    </w:p>
    <w:p w14:paraId="33046BD4" w14:textId="454430A9" w:rsidR="00327EE7" w:rsidRDefault="00327EE7" w:rsidP="00327EE7">
      <w:pPr>
        <w:spacing w:line="240" w:lineRule="auto"/>
      </w:pPr>
      <w:r>
        <w:t xml:space="preserve">Pirotehniskie izstrādājumi galvenokārt ir reglamentēti Nīderlandes tiesību aktos uguņošanas dekrētā. Wm 9.2.2.1. panta 1. un 2. punkts ir dekrēta par uguņošanu pamatā. Tomēr, lai īstenotu pirotehnikas atļauju reģistru, ir vajadzīgs īpašs pamats attiecībā uz personas datu apstrādi, kas šim nolūkam ir realizēta Wm 9.5.8. pantā. Tāpēc šis dekrēts ir balstīts gan uz Wm 9.2.2.1. panta 1. un 2. punktu, gan uz 9.5.8. panta 3. un 4. punktu. </w:t>
      </w:r>
    </w:p>
    <w:p w14:paraId="3F0C1AB7" w14:textId="77777777" w:rsidR="00327EE7" w:rsidRDefault="00327EE7" w:rsidP="00327EE7">
      <w:pPr>
        <w:spacing w:line="240" w:lineRule="auto"/>
      </w:pPr>
    </w:p>
    <w:p w14:paraId="6B5DC0AB" w14:textId="28E31FAC" w:rsidR="00EF30A1" w:rsidRPr="00AF331A" w:rsidRDefault="00327EE7" w:rsidP="00EF30A1">
      <w:pPr>
        <w:spacing w:line="240" w:lineRule="auto"/>
      </w:pPr>
      <w:r>
        <w:t xml:space="preserve">Dekrēta par uguņošanu 1.1.2.a panta 1. punktā ir noteiktas personas ar speciālām zināšanām. Saskaņā ar 1.1.2.a panta 2. punktu personu ar specializētām zināšanām par tādu norīko arī saistībā ar uguņošanas ierīcēm un pirotehniskajiem izstrādājumiem, kas paredzēti izmantošanai norises vietā citā Eiropas Savienības dalībvalstī. </w:t>
      </w:r>
    </w:p>
    <w:p w14:paraId="7DB9825C" w14:textId="77777777" w:rsidR="00EF30A1" w:rsidRPr="00AF331A" w:rsidRDefault="00EF30A1" w:rsidP="00EF30A1">
      <w:pPr>
        <w:spacing w:line="240" w:lineRule="auto"/>
      </w:pPr>
    </w:p>
    <w:p w14:paraId="2FEF7A0B" w14:textId="13F4E42D" w:rsidR="00D156E5" w:rsidRPr="00AF331A" w:rsidRDefault="00EF30A1" w:rsidP="00EF30A1">
      <w:pPr>
        <w:spacing w:line="240" w:lineRule="auto"/>
      </w:pPr>
      <w:r>
        <w:t xml:space="preserve">Praksē lielāko personu grupu ar specializētām zināšanām veido pieteikuma atļaujas turētāji (1.1.2.a panta 1. punkta b) apakšpunkts). Tomēr, ņemot vērā 3B.1. panta 6. punktu, pieteikuma atļaujas turētājs var būt gan juridiska persona, gan fiziska persona, savukārt pirotehnikas atļauju fiziskai personai var izsniegt tikai saskaņā ar Beniluksa lēmumu. Tomēr Beniluksa lēmumā ir ietverts arī “atbildīgas personas” tēls. Šī ir persona, ko izraudzījusies juridiska persona, kurai ir tiesības uzglabāt vai darīt pieejamus tirgū pirotehniskos izstrādājumus šīs juridiskās personas vārdā, lai izmantotu pirotehniskos izstrādājumus. </w:t>
      </w:r>
    </w:p>
    <w:p w14:paraId="60717B8D" w14:textId="60EC65B3" w:rsidR="00D156E5" w:rsidRPr="00AF331A" w:rsidRDefault="00D156E5" w:rsidP="00EF30A1">
      <w:pPr>
        <w:spacing w:line="240" w:lineRule="auto"/>
      </w:pPr>
    </w:p>
    <w:p w14:paraId="6875DA1D" w14:textId="77777777" w:rsidR="002679C0" w:rsidRDefault="00143F76" w:rsidP="00EF30A1">
      <w:pPr>
        <w:spacing w:line="240" w:lineRule="auto"/>
      </w:pPr>
      <w:r>
        <w:t xml:space="preserve">Persona, kas faktiski aizdedz uguņošanas ierīces, parasti nav tā pati (juridiskā vai cita) persona, kurai ir pieteikuma atļauja. Profesionālo uguņošanas ierīču palaišanai ir nepieciešama apmācība un reģistrācija saskaņā ar Dekrētu par darba apstākļiem. Lai saņemtu pieteikuma atļauju, pieteikuma iesniedzējiem tostarp ir jāiesniedz derīga ieraksta kopija Dekrēta par darba nosacījumiem 4.9. panta 1. punktā minētajā uguņošanas ierīču operatoru reģistrā, kas izsniegts personai, kura ir veikusi darbības, uz kurām attiecas pieteikums, un kas attiecas uz šīm darbībām. Turklāt ir arī uguņošanas ierīču apstrādātāji (Dekrēta par darba apstākļiem 4.9. panta 2. punkts), kas veic darbus, kas ietver uguņošanas ierīču, profesionālo uguņošanas ierīču vai pirotehnisko izstrādājumu pārdošanu, apstrādi vai izgatavošanu patērētājiem, lai tos izmantotu teātra vajadzībām. Šīs personas tiek uzskatītas par “atbildīgām personām”. </w:t>
      </w:r>
    </w:p>
    <w:p w14:paraId="70DF5F92" w14:textId="77777777" w:rsidR="002679C0" w:rsidRDefault="002679C0" w:rsidP="00EF30A1">
      <w:pPr>
        <w:spacing w:line="240" w:lineRule="auto"/>
      </w:pPr>
    </w:p>
    <w:p w14:paraId="68066069" w14:textId="4FB3741F" w:rsidR="00143F76" w:rsidRPr="00AF331A" w:rsidRDefault="00776DC6" w:rsidP="00EF30A1">
      <w:pPr>
        <w:spacing w:line="240" w:lineRule="auto"/>
      </w:pPr>
      <w:r>
        <w:t xml:space="preserve">Pamatojoties uz Dekrētu par darba apstākļiem un kā sīkāk izklāstīts Darba apstākļu regulā, tiek reglamentēts, kam ir piekļuve uguņošanas ierīču apstrādātāju un uguņošanas ierīču operatoru reģistram. Saskaņā ar Dekrēta par darba apstākļiem 1.5.o panta c) punktu reģistrus var apskatīt citas personas, kuras tieši skar (cita starpā — klients vai klienta pilnvarotais pārstāvis) attiecībā uz personas reģistrāciju vai apturēšanu. Šī lēmuma paskaidrojuma rakstā ir norādīts, ka tas varētu ietvert, piemēram, valsts iestādes, kas pieņem lēmumus, pamatojoties uz Ugunsdzēsības dekrētu. Tas ir svarīgi, lai pārbaudītu, vai uguņošanas ierīču darbinieka vai uguņošanas ierīču darbinieka reģistrācija ir spēkā saistībā ar pirotehnikas atļauju. </w:t>
      </w:r>
    </w:p>
    <w:p w14:paraId="639E72A4" w14:textId="77777777" w:rsidR="00327EE7" w:rsidRDefault="00327EE7" w:rsidP="00327EE7">
      <w:pPr>
        <w:spacing w:line="240" w:lineRule="auto"/>
      </w:pPr>
    </w:p>
    <w:p w14:paraId="6619A365" w14:textId="6BA4BF1D" w:rsidR="00327EE7" w:rsidRPr="00327EE7" w:rsidRDefault="00327EE7" w:rsidP="00327EE7">
      <w:pPr>
        <w:spacing w:line="240" w:lineRule="auto"/>
      </w:pPr>
      <w:r>
        <w:t xml:space="preserve">Pirotehnikas atļaujas paraugu un tehniskās detaļas, kas paredzētas juridiskajā pamatā, izstrādā ministrijas noteikumos. </w:t>
      </w:r>
    </w:p>
    <w:p w14:paraId="0044771B" w14:textId="3FAC2891" w:rsidR="00CF7C1C" w:rsidRDefault="00CF7C1C" w:rsidP="00CF7C1C">
      <w:pPr>
        <w:spacing w:line="240" w:lineRule="auto"/>
        <w:rPr>
          <w:b/>
          <w:bCs/>
        </w:rPr>
      </w:pPr>
    </w:p>
    <w:p w14:paraId="5E94832F" w14:textId="3176BDE2" w:rsidR="00975E08" w:rsidRDefault="00B635DB" w:rsidP="00AE0502">
      <w:pPr>
        <w:pStyle w:val="ListParagraph"/>
        <w:keepNext/>
        <w:keepLines/>
        <w:spacing w:line="240" w:lineRule="auto"/>
        <w:rPr>
          <w:b/>
          <w:bCs/>
        </w:rPr>
      </w:pPr>
      <w:r>
        <w:rPr>
          <w:b/>
        </w:rPr>
        <w:lastRenderedPageBreak/>
        <w:t>6. Sekas (izņemot finansiālās sekas)</w:t>
      </w:r>
    </w:p>
    <w:p w14:paraId="4C05B5CD" w14:textId="7F1C4B3F" w:rsidR="00C43025" w:rsidRDefault="00C43025" w:rsidP="00AE0502">
      <w:pPr>
        <w:keepNext/>
        <w:keepLines/>
        <w:spacing w:line="240" w:lineRule="auto"/>
        <w:rPr>
          <w:b/>
          <w:bCs/>
        </w:rPr>
      </w:pPr>
    </w:p>
    <w:p w14:paraId="70482F24" w14:textId="77777777" w:rsidR="004946A8" w:rsidRDefault="004946A8" w:rsidP="00AE0502">
      <w:pPr>
        <w:keepNext/>
        <w:keepLines/>
        <w:spacing w:line="240" w:lineRule="auto"/>
        <w:rPr>
          <w:i/>
          <w:iCs/>
        </w:rPr>
      </w:pPr>
      <w:r>
        <w:rPr>
          <w:i/>
        </w:rPr>
        <w:t>Regulatīvā sloga ietekme</w:t>
      </w:r>
    </w:p>
    <w:p w14:paraId="6914D7FF" w14:textId="28F21F0E" w:rsidR="00936355" w:rsidRDefault="00C43025" w:rsidP="00AE0502">
      <w:pPr>
        <w:keepNext/>
        <w:keepLines/>
        <w:spacing w:line="240" w:lineRule="auto"/>
      </w:pPr>
      <w:r>
        <w:t xml:space="preserve">Šis grozījums dekrētā par uguņošanu rada reglamentējošas sekas dažādām personām uguņošanas ierīču nozarē. Tas attiecas uz uzņēmējiem un personām, kurām ir jāpiesakās pirotehnikas atļaujas saņemšanai. </w:t>
      </w:r>
      <w:r>
        <w:rPr>
          <w:color w:val="auto"/>
          <w:shd w:val="clear" w:color="auto" w:fill="FFFFFF"/>
        </w:rPr>
        <w:t>Aprēķinot administratīvo slogu, ir noteikta valsts metodika regulatīvā spiediena ietekmei, pieņemot, ka izmaksas ir 50 EUR stundā.</w:t>
      </w:r>
    </w:p>
    <w:p w14:paraId="6403155A" w14:textId="77777777" w:rsidR="00936355" w:rsidRDefault="00936355" w:rsidP="00AE0502">
      <w:pPr>
        <w:keepNext/>
        <w:keepLines/>
        <w:spacing w:line="240" w:lineRule="auto"/>
      </w:pPr>
    </w:p>
    <w:p w14:paraId="528F4983" w14:textId="2DF545CB" w:rsidR="00252E79" w:rsidRPr="00A6359B" w:rsidRDefault="00C43025" w:rsidP="00C43025">
      <w:pPr>
        <w:spacing w:line="240" w:lineRule="auto"/>
      </w:pPr>
      <w:r>
        <w:t>Uzņēmējiem, pārdodot konkrētus pirotehniskos izstrādājumus, drīz būs pienākums pieprasīt pirotehnikas atļauju, pārbaudīt tās derīgumu pirotehnikas atļauju reģistrā un saglabāt pierādījumus par to savā uzskaitē. Pašlaik šīm pusēm ir arī jāpārbauda, vai persona, kas pērk pirotehniskos izstrādājumus, ir persona ar specializētām zināšanām. Rezultātā pirotehnikas atļaujas ieviešanas ietekme uz šīm partijām ir neliela un pat atvieglo pārbaudes. Tomēr uzņēmējiem ir jāņem vērā jaunie pienākumi; šim nolūkam katram ekonomikas dalībniekam tiek piešķirta aptuveni viena stunda. Turklāt ekonomikas dalībniekiem ir pienākums savā uzskaitē glabāt informāciju, par kuru tiek aprēķinātas piecas minūtes par katru darbību katram ekonomikas dalībniekam. Nīderlandē darbojas aptuveni 10 tirgus dalībnieki. Tas nozīmē, ka šo izmaiņu radītais regulatīvais slogs šai mērķgrupai ir gandrīz nulle.</w:t>
      </w:r>
    </w:p>
    <w:p w14:paraId="5C09DCB1" w14:textId="77777777" w:rsidR="00252E79" w:rsidRPr="00A6359B" w:rsidRDefault="00252E79" w:rsidP="00C43025">
      <w:pPr>
        <w:spacing w:line="240" w:lineRule="auto"/>
      </w:pPr>
    </w:p>
    <w:p w14:paraId="72C1AC07" w14:textId="6D06525A" w:rsidR="00252E79" w:rsidRPr="00A6359B" w:rsidRDefault="00252E79" w:rsidP="00C43025">
      <w:pPr>
        <w:spacing w:line="240" w:lineRule="auto"/>
      </w:pPr>
      <w:r>
        <w:t>Attiecībā uz personām ar speciālām zināšanām vai atbildīgām personām Rīkojuma par uguņošanas ierīcēm grozījums nozīmē, ka tām, pamatojoties uz pirotehnikas atļauju, ir jāspēj pierādīt, ka tās ir pilnvarotas kā tādas. Viņiem jāpiesakās pirotehnikas atļaujai. Tas šīm pusēm ir papildu akts, lai gan netiek izvirzītas jaunas apmācības prasības vai citas prasības. Rezultātā ietekme uz šo mērķgrupu ir saglabāta pēc iespējas ierobežotāka. Divas stundas tiek piešķirtas, lai ņemtu vērā pienākumu un pieteikumu pirotehnikas atļaujas saņemšanai un savāktu nepieciešamos datus. Pašlaik ir grūti novērtēt, cik daudz cilvēku piesakās pirotehnikas atļaujai. Paredzams, ka tas būs no 50 līdz 150 cilvēkiem. Tas nozīmē, ka šo izmaiņu radītais regulatīvais slogs šai mērķgrupai kopumā tiek lēsts no EUR 5000 līdz EUR 15 000.</w:t>
      </w:r>
    </w:p>
    <w:p w14:paraId="4092354C" w14:textId="44138531" w:rsidR="004946A8" w:rsidRPr="00A6359B" w:rsidRDefault="004946A8" w:rsidP="00C43025">
      <w:pPr>
        <w:spacing w:line="240" w:lineRule="auto"/>
      </w:pPr>
    </w:p>
    <w:p w14:paraId="3BE987CF" w14:textId="331039CD" w:rsidR="004946A8" w:rsidRDefault="007F6D5D" w:rsidP="00C43025">
      <w:pPr>
        <w:spacing w:line="240" w:lineRule="auto"/>
      </w:pPr>
      <w:r>
        <w:t xml:space="preserve">Ar šo dekrētu pieteikuma atļaujai ir piešķirts derīguma termiņš. Tas nozīmē, ka pieteikuma atļauja ir jāiesniedz vēlreiz pēc derīguma termiņa beigām. Šobrīd ir aptuveni 75 pieteikuma atļaujas turētāji. Pieteikums pieteikuma atļaujas saņemšanai, tostarp prasītā rīcības deklarācija (turpmāk — VOG), tiek lēsts apmēram divas stundas. Par licences pieteikumu netiek iekasēta nekāda maksa. Tas nozīmē, ka šai īpašajai mērķgrupai kopējais regulatīvais slogs tiek lēsts aptuveni EUR 7500 apmērā. </w:t>
      </w:r>
    </w:p>
    <w:p w14:paraId="7B7FBC99" w14:textId="2629C7E0" w:rsidR="00C43025" w:rsidRDefault="00C43025" w:rsidP="00C43025">
      <w:pPr>
        <w:spacing w:line="240" w:lineRule="auto"/>
      </w:pPr>
    </w:p>
    <w:p w14:paraId="267FC2EE" w14:textId="77777777" w:rsidR="004946A8" w:rsidRDefault="004946A8" w:rsidP="00C43025">
      <w:pPr>
        <w:spacing w:line="240" w:lineRule="auto"/>
        <w:rPr>
          <w:i/>
          <w:iCs/>
        </w:rPr>
      </w:pPr>
      <w:r>
        <w:rPr>
          <w:i/>
        </w:rPr>
        <w:t>Efektivitāte un lietderība</w:t>
      </w:r>
    </w:p>
    <w:p w14:paraId="2BE5AB6D" w14:textId="0BC0329B" w:rsidR="008D009E" w:rsidRDefault="008D009E" w:rsidP="00C43025">
      <w:pPr>
        <w:spacing w:line="240" w:lineRule="auto"/>
      </w:pPr>
      <w:r>
        <w:t>Tā kā pirotehnikas atļaujas sistēma tiek ieviesta tikai Beniluksa valstīs, efektivitāte un lietderība sākotnēji ir ierobežota. Tomēr ieviešanai ir arī svarīga loma izmēģinājuma procesā, un ES rezultāti tiek uzraudzīti. Beniluksa mērķis ir, lai pirotehnikas atļauja tiktu ieviesta Eiropas Savienībā.</w:t>
      </w:r>
    </w:p>
    <w:p w14:paraId="401AC6D0" w14:textId="77777777" w:rsidR="00E07588" w:rsidRDefault="00E07588" w:rsidP="00C43025">
      <w:pPr>
        <w:spacing w:line="240" w:lineRule="auto"/>
      </w:pPr>
    </w:p>
    <w:p w14:paraId="6324A8CD" w14:textId="15DF4D44" w:rsidR="008D009E" w:rsidRPr="004946A8" w:rsidRDefault="004946A8" w:rsidP="00C43025">
      <w:pPr>
        <w:spacing w:line="240" w:lineRule="auto"/>
        <w:rPr>
          <w:i/>
          <w:iCs/>
        </w:rPr>
      </w:pPr>
      <w:r>
        <w:rPr>
          <w:i/>
        </w:rPr>
        <w:t>Sekas privātumam</w:t>
      </w:r>
    </w:p>
    <w:p w14:paraId="57A10400" w14:textId="10864A2A" w:rsidR="00CA1DB1" w:rsidRDefault="00252E79" w:rsidP="00C43025">
      <w:pPr>
        <w:spacing w:line="240" w:lineRule="auto"/>
      </w:pPr>
      <w:r>
        <w:t xml:space="preserve">Šis dekrēts noved pie personas datu apstrādes. Tā galvenais pamats ir likumprojekts, ar ko izveido pirotehnikas atļaujas reģistru; šajā sakarā ir izstrādāts NIDA, un Nīderlandes Datu aizsardzības iestādei ir lūgts atzinums. Šajā sakarā netika sniegti nekādi apsvērumi. </w:t>
      </w:r>
    </w:p>
    <w:p w14:paraId="7F572F52" w14:textId="77777777" w:rsidR="00CA1DB1" w:rsidRDefault="00CA1DB1" w:rsidP="00C43025">
      <w:pPr>
        <w:spacing w:line="240" w:lineRule="auto"/>
      </w:pPr>
    </w:p>
    <w:p w14:paraId="0BCC09DE" w14:textId="269241BB" w:rsidR="00447582" w:rsidRDefault="00252E79" w:rsidP="00447582">
      <w:pPr>
        <w:spacing w:line="240" w:lineRule="auto"/>
      </w:pPr>
      <w:r>
        <w:t xml:space="preserve">Šim grozījumam ir izstrādāts jauns NIDA. Kontrolieris ir infrastruktūras un ūdens apsaimniekošanas ministrs (IenW). Šajā dekrētā ir paredzētas dažādas datu apstrādes darbības, proti, pirotehnikas atļaujas pieteikums, tās novērtējums un pirotehnikas atļaujas izsniegšana. Turklāt nepieciešamie dati — kā prasīts Beniluksa lēmumā — tiek glabāti pirotehnikas atļaujas reģistrā. Ja uzņēmējs pārdod F3, F4, T2 vai P2 kategorijas pirotehniskos izstrādājumus, šim pārdevējam ir pienākums pārbaudīt pirotehnikas atļauju un personu apliecinošu dokumentu, kā arī iepazīties ar pirotehnikas atļauju reģistru. Turklāt uzņēmējam savā uzskaitē jāglabā konkrēti dokumenti, kas minēti 4.1. panta 8. punktā. Visbeidzot, personas datus apstrādā, kad iestādēm, kas atbild par </w:t>
      </w:r>
      <w:r>
        <w:lastRenderedPageBreak/>
        <w:t xml:space="preserve">pirotehniskajiem izstrādājumiem piemērojamo noteikumu ievērošanas uzraudzību un šo noteikumu izpildi, ir piešķirta piekļuve, piemēram, reģistram. Proporcionalitātes un subsidiaritātes prasība ir ņemta vērā gan Beniluksa lēmuma kontekstā, gan pašreizējā īstenošanā. Visās apstrādes darbībās personas dati netiek apstrādāti vairāk, kā tas ir nepieciešams, un tos neapstrādā tālāk par mērķiem, kādiem tie iegūti (mērķis saistošs), </w:t>
      </w:r>
      <w:bookmarkStart w:id="4" w:name="_Hlk125126125"/>
      <w:r>
        <w:t>izņemot saistībā ar uzraudzību attiecībā uz to noteikumu ievērošanu, ko piemēro pirotehniskajiem izstrādājumiem, un to, ka attiecīgās iestādes īsteno šos noteikumus.</w:t>
      </w:r>
      <w:bookmarkEnd w:id="4"/>
      <w:r>
        <w:t xml:space="preserve"> Pēdējais ir svarīgs, piemēram, ja prokuratūra (turpmāk — OM) saņem piekļuvi reģistram. </w:t>
      </w:r>
    </w:p>
    <w:p w14:paraId="402614B7" w14:textId="77777777" w:rsidR="00447582" w:rsidRDefault="00447582" w:rsidP="00447582">
      <w:pPr>
        <w:spacing w:line="240" w:lineRule="auto"/>
      </w:pPr>
    </w:p>
    <w:p w14:paraId="5D2C7B38" w14:textId="47AB3ABF" w:rsidR="00447582" w:rsidRDefault="00447582" w:rsidP="00447582">
      <w:pPr>
        <w:spacing w:line="240" w:lineRule="auto"/>
      </w:pPr>
      <w:r>
        <w:t>Datus neglabā ilgāk, nekā nepieciešams. Reģistrus un datus, kas ievadīti pirotehnikas atļaujas reģistrā, glabā 12 gadus. Šajā nolūkā tas ir saskaņots ar uguņošanas ierīču pārkāpumu maksimālo noilguma termiņu.</w:t>
      </w:r>
    </w:p>
    <w:p w14:paraId="7D003D62" w14:textId="413391F3" w:rsidR="00CA1DB1" w:rsidRDefault="00447582" w:rsidP="00447582">
      <w:pPr>
        <w:spacing w:line="240" w:lineRule="auto"/>
        <w:rPr>
          <w:color w:val="auto"/>
        </w:rPr>
      </w:pPr>
      <w:r>
        <w:t xml:space="preserve">Uzņēmēji glabā kontroles dokumenta kopiju reģistros kopā ar attiecīgo faktūrrēķinu un, attiecīgā gadījumā, attiecīgo pārvadājuma dokumentu septiņus gadus. </w:t>
      </w:r>
      <w:r>
        <w:rPr>
          <w:color w:val="auto"/>
        </w:rPr>
        <w:t>Tas ir saskaņots ar valsts datu glabāšanas periodu.</w:t>
      </w:r>
    </w:p>
    <w:p w14:paraId="558FE160" w14:textId="0BC5F66C" w:rsidR="00447582" w:rsidRDefault="00447582" w:rsidP="00447582">
      <w:pPr>
        <w:spacing w:line="240" w:lineRule="auto"/>
        <w:rPr>
          <w:color w:val="auto"/>
        </w:rPr>
      </w:pPr>
    </w:p>
    <w:p w14:paraId="52054656" w14:textId="5942787D" w:rsidR="00252E79" w:rsidRPr="00252E79" w:rsidRDefault="00447582" w:rsidP="00C43025">
      <w:pPr>
        <w:spacing w:line="240" w:lineRule="auto"/>
        <w:rPr>
          <w:highlight w:val="yellow"/>
        </w:rPr>
      </w:pPr>
      <w:r>
        <w:rPr>
          <w:color w:val="auto"/>
        </w:rPr>
        <w:t>Pirotehnikas atļaujas izsniegšanu un pirotehnikas atļauju reģistra ieviešanu un pārvaldību veic organizācija, kas vēl jānosaka. Šim nolūkam noslēdz vajadzīgos nolīgumus, piemēram, apstrādes nolīgumu.</w:t>
      </w:r>
    </w:p>
    <w:p w14:paraId="4C2D6765" w14:textId="04E46AFB" w:rsidR="008D009E" w:rsidRDefault="008D009E" w:rsidP="00C43025">
      <w:pPr>
        <w:spacing w:line="240" w:lineRule="auto"/>
      </w:pPr>
    </w:p>
    <w:p w14:paraId="5B5DCDBE" w14:textId="6E3DD6C8" w:rsidR="00975E08" w:rsidRPr="0096601D" w:rsidRDefault="00B635DB" w:rsidP="0096601D">
      <w:pPr>
        <w:spacing w:line="240" w:lineRule="auto"/>
        <w:ind w:left="360"/>
        <w:rPr>
          <w:b/>
          <w:bCs/>
        </w:rPr>
      </w:pPr>
      <w:r>
        <w:rPr>
          <w:b/>
        </w:rPr>
        <w:t>7. Izpilde un ieviešana</w:t>
      </w:r>
    </w:p>
    <w:p w14:paraId="2C53EA96" w14:textId="01746B6B" w:rsidR="008D009E" w:rsidRDefault="008D009E" w:rsidP="008D009E">
      <w:pPr>
        <w:spacing w:line="240" w:lineRule="auto"/>
        <w:rPr>
          <w:b/>
          <w:bCs/>
        </w:rPr>
      </w:pPr>
    </w:p>
    <w:p w14:paraId="6A49A41C" w14:textId="46C8C417" w:rsidR="008D009E" w:rsidRDefault="00320BB5" w:rsidP="008D009E">
      <w:pPr>
        <w:spacing w:line="240" w:lineRule="auto"/>
      </w:pPr>
      <w:r>
        <w:t xml:space="preserve">Būtu jāizveido un jāpārvalda pirotehnikas atļauju reģistrs. Šīs pilnvaras ar šo dekrētu tika piešķirtas IenW ministram. </w:t>
      </w:r>
      <w:r>
        <w:rPr>
          <w:highlight w:val="yellow"/>
        </w:rPr>
        <w:t>Vajadzīgi precizējumi.</w:t>
      </w:r>
      <w:r>
        <w:t xml:space="preserve"> </w:t>
      </w:r>
    </w:p>
    <w:p w14:paraId="2971A261" w14:textId="71FFEAFE" w:rsidR="00585934" w:rsidRDefault="00585934" w:rsidP="008D009E">
      <w:pPr>
        <w:spacing w:line="240" w:lineRule="auto"/>
      </w:pPr>
    </w:p>
    <w:p w14:paraId="276B61A9" w14:textId="15454E6B" w:rsidR="002C1D08" w:rsidRDefault="002C1D08" w:rsidP="008D009E">
      <w:pPr>
        <w:spacing w:line="240" w:lineRule="auto"/>
      </w:pPr>
      <w:r>
        <w:t xml:space="preserve">Uguņošanas ierīču noteikumi tiek piemēroti gan attiecībā uz administratīvajām tiesībām, gan krimināltiesībām. Administratīvo tiesību izpratnē naudas sodu var uzlikt, pamatojoties uz Wm vai kā administratīvu sodu. Vides un transporta inspekcija (ILT) pārrauga uzņēmumu tirgū laisto uguņošanas ierīču drošību un kvalitāti. ILT ir uzraudzības iestāde bīstamu vielu pārvadājumiem, tostarp uguņošanas ierīcēm saskaņā ar tiesību aktiem pārvadājumu jomā un uguņošanas ierīču importam un eksportam, ko veic uzņēmumi saskaņā ar Dekrētu par uguņošanas ierīcēm. ILT izsniedz arī pieteikuma atļaujas. Dekrēta projekts tika iesniegts ILT xx tiesas procesam par izpildāmību, praktiskumu un cīņu pret krāpšanu. ILT ir novērtējusi dekrētu kā </w:t>
      </w:r>
      <w:r>
        <w:rPr>
          <w:highlight w:val="yellow"/>
        </w:rPr>
        <w:t>... PM HUF test.</w:t>
      </w:r>
    </w:p>
    <w:p w14:paraId="0E7FB361" w14:textId="54113D45" w:rsidR="002C1D08" w:rsidRDefault="002C1D08" w:rsidP="008D009E">
      <w:pPr>
        <w:spacing w:line="240" w:lineRule="auto"/>
      </w:pPr>
    </w:p>
    <w:p w14:paraId="34686046" w14:textId="1EDE2621" w:rsidR="002C1D08" w:rsidRDefault="002C1D08" w:rsidP="008D009E">
      <w:pPr>
        <w:spacing w:line="240" w:lineRule="auto"/>
      </w:pPr>
      <w:r>
        <w:t xml:space="preserve">Dažādi noteikumi uguņošanas dekrētā ir sodāmi Likumā par ekonomiskiem nodarījumiem, un tos piemēro policija un prokuratūra. Tas attiecas, piemēram, uz profesionālu uguņošanas ierīču pārdošanu privātpersonām. Ar 2021. gada IenW kolektīvo aktu tiek grozīts Ekonomisko pārkāpumu likums, lai īstenotu arī 9.5.8. panta 6. punktu. Noziedzīga nodarījuma gadījumā maksimālais sods ir brīvības atņemšana uz laiku līdz sešiem gadiem, piespiedu darbs vai piektās kategorijas naudas sods (pašlaik EUR 90 000). Dekrēta projekts tika iesniegts prokuratūrai </w:t>
      </w:r>
      <w:r>
        <w:rPr>
          <w:highlight w:val="yellow"/>
        </w:rPr>
        <w:t>xx</w:t>
      </w:r>
      <w:r>
        <w:t xml:space="preserve">. </w:t>
      </w:r>
      <w:r>
        <w:rPr>
          <w:highlight w:val="yellow"/>
        </w:rPr>
        <w:t>HUF tests jānorāda</w:t>
      </w:r>
    </w:p>
    <w:p w14:paraId="50AD1D6B" w14:textId="0EFF2653" w:rsidR="00975E08" w:rsidRDefault="00975E08" w:rsidP="00585934">
      <w:pPr>
        <w:pStyle w:val="ListParagraph"/>
        <w:spacing w:line="240" w:lineRule="auto"/>
        <w:rPr>
          <w:b/>
          <w:bCs/>
        </w:rPr>
      </w:pPr>
    </w:p>
    <w:p w14:paraId="534484EE" w14:textId="78633A2D" w:rsidR="00975E08" w:rsidRDefault="00E136B9" w:rsidP="0096601D">
      <w:pPr>
        <w:pStyle w:val="ListParagraph"/>
        <w:spacing w:line="240" w:lineRule="auto"/>
        <w:rPr>
          <w:b/>
          <w:bCs/>
        </w:rPr>
      </w:pPr>
      <w:r>
        <w:rPr>
          <w:b/>
        </w:rPr>
        <w:t>8. Finansiālā ietekme</w:t>
      </w:r>
    </w:p>
    <w:p w14:paraId="7CC3594D" w14:textId="3405B1C8" w:rsidR="006B5035" w:rsidRDefault="006B5035" w:rsidP="006B5035">
      <w:pPr>
        <w:spacing w:line="240" w:lineRule="auto"/>
        <w:rPr>
          <w:b/>
          <w:bCs/>
        </w:rPr>
      </w:pPr>
    </w:p>
    <w:p w14:paraId="3E288867" w14:textId="4B698FDD" w:rsidR="006B5035" w:rsidRDefault="003134C0" w:rsidP="006B5035">
      <w:pPr>
        <w:spacing w:line="240" w:lineRule="auto"/>
      </w:pPr>
      <w:r>
        <w:t xml:space="preserve">Saskaņā ar Wm 9.5.8. panta 5. punktu ir iespējams piemērot tarifu pirotehnikas atļaujas piemērošanai. Pašlaik tas nav paredzēts, tāpēc finansiālā ietekme uz nozari ir ļoti ierobežota. Par pieteikuma atļauju netiek prasīta maksa, kas nozīmē, ka derīguma termiņa ieviešana nerada lielākas izmaksas. </w:t>
      </w:r>
    </w:p>
    <w:p w14:paraId="06498172" w14:textId="2B2A61FD" w:rsidR="006B5035" w:rsidRDefault="006B5035" w:rsidP="006B5035">
      <w:pPr>
        <w:spacing w:line="240" w:lineRule="auto"/>
      </w:pPr>
    </w:p>
    <w:p w14:paraId="56840DF9" w14:textId="77777777" w:rsidR="00E07588" w:rsidRPr="006B5035" w:rsidRDefault="00E07588" w:rsidP="006B5035">
      <w:pPr>
        <w:spacing w:line="240" w:lineRule="auto"/>
        <w:rPr>
          <w:b/>
          <w:bCs/>
        </w:rPr>
      </w:pPr>
    </w:p>
    <w:p w14:paraId="20868362" w14:textId="368FAD50" w:rsidR="00975E08" w:rsidRDefault="00975E08" w:rsidP="00FF6FF4">
      <w:pPr>
        <w:pStyle w:val="ListParagraph"/>
        <w:keepNext/>
        <w:keepLines/>
        <w:numPr>
          <w:ilvl w:val="0"/>
          <w:numId w:val="26"/>
        </w:numPr>
        <w:spacing w:line="240" w:lineRule="auto"/>
        <w:rPr>
          <w:b/>
          <w:bCs/>
        </w:rPr>
      </w:pPr>
      <w:r>
        <w:rPr>
          <w:b/>
        </w:rPr>
        <w:lastRenderedPageBreak/>
        <w:t>Ieteikumi un apspriešana</w:t>
      </w:r>
    </w:p>
    <w:p w14:paraId="1D22CCE9" w14:textId="3285AF09" w:rsidR="00D4395F" w:rsidRDefault="006B5035" w:rsidP="00FF6FF4">
      <w:pPr>
        <w:keepNext/>
        <w:keepLines/>
        <w:spacing w:line="240" w:lineRule="auto"/>
      </w:pPr>
      <w:r>
        <w:t>Par šā dekrēta izstrādi notika apspriešanās ar vairākām personām. OM un ILT veiktspējas testi jau ir apspriesti iepriekš. Sākotnējais projekts ir apspriests arī ar pārstāvjiem no VEN (Nīderlandes Pasākumu uguņošanas asociācija), BPN (Nīderlandes Pirotehnikas asociācija) un Stichting VuurwerkCheck. Līdz ar to dekrētā ir paredzēts, ka F3 vai F4 kategorijas uguņošanas ierīču pirotehnikas atļaujas turētājus uzskata par pilnvarotiem arī F2 kategorijas uguņošanas ierīcēm, kas nav paredzētas privātai lietošanai. Tāpat ir paredzēts, ka pirotehniskos izstrādājumus, kas paredzēti T2 kategorijas pirotehniskajiem izstrādājumiem, turētājus uzskata par pilnvarotiem arī attiecībā uz T1 kategorijas pirotehniskajiem izstrādājumiem teātra vajadzībām. Lai gan nozare ir norādījusi, ka pieeja nelikumīgai tirdzniecībai ar uguņošanas ierīcēm ir svarīga, tai ir šaubas par to, cik efektīva ir pirotehnikas nodošana nelikumīgai tirdzniecībai, jo tā tiek importēta tikai Beniluksa valstīs. Pirotehnikas atļauja ir instruments, kas ir daļa no plašāka pasākumu kopuma, lai samazinātu nelikumību ar profesionālām uguņošanas ierīcēm. Tā ir Beniluksa vēlme, lai pirotehnikas atļauja tiktu ieviesta Eiropas Savienībā. Nozare ir norādījusi, ka pirotehnikas atļaujas ieviešana tiek uzskatīta par administratīvā sloga palielināšanos, jo tā uzskata, ka pirotehnikas atļauja ir paziņojuma dublēšanās saskaņā ar uguņošanas ierīču dekrēta 1.4.1. pantu. Administratīvais slogs, kā paskaidrots paskaidrojuma raksta 6. punktā, ir saglabāts pēc iespējas ierobežotāks. Pirotehnikas atļauja ļauj uzņēmējiem vieglāk pārbaudīt, vai pircējam ir nepieciešamās atļaujas. Turklāt nav dublēšanās ar Rīkojuma par uguņošanas ierīcēm 1.4.1. pantā paredzēto ziņošanas sistēmu, jo paziņošanas sistēmas mērķis nav precīzi salīdzināms ar pirotehnikas atļaujas mērķi. Ziņošanas sistēma attiecas uz pārrobežu produktu plūsmu kartēšanu, savukārt pirotehnikas atļauja attiecas uz pārdošanas darījumiem.</w:t>
      </w:r>
    </w:p>
    <w:p w14:paraId="5B1BCC8D" w14:textId="77777777" w:rsidR="00D4395F" w:rsidRDefault="00D4395F" w:rsidP="00D4395F">
      <w:pPr>
        <w:spacing w:line="240" w:lineRule="auto"/>
      </w:pPr>
    </w:p>
    <w:p w14:paraId="5483291E" w14:textId="77777777" w:rsidR="00D4395F" w:rsidRDefault="00D4395F" w:rsidP="00D4395F">
      <w:pPr>
        <w:spacing w:line="240" w:lineRule="auto"/>
      </w:pPr>
      <w:r>
        <w:t>Ņemot vērā ļoti ierobežoto ietekmi uz regulatīvo slogu, MVU pārbaude netika veikta.</w:t>
      </w:r>
    </w:p>
    <w:p w14:paraId="40F89A2C" w14:textId="46CD5351" w:rsidR="006B5035" w:rsidRDefault="006B5035" w:rsidP="006B5035">
      <w:pPr>
        <w:spacing w:line="240" w:lineRule="auto"/>
      </w:pPr>
    </w:p>
    <w:p w14:paraId="1BAF2357" w14:textId="28EB889D" w:rsidR="006B5035" w:rsidRDefault="006B5035" w:rsidP="006B5035">
      <w:pPr>
        <w:spacing w:line="240" w:lineRule="auto"/>
      </w:pPr>
    </w:p>
    <w:p w14:paraId="6EE4B7DD" w14:textId="72C8CA32" w:rsidR="006B5035" w:rsidRDefault="006B5035" w:rsidP="006B5035">
      <w:pPr>
        <w:spacing w:line="240" w:lineRule="auto"/>
      </w:pPr>
      <w:r>
        <w:t xml:space="preserve">Nīderlandes Datu aizsardzības iestādei tika lūgts atzinums </w:t>
      </w:r>
      <w:r>
        <w:rPr>
          <w:highlight w:val="yellow"/>
        </w:rPr>
        <w:t>xx</w:t>
      </w:r>
      <w:r>
        <w:t xml:space="preserve">... </w:t>
      </w:r>
    </w:p>
    <w:p w14:paraId="1C01C52B" w14:textId="0AF5D6C5" w:rsidR="006B5035" w:rsidRDefault="006B5035" w:rsidP="006B5035">
      <w:pPr>
        <w:spacing w:line="240" w:lineRule="auto"/>
      </w:pPr>
    </w:p>
    <w:p w14:paraId="645CDAAB" w14:textId="2BC0DCE4" w:rsidR="00027B61" w:rsidRDefault="006B5035" w:rsidP="006B5035">
      <w:pPr>
        <w:spacing w:line="240" w:lineRule="auto"/>
      </w:pPr>
      <w:r>
        <w:t xml:space="preserve">Par šo dekrētu notika apspriešanās internetā. Pamatojoties uz 21.6. panta 4. punktu, dekrēta projekts ir arī iepriekš publicēts Valdības vēstnesī, lai dotu ikvienam iespēju četru nedēļu laikā rakstiski informēt mūsu ministru. Šajā gadījumā var netikt veikta konsultācija internetā. </w:t>
      </w:r>
    </w:p>
    <w:p w14:paraId="62852144" w14:textId="72BDE637" w:rsidR="00027B61" w:rsidRDefault="00027B61" w:rsidP="006B5035">
      <w:pPr>
        <w:spacing w:line="240" w:lineRule="auto"/>
      </w:pPr>
      <w:r>
        <w:rPr>
          <w:highlight w:val="yellow"/>
        </w:rPr>
        <w:t>PM interneta konsultācijas komentāri un pirmspublikācijas</w:t>
      </w:r>
      <w:r>
        <w:t>.</w:t>
      </w:r>
    </w:p>
    <w:p w14:paraId="25555DD4" w14:textId="77777777" w:rsidR="00027B61" w:rsidRDefault="00027B61" w:rsidP="006B5035">
      <w:pPr>
        <w:spacing w:line="240" w:lineRule="auto"/>
      </w:pPr>
    </w:p>
    <w:p w14:paraId="143CF65F" w14:textId="1636B820" w:rsidR="006B5035" w:rsidRDefault="00027B61" w:rsidP="006B5035">
      <w:pPr>
        <w:spacing w:line="240" w:lineRule="auto"/>
      </w:pPr>
      <w:r>
        <w:t xml:space="preserve">Turklāt dekrēta projekts tika piedāvāts </w:t>
      </w:r>
      <w:r>
        <w:rPr>
          <w:highlight w:val="yellow"/>
        </w:rPr>
        <w:t xml:space="preserve">datums x </w:t>
      </w:r>
      <w:r>
        <w:t xml:space="preserve"> pirmajai un otrajai palātai saistībā ar likumā noteikto apturēšanu (Wm 21.6. panta 4. punkts). </w:t>
      </w:r>
      <w:r>
        <w:rPr>
          <w:highlight w:val="yellow"/>
        </w:rPr>
        <w:t>PM ievades pielikums.</w:t>
      </w:r>
    </w:p>
    <w:p w14:paraId="4C4263B0" w14:textId="29F73C64" w:rsidR="0000248B" w:rsidRDefault="0000248B" w:rsidP="006B5035">
      <w:pPr>
        <w:spacing w:line="240" w:lineRule="auto"/>
      </w:pPr>
    </w:p>
    <w:p w14:paraId="0CD49FEC" w14:textId="542340C5" w:rsidR="0000248B" w:rsidRPr="00311A82" w:rsidRDefault="0000248B" w:rsidP="0000248B">
      <w:pPr>
        <w:pStyle w:val="ListParagraph"/>
        <w:numPr>
          <w:ilvl w:val="0"/>
          <w:numId w:val="26"/>
        </w:numPr>
        <w:spacing w:line="240" w:lineRule="auto"/>
      </w:pPr>
      <w:r>
        <w:rPr>
          <w:b/>
        </w:rPr>
        <w:t>Novērtējums</w:t>
      </w:r>
    </w:p>
    <w:p w14:paraId="6778AA58" w14:textId="078983BD" w:rsidR="0000248B" w:rsidRDefault="0000248B" w:rsidP="0000248B">
      <w:pPr>
        <w:spacing w:line="240" w:lineRule="auto"/>
      </w:pPr>
    </w:p>
    <w:p w14:paraId="418F981E" w14:textId="0853DC73" w:rsidR="0000248B" w:rsidRPr="0000248B" w:rsidRDefault="0000248B" w:rsidP="0000248B">
      <w:pPr>
        <w:spacing w:line="240" w:lineRule="auto"/>
      </w:pPr>
      <w:r>
        <w:t xml:space="preserve">Šis dekrēts un pirotehnikas atļaujas darbība tiek izvērtēta pēc trim gadiem. Tas ir arī svarīgi, lai varētu noteikt, vai šī sistēma darbojas Beniluksa valstīs, un sniegt ieguldījumu iespējamai ieviešanai Eiropas līmenī. </w:t>
      </w:r>
    </w:p>
    <w:p w14:paraId="6E396653" w14:textId="77777777" w:rsidR="00E07588" w:rsidRDefault="00E07588" w:rsidP="006B5035">
      <w:pPr>
        <w:spacing w:line="240" w:lineRule="auto"/>
      </w:pPr>
    </w:p>
    <w:p w14:paraId="772ECAB6" w14:textId="3AD54460" w:rsidR="00975E08" w:rsidRDefault="00F050C0" w:rsidP="00975E08">
      <w:pPr>
        <w:pStyle w:val="ListParagraph"/>
        <w:numPr>
          <w:ilvl w:val="0"/>
          <w:numId w:val="26"/>
        </w:numPr>
        <w:spacing w:line="240" w:lineRule="auto"/>
        <w:rPr>
          <w:b/>
          <w:bCs/>
        </w:rPr>
      </w:pPr>
      <w:r>
        <w:rPr>
          <w:b/>
        </w:rPr>
        <w:t>Pārejas tiesību akti un stāšanās spēkā</w:t>
      </w:r>
    </w:p>
    <w:p w14:paraId="5C56A0A2" w14:textId="499A4ACA" w:rsidR="00F050C0" w:rsidRDefault="00F050C0" w:rsidP="00F050C0">
      <w:pPr>
        <w:spacing w:line="240" w:lineRule="auto"/>
        <w:rPr>
          <w:b/>
          <w:bCs/>
        </w:rPr>
      </w:pPr>
    </w:p>
    <w:p w14:paraId="188EBF71" w14:textId="5A81FCD8" w:rsidR="00E27732" w:rsidRPr="00E27732" w:rsidRDefault="00027B61" w:rsidP="00E27732">
      <w:pPr>
        <w:pStyle w:val="CommentText"/>
        <w:rPr>
          <w:sz w:val="18"/>
          <w:szCs w:val="18"/>
        </w:rPr>
      </w:pPr>
      <w:r>
        <w:rPr>
          <w:sz w:val="18"/>
        </w:rPr>
        <w:t xml:space="preserve">Pārejas tiesību akti ir vēlami attiecībā uz pieteikuma atļaujas derīguma termiņu, lai novērstu to, ka (ilgu laiku) piešķirtās licences pēkšņi vairs nav derīgas. Šajā nolūkā ir noteikts viena gada pārejas periods. Šis periods dod nozarei, kā arī licences sniedzējam pietiekami daudz laika pieteikuma apstrādei. </w:t>
      </w:r>
    </w:p>
    <w:p w14:paraId="095E7495" w14:textId="37530D8B" w:rsidR="00027B61" w:rsidRPr="00E27732" w:rsidRDefault="00027B61" w:rsidP="00F050C0">
      <w:pPr>
        <w:spacing w:line="240" w:lineRule="auto"/>
      </w:pPr>
    </w:p>
    <w:p w14:paraId="5CDF9308" w14:textId="30209FCC" w:rsidR="00F050C0" w:rsidRDefault="00F050C0" w:rsidP="00F050C0">
      <w:pPr>
        <w:spacing w:line="240" w:lineRule="auto"/>
      </w:pPr>
      <w:r>
        <w:t xml:space="preserve">Saskaņā ar Beniluksa lēmuma 7. panta 2. punktu Beniluksa valstīs ne vēlāk kā trīs gadus pēc Beniluksa lēmuma stāšanās spēkā stājas spēkā normatīvie un administratīvie akti, kas vajadzīgi, lai izpildītu šī Beniluksa lēmuma prasības. Beniluksa lēmums stājās spēkā 2020. gada 7. decembrī, un tas nozīmē, ka šā Beniluksa lēmuma īstenošana jāpabeidz 2023. gada 7. decembrī. Šis dekrēts stājas spēkā ar Karaļa dekrētu, lai šis grozījums stātos spēkā 2024. gada 1. janvārī. Stāšanās spēkā 2024. gada 1. janvārī ir vēlama, ņemot vērā attiecīgos grozījumus Dekrētā par darba apstākļiem (Likumu un </w:t>
      </w:r>
      <w:r>
        <w:lastRenderedPageBreak/>
        <w:t xml:space="preserve">Dekrētu biļetens 2019, 471), kas arī stājas spēkā šajā dienā. </w:t>
      </w:r>
      <w:r>
        <w:rPr>
          <w:highlight w:val="yellow"/>
        </w:rPr>
        <w:t>PM papildu pārejas tiesību akti, ja nepieciešams.</w:t>
      </w:r>
    </w:p>
    <w:p w14:paraId="18B8F887" w14:textId="0B230A45" w:rsidR="000D21CD" w:rsidRDefault="000D21CD" w:rsidP="00F050C0">
      <w:pPr>
        <w:spacing w:line="240" w:lineRule="auto"/>
      </w:pPr>
    </w:p>
    <w:p w14:paraId="2041535C" w14:textId="3C94762F" w:rsidR="00865EEC" w:rsidRDefault="00BE5238" w:rsidP="00975E08">
      <w:pPr>
        <w:spacing w:line="240" w:lineRule="auto"/>
        <w:rPr>
          <w:b/>
          <w:bCs/>
        </w:rPr>
      </w:pPr>
      <w:r>
        <w:rPr>
          <w:b/>
        </w:rPr>
        <w:t>Paskaidrojumi pa pantiem</w:t>
      </w:r>
    </w:p>
    <w:p w14:paraId="2686C65D" w14:textId="1B7496BC" w:rsidR="00BE5238" w:rsidRDefault="00BE5238" w:rsidP="00975E08">
      <w:pPr>
        <w:spacing w:line="240" w:lineRule="auto"/>
        <w:rPr>
          <w:b/>
          <w:bCs/>
        </w:rPr>
      </w:pPr>
    </w:p>
    <w:p w14:paraId="62C75F92" w14:textId="1287A2D1" w:rsidR="00BE5238" w:rsidRDefault="0026407F" w:rsidP="00975E08">
      <w:pPr>
        <w:spacing w:line="240" w:lineRule="auto"/>
        <w:rPr>
          <w:b/>
          <w:bCs/>
        </w:rPr>
      </w:pPr>
      <w:r>
        <w:rPr>
          <w:b/>
        </w:rPr>
        <w:t>I pants, A daļa</w:t>
      </w:r>
    </w:p>
    <w:p w14:paraId="787DE073" w14:textId="10188248" w:rsidR="0026407F" w:rsidRDefault="0026407F" w:rsidP="00975E08">
      <w:pPr>
        <w:spacing w:line="240" w:lineRule="auto"/>
        <w:rPr>
          <w:b/>
          <w:bCs/>
        </w:rPr>
      </w:pPr>
    </w:p>
    <w:p w14:paraId="2648B888" w14:textId="20E6D4DF" w:rsidR="003135CF" w:rsidRDefault="0026407F" w:rsidP="00975E08">
      <w:pPr>
        <w:spacing w:line="240" w:lineRule="auto"/>
      </w:pPr>
      <w:r>
        <w:t xml:space="preserve">Šajā noteikumā Dekrēta par uguņošanu 1.1.1. panta 1. punktam ir pievienotas vairākas definīcijas. Atbildīgās personas jēdziens izriet no Beniluksa lēmuma. Nīderlandes situācijā papildus personai ar specializētām zināšanām ir konkrētāk norādīts, ka tas var būt uguņošanas ierīču apstrādātājs vai uguņošanas ierīču operators, ko izraudzījusies juridiska persona, kura ir tiesīga uzglabāt vai darīt pieejamu tirgū (bieži vien pieteikuma atļaujas turētājs). Uguņošanas ierīces un uguņošanas ierīču operatora jēdzieni ir saistīti ar Dekrēta par darba apstākļiem sistēmu, kas reglamentē šo profesiju reģistrāciju. Tas nodrošina, ka tā ir persona, kurai ir profesionālas zināšanas par attiecīgajām uguņošanas ierīcēm un kura šajā nolūkā ir tikusi apmācīta. </w:t>
      </w:r>
    </w:p>
    <w:p w14:paraId="3EDEAF01" w14:textId="77777777" w:rsidR="00831069" w:rsidRDefault="00831069" w:rsidP="00975E08">
      <w:pPr>
        <w:spacing w:line="240" w:lineRule="auto"/>
        <w:rPr>
          <w:b/>
          <w:bCs/>
        </w:rPr>
      </w:pPr>
    </w:p>
    <w:p w14:paraId="156DC29A" w14:textId="5EDFC2F5" w:rsidR="003135CF" w:rsidRDefault="003135CF" w:rsidP="00975E08">
      <w:pPr>
        <w:spacing w:line="240" w:lineRule="auto"/>
        <w:rPr>
          <w:b/>
          <w:bCs/>
        </w:rPr>
      </w:pPr>
      <w:r>
        <w:rPr>
          <w:b/>
        </w:rPr>
        <w:t>I pants, B daļa</w:t>
      </w:r>
    </w:p>
    <w:p w14:paraId="0DAADC56" w14:textId="6ED38497" w:rsidR="003135CF" w:rsidRDefault="003135CF" w:rsidP="00975E08">
      <w:pPr>
        <w:spacing w:line="240" w:lineRule="auto"/>
        <w:rPr>
          <w:b/>
          <w:bCs/>
        </w:rPr>
      </w:pPr>
    </w:p>
    <w:p w14:paraId="43927B48" w14:textId="528131C6" w:rsidR="003135CF" w:rsidRDefault="00625AA3" w:rsidP="00975E08">
      <w:pPr>
        <w:spacing w:line="240" w:lineRule="auto"/>
      </w:pPr>
      <w:r>
        <w:t xml:space="preserve">Lēmuma par uguņošanu 1.1.3. pantā ir ietverta Rīkojuma par uguņošanu darbības joma. Grozot 2022. gada 20. jūnija Ugunsdzēsības ierīču dekrētu (Likumu un Dekrētu biļetes, 2022, 291), tas tika attiecināts arī uz P1 un P2 kategorijas pirotehniskajiem izstrādājumiem, ko izmanto kā uguņošanas ierīces vai ko acīmredzot paredzēts izmantot kā uguņošanas ierīces. Ar šo grozījumu tas ir jāpapildina, jo P2 pārdošana nav atļauta bez kontroles dokumentu pārbaudes, pat ja šo izstrādājumu neizmanto vai nav paredzēts izmantot kā uguņošanas ierīci. Tomēr piemērošanas jomas paplašināšana uz šo punktu attiecas tikai uz Dekrēta par uguņošanas ierīcēm jauno 4. nodaļu. </w:t>
      </w:r>
    </w:p>
    <w:p w14:paraId="58B116EA" w14:textId="63D2F068" w:rsidR="00611325" w:rsidRDefault="00611325" w:rsidP="00975E08">
      <w:pPr>
        <w:spacing w:line="240" w:lineRule="auto"/>
      </w:pPr>
    </w:p>
    <w:p w14:paraId="0401D4D5" w14:textId="77777777" w:rsidR="00BB4790" w:rsidRDefault="00611325" w:rsidP="00975E08">
      <w:pPr>
        <w:spacing w:line="240" w:lineRule="auto"/>
        <w:rPr>
          <w:b/>
          <w:bCs/>
        </w:rPr>
      </w:pPr>
      <w:r>
        <w:rPr>
          <w:b/>
        </w:rPr>
        <w:t>I pants, C daļa</w:t>
      </w:r>
    </w:p>
    <w:p w14:paraId="76D5D1A8" w14:textId="77777777" w:rsidR="00C9198C" w:rsidRDefault="00C9198C" w:rsidP="00975E08">
      <w:pPr>
        <w:spacing w:line="240" w:lineRule="auto"/>
      </w:pPr>
    </w:p>
    <w:p w14:paraId="5EFF0456" w14:textId="05968ABB" w:rsidR="00611325" w:rsidRDefault="00611325" w:rsidP="00975E08">
      <w:pPr>
        <w:spacing w:line="240" w:lineRule="auto"/>
      </w:pPr>
      <w:r>
        <w:t xml:space="preserve">Šī iespēja ir izmantota, lai labotu atsauci uz tiesību aktu, kura termiņš ir beidzies. 1.2.5. panta 2. punktā ir atsauce uz Autopārvadājumu likuma noteikumiem. Tomēr šis likums zaudēja spēku 2009. gada 1. maijā un tika aizstāts ar Autopārvadājumu likumu. Ar šo tika atcelts bijušais Autopārvadājumu likuma 20. pants, kas īsumā ietvēra reģistrācijas pienākumu un tam pievienoto reģistrācijas apliecību. 29. pants, proti, aizliegums veikt pārvadājumus, nesagatavojot kravas pavadzīmi, pēc būtības ir aizstāts ar Autopārvadājumu likuma 2.13. pantu. Attiecīgi grozīts 1.2.5. panta 2. punkts. </w:t>
      </w:r>
    </w:p>
    <w:p w14:paraId="099130EB" w14:textId="220E6F61" w:rsidR="00BB4790" w:rsidRDefault="00BB4790" w:rsidP="00975E08">
      <w:pPr>
        <w:spacing w:line="240" w:lineRule="auto"/>
      </w:pPr>
    </w:p>
    <w:p w14:paraId="6C604BF6" w14:textId="260807E0" w:rsidR="00BB4790" w:rsidRDefault="00BB4790" w:rsidP="00975E08">
      <w:pPr>
        <w:spacing w:line="240" w:lineRule="auto"/>
        <w:rPr>
          <w:b/>
          <w:bCs/>
        </w:rPr>
      </w:pPr>
      <w:r>
        <w:rPr>
          <w:b/>
        </w:rPr>
        <w:t>I pants, D daļa</w:t>
      </w:r>
    </w:p>
    <w:p w14:paraId="03FCE1C3" w14:textId="77777777" w:rsidR="00BB4790" w:rsidRPr="00C9198C" w:rsidRDefault="00BB4790" w:rsidP="00975E08">
      <w:pPr>
        <w:spacing w:line="240" w:lineRule="auto"/>
        <w:rPr>
          <w:b/>
          <w:bCs/>
        </w:rPr>
      </w:pPr>
    </w:p>
    <w:p w14:paraId="1ED3A512" w14:textId="415F4CB3" w:rsidR="00BB4790" w:rsidRPr="00611325" w:rsidRDefault="00BB4790" w:rsidP="00975E08">
      <w:pPr>
        <w:spacing w:line="240" w:lineRule="auto"/>
      </w:pPr>
      <w:r>
        <w:t>Pieteikuma licence pašlaik tiek piešķirta uz nenoteiktu laiku. Šā Beniluksa lēmuma īstenošana ir parādījusi, ka tas vairs nav vēlams. Piecu gadu derīguma termiņa pievienošana pieteikuma atļaujai nozīmē, ka piecu gadu laikā ir atkārtoti jāpārbauda, vai pieteikuma iesniedzējs (joprojām) atbilst visām prasībām, piemēram, VOG. Tas palīdz uzraudzīt un izpildīt pieteikuma atļauju.</w:t>
      </w:r>
    </w:p>
    <w:p w14:paraId="4C7B747C" w14:textId="3730A0D3" w:rsidR="0026407F" w:rsidRDefault="0026407F" w:rsidP="00975E08">
      <w:pPr>
        <w:spacing w:line="240" w:lineRule="auto"/>
      </w:pPr>
    </w:p>
    <w:p w14:paraId="5F968815" w14:textId="0503BDDF" w:rsidR="0026407F" w:rsidRDefault="0026407F" w:rsidP="00975E08">
      <w:pPr>
        <w:spacing w:line="240" w:lineRule="auto"/>
        <w:rPr>
          <w:b/>
          <w:bCs/>
        </w:rPr>
      </w:pPr>
      <w:r>
        <w:rPr>
          <w:b/>
        </w:rPr>
        <w:t>I pants, F daļa</w:t>
      </w:r>
    </w:p>
    <w:p w14:paraId="5779043E" w14:textId="58A491EB" w:rsidR="0026407F" w:rsidRDefault="0026407F" w:rsidP="00975E08">
      <w:pPr>
        <w:spacing w:line="240" w:lineRule="auto"/>
        <w:rPr>
          <w:b/>
          <w:bCs/>
        </w:rPr>
      </w:pPr>
    </w:p>
    <w:p w14:paraId="3C7EC494" w14:textId="2AC94E81" w:rsidR="0026407F" w:rsidRDefault="0026407F" w:rsidP="00975E08">
      <w:pPr>
        <w:spacing w:line="240" w:lineRule="auto"/>
      </w:pPr>
      <w:r>
        <w:t xml:space="preserve">Pēc 3.B nodaļas uguņošanas dekrētā iekļauj jaunu nodaļu ar galvenajiem noteikumiem par pirotehnikas atļauju. </w:t>
      </w:r>
    </w:p>
    <w:p w14:paraId="07D570ED" w14:textId="2259E135" w:rsidR="0026407F" w:rsidRDefault="0026407F" w:rsidP="00975E08">
      <w:pPr>
        <w:spacing w:line="240" w:lineRule="auto"/>
      </w:pPr>
    </w:p>
    <w:p w14:paraId="062119C3" w14:textId="31843816" w:rsidR="00453DDC" w:rsidRPr="00453DDC" w:rsidRDefault="00453DDC" w:rsidP="00975E08">
      <w:pPr>
        <w:spacing w:line="240" w:lineRule="auto"/>
        <w:rPr>
          <w:b/>
          <w:bCs/>
        </w:rPr>
      </w:pPr>
      <w:r>
        <w:rPr>
          <w:b/>
          <w:i/>
        </w:rPr>
        <w:t>4.1. pants</w:t>
      </w:r>
    </w:p>
    <w:p w14:paraId="6D216F10" w14:textId="000E4BB8" w:rsidR="0026407F" w:rsidRPr="0026407F" w:rsidRDefault="0026407F" w:rsidP="00975E08">
      <w:pPr>
        <w:spacing w:line="240" w:lineRule="auto"/>
      </w:pPr>
      <w:r>
        <w:t xml:space="preserve">Direktīvas 4.1. panta 1. punkts aizliedz tirgus dalībniekiem darīt minētajā punktā norādītos pirotehniskos izstrādājumus pieejamus tirgū, nepārbaudot personu ar specializētām zināšanām dokumentus. 2. punktā ir noteikts, ka tad, ja tiek piegādāti pirotehniskie izstrādājumi un fiziska persona rīkojas juridiskas personas vārdā, ir jāpārbauda atbildīgās personas pārbaudes dokuments un personu apliecinošs dokuments. 3. punktā ir noteikts, kuras personas ar speciālām zināšanām vai atbildīgām personām tas jāpierāda ar pirotehnikas atļauju. Pirotehnikas direktīvas un līdz ar to </w:t>
      </w:r>
      <w:r>
        <w:lastRenderedPageBreak/>
        <w:t xml:space="preserve">Beniluksa lēmuma prasības neattiecas uz pirotehniskajiem izstrādājumiem, ko saskaņā ar valsts tiesību aktiem nekomerciāli izmanto bruņotie spēki, policija vai ugunsdzēsēju brigādes. Tāpēc šīm grupām arī nav jāpieprasa pirotehnikas atļauja (1.1.2.a panta 1. punkta c) līdz f) apakšpunkts). Pirotehnikas atļaujas paraugs ir noteikts Beniluksa lēmumā, un tajā ir iekļautas tikai dažas pirotehnisko izstrādājumu kategorijas. Tomēr Nīderlandē F2 kategorijas uguņošanas ierīces, kas nav paredzētas privātai lietošanai, un pirotehniskie izstrādājumi, kas paredzēti izmantošanai teātrī T1 kategorijā, ir paredzēti arī personām ar specializētām zināšanām. Tādēļ 4. punktā ir paredzēts, ka personām, kam atļauts izmantot F3 vai F4 kategorijas uguņošanas ierīces, ir atļauts izmantot arī F2 kategorijas uguņošanas ierīces, un 5. punktā ir noteikts, ka personām, kurām atļauts izmantot T2 kategorijas pirotehniskos izstrādājumus teātra vajadzībām, ir atļauts izmantot arī T1 kategorijas pirotehniskos izstrādājumus teātra vajadzībām. Pretējā gadījumā tas novestu pie situācijas, ka, piemēram, personai ar speciālām zināšanām ir jāuzrāda pirotehnikas atļauja T2 kategorijas pirotehnisko izstrādājumu pārdošanas darījumam un cits dokuments, kas apliecina, ka tā ir persona ar speciālām zināšanām par T1 kategorijas izstrādājumiem. Tas tiek uzskatīts par nevēlamu. 8. punktā ir noteikts, kādi dokumenti un cik ilgi jāglabā uzņēmējiem. Gadījumos, kad notiek pārvadāšana, glabā attiecīgo pārvadājuma dokumentu. Pamatojoties uz Beniluksa lēmumu, ir jāievēro valsts tiesību aktos noteiktie termiņi. Nīderlandē uzņēmumu finanšu pārvalde ir jāuztur septiņus gadus. To pievieno šim dekrētam. </w:t>
      </w:r>
    </w:p>
    <w:p w14:paraId="02994D7F" w14:textId="386868C7" w:rsidR="00F050C0" w:rsidRDefault="00F050C0" w:rsidP="00975E08">
      <w:pPr>
        <w:spacing w:line="240" w:lineRule="auto"/>
        <w:rPr>
          <w:u w:val="single"/>
        </w:rPr>
      </w:pPr>
    </w:p>
    <w:p w14:paraId="18886A65" w14:textId="79BA3165" w:rsidR="00453DDC" w:rsidRDefault="00453DDC" w:rsidP="00975E08">
      <w:pPr>
        <w:spacing w:line="240" w:lineRule="auto"/>
        <w:rPr>
          <w:b/>
          <w:bCs/>
          <w:i/>
          <w:iCs/>
        </w:rPr>
      </w:pPr>
      <w:r>
        <w:rPr>
          <w:b/>
          <w:i/>
        </w:rPr>
        <w:t>4.2. pants</w:t>
      </w:r>
    </w:p>
    <w:p w14:paraId="2012168C" w14:textId="7E3C8FCA" w:rsidR="000C0E6D" w:rsidRPr="000C0E6D" w:rsidRDefault="00453DDC" w:rsidP="000C0E6D">
      <w:pPr>
        <w:pStyle w:val="CommentText"/>
        <w:rPr>
          <w:sz w:val="18"/>
          <w:szCs w:val="18"/>
        </w:rPr>
      </w:pPr>
      <w:r>
        <w:rPr>
          <w:sz w:val="18"/>
        </w:rPr>
        <w:t>Šajā pantā ir uzskaitītas personas, kurām ir tiesības uz pirotehnikas atļauju Nīderlandē. Lai gan Beniluksa lēmums to tieši nereglamentē, ir svarīgi noteikt, kas var pieteikties pirotehnikas atļaujas saņemšanai. Beniluksa kontekstā ir panākta vienošanās, ka personas ar specializētām zināšanām iesniedz pieteikumu pirotehnikas atļaujai valstī, kurā tās saskaņā ar piemērojamiem tiesību aktiem ir izraudzītas par personām ar specializētām zināšanām. Tomēr Beniluksa lēmuma paskaidrojuma rakstā ir norādīts, ka pirotehnikas atļauja vienmēr ir personu apliecinošs dokuments. Tāpēc šis pants paredz, ka tikai fiziskas personas ir tiesīgas saņemt pirotehnikas atļauju. Beniluksa lēmumā ir reglamentētas arī P2 preces. Pamatojoties uz Regulas par citiem pirotehniskajiem izstrādājumiem 3. pantu, tiek izraudzītas personas ar specializētām zināšanām, kas savas funkcijas veikšanas dēļ var izmantot P2 kategorijas pirotehniskos izstrādājumus. Šie cilvēki ir tiesīgi arī saņemt pirotehnikas atļauju.</w:t>
      </w:r>
    </w:p>
    <w:p w14:paraId="52A43ABF" w14:textId="6AEA4487" w:rsidR="008B1DFC" w:rsidRDefault="008B1DFC" w:rsidP="00975E08">
      <w:pPr>
        <w:spacing w:line="240" w:lineRule="auto"/>
      </w:pPr>
    </w:p>
    <w:p w14:paraId="3853EF05" w14:textId="52FA30F1" w:rsidR="00EF3A42" w:rsidRDefault="00EF3A42" w:rsidP="00975E08">
      <w:pPr>
        <w:spacing w:line="240" w:lineRule="auto"/>
      </w:pPr>
      <w:r>
        <w:t xml:space="preserve">Šā panta 2. punktā ir īpaši paredzēts, ka pieteikumu par pirotehnikas atļaujas izsniegšanu atbildīgai personai veic kopā ar pieteikuma atļaujas turētāju. Tādējādi var nodrošināt, ka gan pieteikuma atļaujas turētājs, gan atbildīgā persona piekrīt pieteikumam. </w:t>
      </w:r>
    </w:p>
    <w:p w14:paraId="21040AA5" w14:textId="77777777" w:rsidR="00EF3A42" w:rsidRDefault="00EF3A42" w:rsidP="00975E08">
      <w:pPr>
        <w:spacing w:line="240" w:lineRule="auto"/>
      </w:pPr>
    </w:p>
    <w:p w14:paraId="09FC94F1" w14:textId="7EED6106" w:rsidR="008B1DFC" w:rsidRPr="008B1DFC" w:rsidRDefault="008B1DFC" w:rsidP="00975E08">
      <w:pPr>
        <w:spacing w:line="240" w:lineRule="auto"/>
      </w:pPr>
      <w:r>
        <w:t>Pirotehnikas atļaujai ir arī derīguma termiņš, kas norādīts pirotehnikas atļaujā. Pats Beniluksa lēmums nereglamentē šo spēkā esamības termiņu. Ņemot vērā saikni ar uguņošanas ierīču pārstrādātāja vai uguņošanas ierīču operatora reģistrāciju, ir nolemts pielāgot reģistrācijas derīguma termiņu. Pēc tam, kad ir beidzies derīguma termiņš, pēc ne vairāk kā pieciem gadiem jāpieprasa jauna pirotehnikas atļauja. Tomēr pirotehnikas atļaujas derīguma termiņš var būt īsāks atkarībā no tā, vai pieteikuma atļauja vai vides atļauja ir īsāka par reģistrāciju. Tas nodrošina, ka reģistrs ir atjaunināts.</w:t>
      </w:r>
    </w:p>
    <w:p w14:paraId="1DD733F7" w14:textId="63F139DC" w:rsidR="005D21FE" w:rsidRPr="008B1DFC" w:rsidRDefault="005D21FE" w:rsidP="00975E08">
      <w:pPr>
        <w:spacing w:line="240" w:lineRule="auto"/>
      </w:pPr>
    </w:p>
    <w:p w14:paraId="3845906D" w14:textId="03B02F7B" w:rsidR="005D21FE" w:rsidRDefault="005D21FE" w:rsidP="00975E08">
      <w:pPr>
        <w:spacing w:line="240" w:lineRule="auto"/>
      </w:pPr>
      <w:r>
        <w:t>Vairāki tehniskie un procesuālie aspekti ir izstrādāti ar ministrijas noteikumiem. Piemēram, pirotehnikas atļaujas paraugs, kas ir pievienots arī Beniluksa lēmumam, ir izveidots ar ministrijas noteikumiem.</w:t>
      </w:r>
    </w:p>
    <w:p w14:paraId="1F8D1663" w14:textId="02A08F89" w:rsidR="005D21FE" w:rsidRDefault="005D21FE" w:rsidP="00975E08">
      <w:pPr>
        <w:spacing w:line="240" w:lineRule="auto"/>
      </w:pPr>
    </w:p>
    <w:p w14:paraId="64AF3DC1" w14:textId="373B7846" w:rsidR="005D21FE" w:rsidRDefault="005D21FE" w:rsidP="00975E08">
      <w:pPr>
        <w:spacing w:line="240" w:lineRule="auto"/>
      </w:pPr>
      <w:r>
        <w:t>Pirotehnikas atļaujas sistēma var darboties pareizi tikai tad, ja ir arī iespējas izņemt pirotehnikas atļauju. 6. un 7. punktā ir precizēti apstākļi, kādos tas tā ir. Šie apstākļi ir Beniluksa lēmuma īstenošana.</w:t>
      </w:r>
    </w:p>
    <w:p w14:paraId="0FB59199" w14:textId="439F5759" w:rsidR="005D21FE" w:rsidRDefault="005D21FE" w:rsidP="00975E08">
      <w:pPr>
        <w:spacing w:line="240" w:lineRule="auto"/>
      </w:pPr>
    </w:p>
    <w:p w14:paraId="561776FE" w14:textId="7DC5EF94" w:rsidR="004A650F" w:rsidRDefault="004A650F" w:rsidP="00E910E4">
      <w:pPr>
        <w:keepNext/>
        <w:keepLines/>
        <w:spacing w:line="240" w:lineRule="auto"/>
        <w:rPr>
          <w:b/>
          <w:bCs/>
          <w:i/>
          <w:iCs/>
        </w:rPr>
      </w:pPr>
      <w:r>
        <w:rPr>
          <w:b/>
          <w:i/>
        </w:rPr>
        <w:lastRenderedPageBreak/>
        <w:t>4.3. pants</w:t>
      </w:r>
    </w:p>
    <w:p w14:paraId="2D850221" w14:textId="7AF0A3A5" w:rsidR="004A650F" w:rsidRPr="0045450C" w:rsidRDefault="004A650F" w:rsidP="00E910E4">
      <w:pPr>
        <w:keepNext/>
        <w:keepLines/>
        <w:spacing w:line="240" w:lineRule="auto"/>
      </w:pPr>
      <w:r>
        <w:t xml:space="preserve">Šis pants nosaka, kuri dokumenti tiek glabāti pirotehnikas atļaujas reģistrā. To darot, netiek glabāts vairāk informācijas, kā nepieciešams pārbaužu veikšanai. </w:t>
      </w:r>
    </w:p>
    <w:p w14:paraId="38FE77F8" w14:textId="77777777" w:rsidR="004A650F" w:rsidRDefault="004A650F" w:rsidP="00975E08">
      <w:pPr>
        <w:spacing w:line="240" w:lineRule="auto"/>
        <w:rPr>
          <w:b/>
          <w:bCs/>
          <w:i/>
          <w:iCs/>
        </w:rPr>
      </w:pPr>
    </w:p>
    <w:p w14:paraId="3E68551C" w14:textId="07498FC6" w:rsidR="005D21FE" w:rsidRDefault="005D21FE" w:rsidP="00975E08">
      <w:pPr>
        <w:spacing w:line="240" w:lineRule="auto"/>
      </w:pPr>
      <w:r>
        <w:rPr>
          <w:b/>
          <w:i/>
        </w:rPr>
        <w:t>4.4. pants</w:t>
      </w:r>
      <w:r>
        <w:br/>
        <w:t xml:space="preserve">Pušu, kurām ir piekļuve pirotehnikas atļauju reģistram, uzņēmēju un regulatīvo iestāžu rīcībā nekavējoties vajadzētu būt nepieciešamajai informācijai no reģistra, lai tās varētu pildīt savus pienākumus. Tāpēc šajā pantā ir noteikts, ka mūsu ministram ir jānodrošina, lai dati un dokumenti pirotehnikas atļauju reģistrā būtu pieejami nekavējoties. </w:t>
      </w:r>
    </w:p>
    <w:p w14:paraId="4F305F79" w14:textId="77777777" w:rsidR="00A6450F" w:rsidRDefault="00A6450F" w:rsidP="00975E08">
      <w:pPr>
        <w:spacing w:line="240" w:lineRule="auto"/>
      </w:pPr>
    </w:p>
    <w:p w14:paraId="663FE576" w14:textId="745807B5" w:rsidR="005D21FE" w:rsidRDefault="005D21FE" w:rsidP="00975E08">
      <w:pPr>
        <w:spacing w:line="240" w:lineRule="auto"/>
        <w:rPr>
          <w:b/>
          <w:bCs/>
          <w:i/>
          <w:iCs/>
        </w:rPr>
      </w:pPr>
      <w:r>
        <w:rPr>
          <w:b/>
          <w:i/>
        </w:rPr>
        <w:t>4.5. pants</w:t>
      </w:r>
    </w:p>
    <w:p w14:paraId="2E43070D" w14:textId="2C1D619E" w:rsidR="005D21FE" w:rsidRDefault="008B1DFC" w:rsidP="00975E08">
      <w:pPr>
        <w:spacing w:line="240" w:lineRule="auto"/>
      </w:pPr>
      <w:r>
        <w:t xml:space="preserve">Šajā pantā ir noteikts, kam ir pieejamas ziņas un dokumenti pirotehnikas atļauju reģistrā. Pirmkārt, ir svarīgi, lai izpildiestādēm pirotehnisko izstrādājumu jomā būtu piekļuve reģistram. Praksē tās ir ILT un prokuratūras dienests. Tās ir norādītas 1. punktā. Turklāt uzņēmējiem vajadzētu būt piekļuvei, kad izstrādājumus dara pieejamus tirgū, bet tikai nolūkā pārbaudīt pirotehnikas atļaujas derīgumu. Tā rezultātā viņiem nav piekļuves vairāk personas datiem, kā nepieciešams. </w:t>
      </w:r>
    </w:p>
    <w:p w14:paraId="319B3781" w14:textId="77777777" w:rsidR="008B1DFC" w:rsidRDefault="008B1DFC" w:rsidP="00975E08">
      <w:pPr>
        <w:spacing w:line="240" w:lineRule="auto"/>
      </w:pPr>
    </w:p>
    <w:p w14:paraId="26FB2A7E" w14:textId="3D858C08" w:rsidR="005D21FE" w:rsidRDefault="005D21FE" w:rsidP="00975E08">
      <w:pPr>
        <w:spacing w:line="240" w:lineRule="auto"/>
        <w:rPr>
          <w:b/>
          <w:bCs/>
          <w:i/>
          <w:iCs/>
        </w:rPr>
      </w:pPr>
      <w:r>
        <w:rPr>
          <w:b/>
          <w:i/>
        </w:rPr>
        <w:t>4.6. pants</w:t>
      </w:r>
    </w:p>
    <w:p w14:paraId="4759D869" w14:textId="43FA3E6D" w:rsidR="008B1DFC" w:rsidRPr="00414847" w:rsidRDefault="008B1DFC" w:rsidP="00975E08">
      <w:pPr>
        <w:spacing w:line="240" w:lineRule="auto"/>
      </w:pPr>
      <w:r>
        <w:t>Šajā pantā noteikts, ka pirotehnikas atļauju reģistrā iekļauto datu glabāšanas periods ir 12 gadi. Personas datus nedrīkst glabāt ilgāk, nekā nepieciešams. Ņemot vērā maksimālo noilguma termiņu attiecībā uz uguņošanas ierīču pārkāpumiem, ar to ir saistīts glabāšanas periods.</w:t>
      </w:r>
    </w:p>
    <w:p w14:paraId="7D37A679" w14:textId="1F4EE085" w:rsidR="005D21FE" w:rsidRPr="00414847" w:rsidRDefault="005D21FE" w:rsidP="00975E08">
      <w:pPr>
        <w:spacing w:line="240" w:lineRule="auto"/>
        <w:rPr>
          <w:b/>
          <w:bCs/>
          <w:i/>
          <w:iCs/>
        </w:rPr>
      </w:pPr>
    </w:p>
    <w:p w14:paraId="518E9AA0" w14:textId="776DA33C" w:rsidR="00EA587B" w:rsidRPr="00414847" w:rsidRDefault="00EA587B" w:rsidP="00975E08">
      <w:pPr>
        <w:spacing w:line="240" w:lineRule="auto"/>
        <w:rPr>
          <w:b/>
          <w:bCs/>
        </w:rPr>
      </w:pPr>
      <w:r>
        <w:rPr>
          <w:b/>
        </w:rPr>
        <w:t>II pants</w:t>
      </w:r>
    </w:p>
    <w:p w14:paraId="734639FA" w14:textId="682B26DA" w:rsidR="001A647B" w:rsidRPr="00414847" w:rsidRDefault="001A647B" w:rsidP="00975E08">
      <w:pPr>
        <w:spacing w:line="240" w:lineRule="auto"/>
        <w:rPr>
          <w:b/>
          <w:bCs/>
        </w:rPr>
      </w:pPr>
    </w:p>
    <w:p w14:paraId="3CBFC0DF" w14:textId="72F73582" w:rsidR="001A647B" w:rsidRPr="00414847" w:rsidRDefault="001A647B" w:rsidP="001A647B">
      <w:pPr>
        <w:pStyle w:val="CommentText"/>
        <w:rPr>
          <w:sz w:val="18"/>
          <w:szCs w:val="18"/>
        </w:rPr>
      </w:pPr>
      <w:r>
        <w:rPr>
          <w:sz w:val="18"/>
        </w:rPr>
        <w:t xml:space="preserve">Pieteikuma atļaujas, kas jau piešķirtas pirms šā dekrēta stāšanās spēkā, tiek piešķirtas uz nenoteiktu laiku. Pašreizējo pieteikumu atļauju derīguma termiņš ir izvēlēts 2025. gada 1. janvāris. Šis viena gada termiņš dod gan pieteikumu iesniedzējiem, gan IenW ministram kā atļaujas sniedzējam pietiekamu laiku pieteikuma iesniegšanai un izvērtēšanai. </w:t>
      </w:r>
    </w:p>
    <w:p w14:paraId="1B5AF875" w14:textId="77777777" w:rsidR="001A647B" w:rsidRDefault="001A647B" w:rsidP="00975E08">
      <w:pPr>
        <w:spacing w:line="240" w:lineRule="auto"/>
        <w:rPr>
          <w:b/>
          <w:bCs/>
        </w:rPr>
      </w:pPr>
    </w:p>
    <w:p w14:paraId="0667A53D" w14:textId="06FC6BD7" w:rsidR="005D21FE" w:rsidRDefault="005D21FE" w:rsidP="00975E08">
      <w:pPr>
        <w:spacing w:line="240" w:lineRule="auto"/>
        <w:rPr>
          <w:b/>
          <w:bCs/>
        </w:rPr>
      </w:pPr>
      <w:r>
        <w:rPr>
          <w:b/>
        </w:rPr>
        <w:t>III pants</w:t>
      </w:r>
    </w:p>
    <w:p w14:paraId="387DB410" w14:textId="497199C3" w:rsidR="005D21FE" w:rsidRDefault="005D21FE" w:rsidP="00975E08">
      <w:pPr>
        <w:spacing w:line="240" w:lineRule="auto"/>
        <w:rPr>
          <w:b/>
          <w:bCs/>
        </w:rPr>
      </w:pPr>
    </w:p>
    <w:p w14:paraId="37247A84" w14:textId="12F1CEE6" w:rsidR="005D21FE" w:rsidRDefault="005D21FE" w:rsidP="005D21FE">
      <w:pPr>
        <w:spacing w:line="240" w:lineRule="auto"/>
      </w:pPr>
      <w:r>
        <w:t>Šis Dekrēts stājas spēkā karaliskajā dekrētā noteiktajā datumā, kas var atšķirties attiecībā uz atsevišķiem pantiem vai to daļām. Kā paskaidrots paskaidrojuma raksta vispārīgajā daļā, Beniluksa lēmums ir jāīsteno 2023. gada 7. decembrī. Mērķis ir pēc iespējas ciešāk saskaņot to ar šo, stājoties spēkā 2024. gada 1. janvārī. Stāšanās spēkā pirms 2024. gada 1. janvāra nav vēlama, jo stājās spēkā Dekrēta par darba apstākļiem grozījums (Likumu un Dekrētu biļetens, 2019, 471), kas ietekmē šo dekrētu. 1. janvāris ir arī noteiktais laiks vispārējam administratīvajam rīkojumam (vai tā grozījumam), kā minēts Noteikumu 4.17. piezīmē. Saskaņā ar Wm 21.6. panta 5. punktu šis dekrēts pēc tā pieņemšanas ir jānosūta abām ģenerālvalstu palātām, un tas stājas spēkā ne agrāk kā četras nedēļas pēc tā Oficiālā Vēstneša izdošanas dienas, kurā tas publicēts.</w:t>
      </w:r>
    </w:p>
    <w:p w14:paraId="0EE9ECA0" w14:textId="3F277537" w:rsidR="007F3C60" w:rsidRDefault="007F3C60" w:rsidP="005D21FE">
      <w:pPr>
        <w:spacing w:line="240" w:lineRule="auto"/>
      </w:pPr>
    </w:p>
    <w:p w14:paraId="154545D8" w14:textId="568296FD" w:rsidR="007F3C60" w:rsidRPr="00070D54" w:rsidRDefault="007F3C60" w:rsidP="007F3C60">
      <w:pPr>
        <w:rPr>
          <w:lang w:val="el-GR"/>
        </w:rPr>
      </w:pPr>
      <w:r>
        <w:t>INFRASTRUKTŪRAS UN ŪDENS RESURSU APSAIMNIEKOŠANAS VALSTS SEKRETĀRS,</w:t>
      </w:r>
    </w:p>
    <w:p w14:paraId="67C89692" w14:textId="77777777" w:rsidR="007F3C60" w:rsidRDefault="007F3C60" w:rsidP="005D21FE">
      <w:pPr>
        <w:spacing w:line="240" w:lineRule="auto"/>
      </w:pPr>
    </w:p>
    <w:sectPr w:rsidR="007F3C60">
      <w:headerReference w:type="default" r:id="rId8"/>
      <w:headerReference w:type="first" r:id="rId9"/>
      <w:footerReference w:type="first" r:id="rId10"/>
      <w:pgSz w:w="11905" w:h="16837"/>
      <w:pgMar w:top="2545" w:right="1757" w:bottom="1360" w:left="2040"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36DE8" w14:textId="77777777" w:rsidR="00F9176E" w:rsidRDefault="00F9176E">
      <w:pPr>
        <w:spacing w:line="240" w:lineRule="auto"/>
      </w:pPr>
      <w:r>
        <w:separator/>
      </w:r>
    </w:p>
  </w:endnote>
  <w:endnote w:type="continuationSeparator" w:id="0">
    <w:p w14:paraId="65F158EF" w14:textId="77777777" w:rsidR="00F9176E" w:rsidRDefault="00F9176E">
      <w:pPr>
        <w:spacing w:line="240" w:lineRule="auto"/>
      </w:pPr>
      <w:r>
        <w:continuationSeparator/>
      </w:r>
    </w:p>
  </w:endnote>
  <w:endnote w:type="continuationNotice" w:id="1">
    <w:p w14:paraId="1707541A" w14:textId="77777777" w:rsidR="00F9176E" w:rsidRDefault="00F917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DejaVu Sans">
    <w:altName w:val="Verdana"/>
    <w:charset w:val="00"/>
    <w:family w:val="swiss"/>
    <w:pitch w:val="variable"/>
    <w:sig w:usb0="E7002EFF" w:usb1="D200FDFF" w:usb2="0A042029" w:usb3="00000000" w:csb0="8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altName w:val="Cambria"/>
    <w:charset w:val="00"/>
    <w:family w:val="auto"/>
    <w:pitch w:val="default"/>
  </w:font>
  <w:font w:name="ALKKP A+ Univers">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LKKO J+ Univers">
    <w:altName w:val="Univers"/>
    <w:panose1 w:val="00000000000000000000"/>
    <w:charset w:val="00"/>
    <w:family w:val="swiss"/>
    <w:notTrueType/>
    <w:pitch w:val="default"/>
    <w:sig w:usb0="00000003" w:usb1="00000000" w:usb2="00000000" w:usb3="00000000" w:csb0="00000001" w:csb1="00000000"/>
  </w:font>
  <w:font w:name="ALKKO H+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862671"/>
      <w:docPartObj>
        <w:docPartGallery w:val="Page Numbers (Bottom of Page)"/>
        <w:docPartUnique/>
      </w:docPartObj>
    </w:sdtPr>
    <w:sdtContent>
      <w:p w14:paraId="617D5325" w14:textId="7197C59F" w:rsidR="00A61365" w:rsidRDefault="00A61365">
        <w:pPr>
          <w:pStyle w:val="Footer"/>
          <w:jc w:val="right"/>
        </w:pPr>
        <w:r>
          <w:fldChar w:fldCharType="begin"/>
        </w:r>
        <w:r>
          <w:instrText>PAGE   \* MERGEFORMAT</w:instrText>
        </w:r>
        <w:r>
          <w:fldChar w:fldCharType="separate"/>
        </w:r>
        <w:r>
          <w:t>2</w:t>
        </w:r>
        <w:r>
          <w:fldChar w:fldCharType="end"/>
        </w:r>
      </w:p>
    </w:sdtContent>
  </w:sdt>
  <w:p w14:paraId="14017713" w14:textId="77777777" w:rsidR="00812A71" w:rsidRDefault="00812A71">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DD537" w14:textId="77777777" w:rsidR="00F9176E" w:rsidRDefault="00F9176E">
      <w:pPr>
        <w:spacing w:line="240" w:lineRule="auto"/>
      </w:pPr>
      <w:r>
        <w:separator/>
      </w:r>
    </w:p>
  </w:footnote>
  <w:footnote w:type="continuationSeparator" w:id="0">
    <w:p w14:paraId="5C6B626C" w14:textId="77777777" w:rsidR="00F9176E" w:rsidRDefault="00F9176E">
      <w:pPr>
        <w:spacing w:line="240" w:lineRule="auto"/>
      </w:pPr>
      <w:r>
        <w:continuationSeparator/>
      </w:r>
    </w:p>
  </w:footnote>
  <w:footnote w:type="continuationNotice" w:id="1">
    <w:p w14:paraId="395404CF" w14:textId="77777777" w:rsidR="00F9176E" w:rsidRDefault="00F9176E">
      <w:pPr>
        <w:spacing w:line="240" w:lineRule="auto"/>
      </w:pPr>
    </w:p>
  </w:footnote>
  <w:footnote w:id="2">
    <w:p w14:paraId="7EE77AA5" w14:textId="04657F2A" w:rsidR="002701E5" w:rsidRPr="00FA2E81" w:rsidRDefault="002701E5">
      <w:pPr>
        <w:pStyle w:val="FootnoteText"/>
        <w:rPr>
          <w:sz w:val="16"/>
          <w:szCs w:val="16"/>
        </w:rPr>
      </w:pPr>
      <w:r>
        <w:rPr>
          <w:rStyle w:val="FootnoteReference"/>
          <w:sz w:val="16"/>
          <w:szCs w:val="16"/>
        </w:rPr>
        <w:footnoteRef/>
      </w:r>
      <w:r>
        <w:rPr>
          <w:sz w:val="16"/>
        </w:rPr>
        <w:t xml:space="preserve"> Beniluksa Ministru komitejas lēmums par pirotehnikas atļaujas ieviešanu — M (2020) 14 (Beniluksa Oficiālais Vēstnesis 2021, Nr. 1), kas grozīts ar M (2022) 9. </w:t>
      </w:r>
    </w:p>
  </w:footnote>
  <w:footnote w:id="3">
    <w:p w14:paraId="06846656" w14:textId="1CC1CAF5" w:rsidR="0022132D" w:rsidRPr="00183C54" w:rsidRDefault="0022132D">
      <w:pPr>
        <w:pStyle w:val="FootnoteText"/>
        <w:rPr>
          <w:sz w:val="16"/>
          <w:szCs w:val="16"/>
        </w:rPr>
      </w:pPr>
      <w:r>
        <w:rPr>
          <w:rStyle w:val="FootnoteReference"/>
          <w:sz w:val="16"/>
          <w:szCs w:val="16"/>
        </w:rPr>
        <w:footnoteRef/>
      </w:r>
      <w:r>
        <w:rPr>
          <w:sz w:val="16"/>
        </w:rPr>
        <w:t xml:space="preserve"> </w:t>
      </w:r>
      <w:r>
        <w:rPr>
          <w:i/>
          <w:sz w:val="16"/>
        </w:rPr>
        <w:t xml:space="preserve">Parlamenta dokumenti II </w:t>
      </w:r>
      <w:r>
        <w:rPr>
          <w:sz w:val="16"/>
        </w:rPr>
        <w:t xml:space="preserve"> 2022–2023, 36268, Nr. 3, 8. lpp. un</w:t>
      </w:r>
    </w:p>
  </w:footnote>
  <w:footnote w:id="4">
    <w:p w14:paraId="587CBD38" w14:textId="6DC3BE99" w:rsidR="007F40A5" w:rsidRPr="00FA2E81" w:rsidRDefault="007F40A5">
      <w:pPr>
        <w:pStyle w:val="FootnoteText"/>
        <w:rPr>
          <w:sz w:val="16"/>
          <w:szCs w:val="16"/>
        </w:rPr>
      </w:pPr>
      <w:r>
        <w:rPr>
          <w:rStyle w:val="FootnoteReference"/>
          <w:sz w:val="16"/>
          <w:szCs w:val="16"/>
        </w:rPr>
        <w:footnoteRef/>
      </w:r>
      <w:r>
        <w:rPr>
          <w:sz w:val="16"/>
        </w:rPr>
        <w:t xml:space="preserve">Eiropas Parlamenta un Padomes 2013. gada 12. jūnija Direktīva 2013/29/ES par dalībvalstu tiesību aktu saskaņošanu attiecībā uz pirotehnisko izstrādājumu pieejamību tirgū (OV 2013, L 178). </w:t>
      </w:r>
    </w:p>
  </w:footnote>
  <w:footnote w:id="5">
    <w:p w14:paraId="6A3268F0" w14:textId="65C45BA5" w:rsidR="00FA2E81" w:rsidRDefault="00FA2E81">
      <w:pPr>
        <w:pStyle w:val="FootnoteText"/>
      </w:pPr>
      <w:r>
        <w:rPr>
          <w:rStyle w:val="FootnoteReference"/>
          <w:sz w:val="16"/>
          <w:szCs w:val="16"/>
        </w:rPr>
        <w:footnoteRef/>
      </w:r>
      <w:r>
        <w:rPr>
          <w:sz w:val="16"/>
        </w:rPr>
        <w:t>Tomēr lielāka konverģence tiek panākta ar Beniluksa Ministru komitejas Ieteikumu M (2020) 15 par prasībām attiecībā uz specializētām zināšanām pirotehnisko izstrādājumu apstrādē un/vai izmantošanā.</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A7C1" w14:textId="77777777" w:rsidR="00812A71" w:rsidRDefault="00DE2DBE">
    <w:pPr>
      <w:pStyle w:val="MarginlessContainer"/>
    </w:pPr>
    <w:r>
      <w:rPr>
        <w:noProof/>
      </w:rPr>
      <mc:AlternateContent>
        <mc:Choice Requires="wps">
          <w:drawing>
            <wp:anchor distT="0" distB="0" distL="0" distR="0" simplePos="0" relativeHeight="251655168" behindDoc="0" locked="1" layoutInCell="1" allowOverlap="1" wp14:anchorId="318B6F39" wp14:editId="4D36A470">
              <wp:simplePos x="0" y="0"/>
              <wp:positionH relativeFrom="page">
                <wp:posOffset>6317615</wp:posOffset>
              </wp:positionH>
              <wp:positionV relativeFrom="page">
                <wp:posOffset>9633585</wp:posOffset>
              </wp:positionV>
              <wp:extent cx="361315" cy="180975"/>
              <wp:effectExtent l="0" t="0" r="0" b="0"/>
              <wp:wrapNone/>
              <wp:docPr id="5" name="Paginanummer vervolgpagina"/>
              <wp:cNvGraphicFramePr/>
              <a:graphic xmlns:a="http://schemas.openxmlformats.org/drawingml/2006/main">
                <a:graphicData uri="http://schemas.microsoft.com/office/word/2010/wordprocessingShape">
                  <wps:wsp>
                    <wps:cNvSpPr txBox="1"/>
                    <wps:spPr>
                      <a:xfrm>
                        <a:off x="0" y="0"/>
                        <a:ext cx="361315" cy="180975"/>
                      </a:xfrm>
                      <a:prstGeom prst="rect">
                        <a:avLst/>
                      </a:prstGeom>
                      <a:noFill/>
                    </wps:spPr>
                    <wps:txbx>
                      <w:txbxContent>
                        <w:p w14:paraId="70738BE2" w14:textId="618101E5" w:rsidR="00812A71" w:rsidRDefault="00DE2DBE">
                          <w:r>
                            <w:fldChar w:fldCharType="begin"/>
                          </w:r>
                          <w:r>
                            <w:instrText>PAGE</w:instrText>
                          </w:r>
                          <w:r>
                            <w:fldChar w:fldCharType="separate"/>
                          </w:r>
                          <w:r w:rsidR="006722D9">
                            <w:t>2</w:t>
                          </w:r>
                          <w:r>
                            <w:fldChar w:fldCharType="end"/>
                          </w:r>
                        </w:p>
                      </w:txbxContent>
                    </wps:txbx>
                    <wps:bodyPr vert="horz" wrap="square" lIns="0" tIns="0" rIns="0" bIns="0" anchor="t" anchorCtr="0"/>
                  </wps:wsp>
                </a:graphicData>
              </a:graphic>
            </wp:anchor>
          </w:drawing>
        </mc:Choice>
        <mc:Fallback>
          <w:pict>
            <v:shapetype w14:anchorId="318B6F39" id="_x0000_t202" coordsize="21600,21600" o:spt="202" path="m,l,21600r21600,l21600,xe">
              <v:stroke joinstyle="miter"/>
              <v:path gradientshapeok="t" o:connecttype="rect"/>
            </v:shapetype>
            <v:shape id="Paginanummer vervolgpagina" o:spid="_x0000_s1026" type="#_x0000_t202" style="position:absolute;margin-left:497.45pt;margin-top:758.55pt;width:28.45pt;height:1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" filled="f" stroked="f">
              <v:textbox inset="0,0,0,0">
                <w:txbxContent>
                  <w:p w14:paraId="70738BE2" w14:textId="618101E5" w:rsidR="00812A71" w:rsidRDefault="00DE2DBE">
                    <w:r>
                      <w:fldChar w:fldCharType="begin"/>
                    </w:r>
                    <w:r>
                      <w:instrText>PAGE</w:instrText>
                    </w:r>
                    <w:r>
                      <w:fldChar w:fldCharType="separate"/>
                    </w:r>
                    <w:r w:rsidR="006722D9">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44F4882" wp14:editId="309D8BAE">
              <wp:simplePos x="0" y="0"/>
              <wp:positionH relativeFrom="page">
                <wp:posOffset>1007744</wp:posOffset>
              </wp:positionH>
              <wp:positionV relativeFrom="page">
                <wp:posOffset>1198245</wp:posOffset>
              </wp:positionV>
              <wp:extent cx="2383155" cy="282575"/>
              <wp:effectExtent l="0" t="0" r="0" b="0"/>
              <wp:wrapNone/>
              <wp:docPr id="6"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39C9D4C8" w14:textId="77777777" w:rsidR="00194BA3" w:rsidRDefault="00194BA3"/>
                      </w:txbxContent>
                    </wps:txbx>
                    <wps:bodyPr vert="horz" wrap="square" lIns="0" tIns="0" rIns="0" bIns="0" anchor="t" anchorCtr="0"/>
                  </wps:wsp>
                </a:graphicData>
              </a:graphic>
            </wp:anchor>
          </w:drawing>
        </mc:Choice>
        <mc:Fallback>
          <w:pict>
            <v:shape w14:anchorId="444F4882" id="Merking tweede pagina" o:spid="_x0000_s1027" type="#_x0000_t202" style="position:absolute;margin-left:79.35pt;margin-top:94.35pt;width:187.65pt;height:22.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" filled="f" stroked="f">
              <v:textbox inset="0,0,0,0">
                <w:txbxContent>
                  <w:p w14:paraId="39C9D4C8" w14:textId="77777777" w:rsidR="00194BA3" w:rsidRDefault="00194BA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7044DA2" wp14:editId="6B22F4E6">
              <wp:simplePos x="0" y="0"/>
              <wp:positionH relativeFrom="page">
                <wp:posOffset>1007744</wp:posOffset>
              </wp:positionH>
              <wp:positionV relativeFrom="page">
                <wp:posOffset>10223500</wp:posOffset>
              </wp:positionV>
              <wp:extent cx="1799589" cy="179705"/>
              <wp:effectExtent l="0" t="0" r="0" b="0"/>
              <wp:wrapNone/>
              <wp:docPr id="7" name="Rubricering tweed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6006CCA1" w14:textId="77777777" w:rsidR="00194BA3" w:rsidRDefault="00194BA3"/>
                      </w:txbxContent>
                    </wps:txbx>
                    <wps:bodyPr vert="horz" wrap="square" lIns="0" tIns="0" rIns="0" bIns="0" anchor="t" anchorCtr="0"/>
                  </wps:wsp>
                </a:graphicData>
              </a:graphic>
            </wp:anchor>
          </w:drawing>
        </mc:Choice>
        <mc:Fallback>
          <w:pict>
            <v:shape w14:anchorId="27044DA2" id="Rubricering tweede pagina" o:spid="_x0000_s1028" type="#_x0000_t202" style="position:absolute;margin-left:79.35pt;margin-top:805pt;width:141.7pt;height:14.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VDrE5kgEAABQDAAAO&#10;AAAAAAAAAAAAAAAAAC4CAABkcnMvZTJvRG9jLnhtbFBLAQItABQABgAIAAAAIQBZ7g9Q4QAAAA0B&#10;AAAPAAAAAAAAAAAAAAAAAOwDAABkcnMvZG93bnJldi54bWxQSwUGAAAAAAQABADzAAAA+gQAAAAA&#10;" filled="f" stroked="f">
              <v:textbox inset="0,0,0,0">
                <w:txbxContent>
                  <w:p w14:paraId="6006CCA1" w14:textId="77777777" w:rsidR="00194BA3" w:rsidRDefault="00194BA3"/>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62FC" w14:textId="72ABA708" w:rsidR="00812A71" w:rsidRDefault="006114BE">
    <w:pPr>
      <w:pStyle w:val="MarginlessContainer"/>
      <w:spacing w:after="5096" w:line="14" w:lineRule="exact"/>
    </w:pPr>
    <w:r>
      <w:rPr>
        <w:noProof/>
      </w:rPr>
      <mc:AlternateContent>
        <mc:Choice Requires="wps">
          <w:drawing>
            <wp:anchor distT="0" distB="0" distL="114300" distR="114300" simplePos="0" relativeHeight="251661312" behindDoc="0" locked="0" layoutInCell="1" allowOverlap="1" wp14:anchorId="3E33DA83" wp14:editId="1A46C7A0">
              <wp:simplePos x="0" y="0"/>
              <wp:positionH relativeFrom="column">
                <wp:posOffset>-428625</wp:posOffset>
              </wp:positionH>
              <wp:positionV relativeFrom="paragraph">
                <wp:posOffset>323850</wp:posOffset>
              </wp:positionV>
              <wp:extent cx="6267450" cy="2895600"/>
              <wp:effectExtent l="0" t="0" r="0" b="0"/>
              <wp:wrapNone/>
              <wp:docPr id="669897404" name="Text Box 1"/>
              <wp:cNvGraphicFramePr/>
              <a:graphic xmlns:a="http://schemas.openxmlformats.org/drawingml/2006/main">
                <a:graphicData uri="http://schemas.microsoft.com/office/word/2010/wordprocessingShape">
                  <wps:wsp>
                    <wps:cNvSpPr txBox="1"/>
                    <wps:spPr>
                      <a:xfrm>
                        <a:off x="0" y="0"/>
                        <a:ext cx="6267450" cy="2895600"/>
                      </a:xfrm>
                      <a:prstGeom prst="rect">
                        <a:avLst/>
                      </a:prstGeom>
                      <a:solidFill>
                        <a:schemeClr val="lt1"/>
                      </a:solidFill>
                      <a:ln w="6350">
                        <a:noFill/>
                      </a:ln>
                    </wps:spPr>
                    <wps:txbx>
                      <w:txbxContent>
                        <w:p w14:paraId="222898F3" w14:textId="02C25921" w:rsidR="006114BE" w:rsidRPr="006114BE" w:rsidRDefault="006114BE" w:rsidP="006114BE">
                          <w:pPr>
                            <w:autoSpaceDN/>
                            <w:spacing w:line="240" w:lineRule="auto"/>
                            <w:textAlignment w:val="auto"/>
                            <w:rPr>
                              <w:rFonts w:ascii="Arial" w:eastAsia="Times New Roman" w:hAnsi="Arial" w:cs="Arial"/>
                              <w:smallCaps/>
                              <w:color w:val="auto"/>
                              <w:sz w:val="52"/>
                              <w:szCs w:val="52"/>
                            </w:rPr>
                          </w:pPr>
                          <w:r>
                            <w:rPr>
                              <w:rFonts w:ascii="Arial" w:hAnsi="Arial"/>
                              <w:smallCaps/>
                              <w:color w:val="auto"/>
                              <w:sz w:val="52"/>
                            </w:rPr>
                            <w:t xml:space="preserve">Mēs, </w:t>
                          </w:r>
                          <w:r>
                            <w:rPr>
                              <w:rFonts w:ascii="Arial" w:hAnsi="Arial"/>
                              <w:smallCaps/>
                              <w:color w:val="D78632"/>
                              <w:sz w:val="128"/>
                            </w:rPr>
                            <w:t>V</w:t>
                          </w:r>
                          <w:r>
                            <w:rPr>
                              <w:rFonts w:ascii="Arial" w:hAnsi="Arial"/>
                              <w:smallCaps/>
                              <w:color w:val="auto"/>
                              <w:sz w:val="52"/>
                            </w:rPr>
                            <w:t xml:space="preserve">illems </w:t>
                          </w:r>
                          <w:r>
                            <w:rPr>
                              <w:rFonts w:ascii="Arial" w:hAnsi="Arial"/>
                              <w:smallCaps/>
                              <w:color w:val="D78632"/>
                              <w:sz w:val="128"/>
                            </w:rPr>
                            <w:t>A</w:t>
                          </w:r>
                          <w:r>
                            <w:rPr>
                              <w:rFonts w:ascii="Arial" w:hAnsi="Arial"/>
                              <w:smallCaps/>
                              <w:color w:val="auto"/>
                              <w:sz w:val="52"/>
                            </w:rPr>
                            <w:t>leksandrs,</w:t>
                          </w:r>
                          <w:r>
                            <w:rPr>
                              <w:rFonts w:ascii="Arial" w:hAnsi="Arial"/>
                              <w:smallCaps/>
                              <w:color w:val="auto"/>
                              <w:sz w:val="52"/>
                            </w:rPr>
                            <w:br/>
                            <w:t>ar Dieva žēlastību,</w:t>
                          </w:r>
                          <w:r>
                            <w:rPr>
                              <w:rFonts w:ascii="Arial" w:hAnsi="Arial"/>
                              <w:smallCaps/>
                              <w:color w:val="auto"/>
                              <w:sz w:val="52"/>
                            </w:rPr>
                            <w:br/>
                            <w:t>Nīderlandes karalis, Orānas-Nasavas princis, utt., utt.</w:t>
                          </w:r>
                        </w:p>
                        <w:p w14:paraId="7DADD60B" w14:textId="77777777" w:rsidR="006114BE" w:rsidRDefault="00611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33DA83" id="_x0000_t202" coordsize="21600,21600" o:spt="202" path="m,l,21600r21600,l21600,xe">
              <v:stroke joinstyle="miter"/>
              <v:path gradientshapeok="t" o:connecttype="rect"/>
            </v:shapetype>
            <v:shape id="Text Box 1" o:spid="_x0000_s1029" type="#_x0000_t202" style="position:absolute;margin-left:-33.75pt;margin-top:25.5pt;width:493.5pt;height:22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ZhqMQIAAFw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" fillcolor="white [3201]" stroked="f" strokeweight=".5pt">
              <v:textbox>
                <w:txbxContent>
                  <w:p w14:paraId="222898F3" w14:textId="02C25921" w:rsidR="006114BE" w:rsidRPr="006114BE" w:rsidRDefault="006114BE" w:rsidP="006114BE">
                    <w:pPr>
                      <w:autoSpaceDN/>
                      <w:spacing w:line="240" w:lineRule="auto"/>
                      <w:textAlignment w:val="auto"/>
                      <w:rPr>
                        <w:smallCaps/>
                        <w:color w:val="auto"/>
                        <w:sz w:val="52"/>
                        <w:szCs w:val="52"/>
                        <w:rFonts w:ascii="Arial" w:eastAsia="Times New Roman" w:hAnsi="Arial" w:cs="Arial"/>
                      </w:rPr>
                    </w:pPr>
                    <w:r>
                      <w:rPr>
                        <w:smallCaps/>
                        <w:color w:val="auto"/>
                        <w:sz w:val="52"/>
                        <w:rFonts w:ascii="Arial" w:hAnsi="Arial"/>
                      </w:rPr>
                      <w:t xml:space="preserve">Mēs, </w:t>
                    </w:r>
                    <w:r>
                      <w:rPr>
                        <w:smallCaps/>
                        <w:color w:val="D78632"/>
                        <w:sz w:val="128"/>
                        <w:rFonts w:ascii="Arial" w:hAnsi="Arial"/>
                      </w:rPr>
                      <w:t xml:space="preserve">V</w:t>
                    </w:r>
                    <w:r>
                      <w:rPr>
                        <w:smallCaps/>
                        <w:color w:val="auto"/>
                        <w:sz w:val="52"/>
                        <w:rFonts w:ascii="Arial" w:hAnsi="Arial"/>
                      </w:rPr>
                      <w:t xml:space="preserve">illems </w:t>
                    </w:r>
                    <w:r>
                      <w:rPr>
                        <w:smallCaps/>
                        <w:color w:val="D78632"/>
                        <w:sz w:val="128"/>
                        <w:rFonts w:ascii="Arial" w:hAnsi="Arial"/>
                      </w:rPr>
                      <w:t xml:space="preserve">A</w:t>
                    </w:r>
                    <w:r>
                      <w:rPr>
                        <w:smallCaps/>
                        <w:color w:val="auto"/>
                        <w:sz w:val="52"/>
                        <w:rFonts w:ascii="Arial" w:hAnsi="Arial"/>
                      </w:rPr>
                      <w:t xml:space="preserve">leksandrs,</w:t>
                    </w:r>
                    <w:r>
                      <w:rPr>
                        <w:smallCaps/>
                        <w:color w:val="auto"/>
                        <w:sz w:val="52"/>
                        <w:rFonts w:ascii="Arial" w:hAnsi="Arial"/>
                      </w:rPr>
                      <w:br/>
                    </w:r>
                    <w:r>
                      <w:rPr>
                        <w:smallCaps/>
                        <w:color w:val="auto"/>
                        <w:sz w:val="52"/>
                        <w:rFonts w:ascii="Arial" w:hAnsi="Arial"/>
                      </w:rPr>
                      <w:t xml:space="preserve">ar Dieva žēlastību,</w:t>
                    </w:r>
                    <w:r>
                      <w:rPr>
                        <w:smallCaps/>
                        <w:color w:val="auto"/>
                        <w:sz w:val="52"/>
                        <w:rFonts w:ascii="Arial" w:hAnsi="Arial"/>
                      </w:rPr>
                      <w:br/>
                    </w:r>
                    <w:r>
                      <w:rPr>
                        <w:smallCaps/>
                        <w:color w:val="auto"/>
                        <w:sz w:val="52"/>
                        <w:rFonts w:ascii="Arial" w:hAnsi="Arial"/>
                      </w:rPr>
                      <w:t xml:space="preserve">Nīderlandes karalis, Orānas-Nasavas princis, utt., utt.</w:t>
                    </w:r>
                  </w:p>
                  <w:p w14:paraId="7DADD60B" w14:textId="77777777" w:rsidR="006114BE" w:rsidRDefault="006114BE"/>
                </w:txbxContent>
              </v:textbox>
            </v:shape>
          </w:pict>
        </mc:Fallback>
      </mc:AlternateContent>
    </w:r>
    <w:r>
      <w:rPr>
        <w:noProof/>
      </w:rPr>
      <mc:AlternateContent>
        <mc:Choice Requires="wps">
          <w:drawing>
            <wp:anchor distT="0" distB="0" distL="0" distR="0" simplePos="0" relativeHeight="251658240" behindDoc="0" locked="1" layoutInCell="1" allowOverlap="1" wp14:anchorId="371A0C79" wp14:editId="7D5D4D9A">
              <wp:simplePos x="0" y="0"/>
              <wp:positionH relativeFrom="page">
                <wp:posOffset>-215900</wp:posOffset>
              </wp:positionH>
              <wp:positionV relativeFrom="page">
                <wp:posOffset>151130</wp:posOffset>
              </wp:positionV>
              <wp:extent cx="6657340" cy="2514600"/>
              <wp:effectExtent l="0" t="0" r="0" b="0"/>
              <wp:wrapNone/>
              <wp:docPr id="1" name="Woordmerk_Koninkrijk"/>
              <wp:cNvGraphicFramePr/>
              <a:graphic xmlns:a="http://schemas.openxmlformats.org/drawingml/2006/main">
                <a:graphicData uri="http://schemas.microsoft.com/office/word/2010/wordprocessingShape">
                  <wps:wsp>
                    <wps:cNvSpPr txBox="1"/>
                    <wps:spPr>
                      <a:xfrm>
                        <a:off x="0" y="0"/>
                        <a:ext cx="6657340" cy="2514600"/>
                      </a:xfrm>
                      <a:prstGeom prst="rect">
                        <a:avLst/>
                      </a:prstGeom>
                      <a:noFill/>
                    </wps:spPr>
                    <wps:txbx>
                      <w:txbxContent>
                        <w:p w14:paraId="14373370" w14:textId="77777777" w:rsidR="00812A71" w:rsidRDefault="00DE2DBE">
                          <w:pPr>
                            <w:pStyle w:val="MarginlessContainer"/>
                          </w:pPr>
                          <w:r>
                            <w:rPr>
                              <w:noProof/>
                            </w:rPr>
                            <w:drawing>
                              <wp:inline distT="0" distB="0" distL="0" distR="0" wp14:anchorId="5EDB9817" wp14:editId="296699A0">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71A0C79" id="Woordmerk_Koninkrijk" o:spid="_x0000_s1030" type="#_x0000_t202" style="position:absolute;margin-left:-17pt;margin-top:11.9pt;width:524.2pt;height:19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" filled="f" stroked="f">
              <v:textbox inset="0,0,0,0">
                <w:txbxContent>
                  <w:p w14:paraId="14373370" w14:textId="77777777" w:rsidR="00812A71" w:rsidRDefault="00DE2DBE">
                    <w:pPr>
                      <w:pStyle w:val="MarginlessContainer"/>
                    </w:pPr>
                    <w:r>
                      <w:drawing>
                        <wp:inline distT="0" distB="0" distL="0" distR="0" wp14:anchorId="5EDB9817" wp14:editId="296699A0">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2"/>
                                  <a:stretch>
                                    <a:fillRect/>
                                  </a:stretch>
                                </pic:blipFill>
                                <pic:spPr bwMode="auto">
                                  <a:xfrm>
                                    <a:off x="0" y="0"/>
                                    <a:ext cx="6657340" cy="237827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F77105E" wp14:editId="15BBD711">
              <wp:simplePos x="0" y="0"/>
              <wp:positionH relativeFrom="page">
                <wp:posOffset>1007744</wp:posOffset>
              </wp:positionH>
              <wp:positionV relativeFrom="page">
                <wp:posOffset>1198245</wp:posOffset>
              </wp:positionV>
              <wp:extent cx="2383155" cy="282575"/>
              <wp:effectExtent l="0" t="0" r="0" b="0"/>
              <wp:wrapNone/>
              <wp:docPr id="3"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04909884" w14:textId="77777777" w:rsidR="00194BA3" w:rsidRDefault="00194BA3"/>
                      </w:txbxContent>
                    </wps:txbx>
                    <wps:bodyPr vert="horz" wrap="square" lIns="0" tIns="0" rIns="0" bIns="0" anchor="t" anchorCtr="0"/>
                  </wps:wsp>
                </a:graphicData>
              </a:graphic>
            </wp:anchor>
          </w:drawing>
        </mc:Choice>
        <mc:Fallback>
          <w:pict>
            <v:shape w14:anchorId="7F77105E" id="Merking eerste pagina" o:spid="_x0000_s1031" type="#_x0000_t202" style="position:absolute;margin-left:79.35pt;margin-top:94.35pt;width:187.65pt;height:22.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" filled="f" stroked="f">
              <v:textbox inset="0,0,0,0">
                <w:txbxContent>
                  <w:p w14:paraId="04909884" w14:textId="77777777" w:rsidR="00194BA3" w:rsidRDefault="00194BA3"/>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23676D3" wp14:editId="5E7959B6">
              <wp:simplePos x="0" y="0"/>
              <wp:positionH relativeFrom="page">
                <wp:posOffset>1007744</wp:posOffset>
              </wp:positionH>
              <wp:positionV relativeFrom="page">
                <wp:posOffset>10223500</wp:posOffset>
              </wp:positionV>
              <wp:extent cx="1799589" cy="179705"/>
              <wp:effectExtent l="0" t="0" r="0" b="0"/>
              <wp:wrapNone/>
              <wp:docPr id="4" name="Rubricering eerst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7278669" w14:textId="77777777" w:rsidR="00194BA3" w:rsidRDefault="00194BA3"/>
                      </w:txbxContent>
                    </wps:txbx>
                    <wps:bodyPr vert="horz" wrap="square" lIns="0" tIns="0" rIns="0" bIns="0" anchor="t" anchorCtr="0"/>
                  </wps:wsp>
                </a:graphicData>
              </a:graphic>
            </wp:anchor>
          </w:drawing>
        </mc:Choice>
        <mc:Fallback>
          <w:pict>
            <v:shape w14:anchorId="623676D3" id="Rubricering eerste pagina" o:spid="_x0000_s1032" type="#_x0000_t202" style="position:absolute;margin-left:79.35pt;margin-top:805pt;width:141.7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" filled="f" stroked="f">
              <v:textbox inset="0,0,0,0">
                <w:txbxContent>
                  <w:p w14:paraId="07278669" w14:textId="77777777" w:rsidR="00194BA3" w:rsidRDefault="00194BA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F1B38"/>
    <w:multiLevelType w:val="multilevel"/>
    <w:tmpl w:val="582086D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D51FBFA"/>
    <w:multiLevelType w:val="multilevel"/>
    <w:tmpl w:val="FA05F9DC"/>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3E68CB6"/>
    <w:multiLevelType w:val="multilevel"/>
    <w:tmpl w:val="3D417F2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8507E2F"/>
    <w:multiLevelType w:val="multilevel"/>
    <w:tmpl w:val="05E8BEA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985BDA9"/>
    <w:multiLevelType w:val="multilevel"/>
    <w:tmpl w:val="9DBDC37B"/>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A5D7737"/>
    <w:multiLevelType w:val="multilevel"/>
    <w:tmpl w:val="0E832944"/>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330B892"/>
    <w:multiLevelType w:val="multilevel"/>
    <w:tmpl w:val="6B40B84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D254BDE"/>
    <w:multiLevelType w:val="multilevel"/>
    <w:tmpl w:val="A252C9F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2EAD61C"/>
    <w:multiLevelType w:val="multilevel"/>
    <w:tmpl w:val="2AEBB1EF"/>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E87FB99"/>
    <w:multiLevelType w:val="multilevel"/>
    <w:tmpl w:val="32A01CDA"/>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FECBB2C"/>
    <w:multiLevelType w:val="multilevel"/>
    <w:tmpl w:val="5E457FB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181038A"/>
    <w:multiLevelType w:val="multilevel"/>
    <w:tmpl w:val="682535D2"/>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2A34E32"/>
    <w:multiLevelType w:val="hybridMultilevel"/>
    <w:tmpl w:val="DD6880FA"/>
    <w:lvl w:ilvl="0" w:tplc="A80C424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3AB6E4A"/>
    <w:multiLevelType w:val="hybridMultilevel"/>
    <w:tmpl w:val="9326B0A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6299698"/>
    <w:multiLevelType w:val="multilevel"/>
    <w:tmpl w:val="E6D8D9C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7974AB5"/>
    <w:multiLevelType w:val="hybridMultilevel"/>
    <w:tmpl w:val="DDC67B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08159EB7"/>
    <w:multiLevelType w:val="multilevel"/>
    <w:tmpl w:val="F143211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3D1CD3"/>
    <w:multiLevelType w:val="multilevel"/>
    <w:tmpl w:val="F541720C"/>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E779DA"/>
    <w:multiLevelType w:val="hybridMultilevel"/>
    <w:tmpl w:val="4E64E3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0CA95195"/>
    <w:multiLevelType w:val="hybridMultilevel"/>
    <w:tmpl w:val="BA303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0E2B57A1"/>
    <w:multiLevelType w:val="multilevel"/>
    <w:tmpl w:val="BC4D0D1B"/>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82C1882"/>
    <w:multiLevelType w:val="hybridMultilevel"/>
    <w:tmpl w:val="170CA10A"/>
    <w:lvl w:ilvl="0" w:tplc="08130017">
      <w:start w:val="1"/>
      <w:numFmt w:val="lowerLetter"/>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22" w15:restartNumberingAfterBreak="0">
    <w:nsid w:val="1CAA52C0"/>
    <w:multiLevelType w:val="hybridMultilevel"/>
    <w:tmpl w:val="0A6ACC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1F0075F3"/>
    <w:multiLevelType w:val="hybridMultilevel"/>
    <w:tmpl w:val="C2582C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46D2168"/>
    <w:multiLevelType w:val="multilevel"/>
    <w:tmpl w:val="393D436E"/>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7331B72"/>
    <w:multiLevelType w:val="hybridMultilevel"/>
    <w:tmpl w:val="34923630"/>
    <w:lvl w:ilvl="0" w:tplc="1DF4623A">
      <w:start w:val="1"/>
      <w:numFmt w:val="decimal"/>
      <w:lvlText w:val="%1."/>
      <w:lvlJc w:val="left"/>
      <w:pPr>
        <w:ind w:left="720" w:hanging="360"/>
      </w:pPr>
      <w:rPr>
        <w:rFonts w:ascii="Verdana" w:eastAsia="DejaVu Sans" w:hAnsi="Verdana"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A2F12E0"/>
    <w:multiLevelType w:val="hybridMultilevel"/>
    <w:tmpl w:val="FA448C52"/>
    <w:lvl w:ilvl="0" w:tplc="90966362">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2ABE060E"/>
    <w:multiLevelType w:val="hybridMultilevel"/>
    <w:tmpl w:val="468023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2FDEED95"/>
    <w:multiLevelType w:val="multilevel"/>
    <w:tmpl w:val="7E7B5A1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2D54E40"/>
    <w:multiLevelType w:val="hybridMultilevel"/>
    <w:tmpl w:val="399EBF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3B945628"/>
    <w:multiLevelType w:val="multilevel"/>
    <w:tmpl w:val="E9503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B9B205"/>
    <w:multiLevelType w:val="multilevel"/>
    <w:tmpl w:val="0CB3191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086A1A"/>
    <w:multiLevelType w:val="hybridMultilevel"/>
    <w:tmpl w:val="45E26F12"/>
    <w:lvl w:ilvl="0" w:tplc="F4A276A6">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62D79B2"/>
    <w:multiLevelType w:val="hybridMultilevel"/>
    <w:tmpl w:val="C00C1BE2"/>
    <w:lvl w:ilvl="0" w:tplc="4A02AB1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7A266A6"/>
    <w:multiLevelType w:val="hybridMultilevel"/>
    <w:tmpl w:val="5AB437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8A36956"/>
    <w:multiLevelType w:val="hybridMultilevel"/>
    <w:tmpl w:val="C428CA64"/>
    <w:lvl w:ilvl="0" w:tplc="404AD8F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6" w15:restartNumberingAfterBreak="0">
    <w:nsid w:val="4A946706"/>
    <w:multiLevelType w:val="hybridMultilevel"/>
    <w:tmpl w:val="C38ED9B6"/>
    <w:lvl w:ilvl="0" w:tplc="0413000F">
      <w:start w:val="1"/>
      <w:numFmt w:val="decimal"/>
      <w:lvlText w:val="%1."/>
      <w:lvlJc w:val="left"/>
      <w:pPr>
        <w:ind w:left="720" w:hanging="360"/>
      </w:pPr>
      <w:rPr>
        <w:rFonts w:hint="default"/>
      </w:rPr>
    </w:lvl>
    <w:lvl w:ilvl="1" w:tplc="04130019">
      <w:start w:val="1"/>
      <w:numFmt w:val="lowerLetter"/>
      <w:lvlText w:val="%2."/>
      <w:lvlJc w:val="left"/>
      <w:pPr>
        <w:ind w:left="1636"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4C36667E"/>
    <w:multiLevelType w:val="hybridMultilevel"/>
    <w:tmpl w:val="A24CB01E"/>
    <w:lvl w:ilvl="0" w:tplc="13B444A6">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102072F"/>
    <w:multiLevelType w:val="hybridMultilevel"/>
    <w:tmpl w:val="8F66BD3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2589380"/>
    <w:multiLevelType w:val="multilevel"/>
    <w:tmpl w:val="62ABBEB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93D3F7D"/>
    <w:multiLevelType w:val="hybridMultilevel"/>
    <w:tmpl w:val="A9A80E7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24A720B"/>
    <w:multiLevelType w:val="hybridMultilevel"/>
    <w:tmpl w:val="E7BEF100"/>
    <w:lvl w:ilvl="0" w:tplc="3D08D92A">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3FE4D16"/>
    <w:multiLevelType w:val="hybridMultilevel"/>
    <w:tmpl w:val="340C37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BB84F15"/>
    <w:multiLevelType w:val="multilevel"/>
    <w:tmpl w:val="3168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C67789"/>
    <w:multiLevelType w:val="hybridMultilevel"/>
    <w:tmpl w:val="D1C04D60"/>
    <w:lvl w:ilvl="0" w:tplc="19F2C352">
      <w:start w:val="3"/>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FF00D69"/>
    <w:multiLevelType w:val="hybridMultilevel"/>
    <w:tmpl w:val="7114A4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2A61917"/>
    <w:multiLevelType w:val="hybridMultilevel"/>
    <w:tmpl w:val="191830F6"/>
    <w:lvl w:ilvl="0" w:tplc="4BBCD904">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6C6612B"/>
    <w:multiLevelType w:val="hybridMultilevel"/>
    <w:tmpl w:val="2C70113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8B77BF0"/>
    <w:multiLevelType w:val="multilevel"/>
    <w:tmpl w:val="1459FAC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9D95F9B"/>
    <w:multiLevelType w:val="hybridMultilevel"/>
    <w:tmpl w:val="4FA4D3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A0A3597"/>
    <w:multiLevelType w:val="hybridMultilevel"/>
    <w:tmpl w:val="B0BE0CA8"/>
    <w:lvl w:ilvl="0" w:tplc="D7708BD6">
      <w:start w:val="1"/>
      <w:numFmt w:val="lowerLetter"/>
      <w:lvlText w:val="%1)"/>
      <w:lvlJc w:val="left"/>
      <w:pPr>
        <w:ind w:left="360" w:hanging="360"/>
      </w:pPr>
      <w:rPr>
        <w:rFonts w:hint="default"/>
        <w:i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441847640">
    <w:abstractNumId w:val="0"/>
  </w:num>
  <w:num w:numId="2" w16cid:durableId="214240553">
    <w:abstractNumId w:val="8"/>
  </w:num>
  <w:num w:numId="3" w16cid:durableId="955059168">
    <w:abstractNumId w:val="17"/>
  </w:num>
  <w:num w:numId="4" w16cid:durableId="174729042">
    <w:abstractNumId w:val="7"/>
  </w:num>
  <w:num w:numId="5" w16cid:durableId="752161197">
    <w:abstractNumId w:val="14"/>
  </w:num>
  <w:num w:numId="6" w16cid:durableId="1863856590">
    <w:abstractNumId w:val="11"/>
  </w:num>
  <w:num w:numId="7" w16cid:durableId="732846682">
    <w:abstractNumId w:val="9"/>
  </w:num>
  <w:num w:numId="8" w16cid:durableId="1154760603">
    <w:abstractNumId w:val="20"/>
  </w:num>
  <w:num w:numId="9" w16cid:durableId="1680615877">
    <w:abstractNumId w:val="31"/>
  </w:num>
  <w:num w:numId="10" w16cid:durableId="865606172">
    <w:abstractNumId w:val="39"/>
  </w:num>
  <w:num w:numId="11" w16cid:durableId="1405836431">
    <w:abstractNumId w:val="3"/>
  </w:num>
  <w:num w:numId="12" w16cid:durableId="2086685412">
    <w:abstractNumId w:val="10"/>
  </w:num>
  <w:num w:numId="13" w16cid:durableId="760878091">
    <w:abstractNumId w:val="5"/>
  </w:num>
  <w:num w:numId="14" w16cid:durableId="1615749022">
    <w:abstractNumId w:val="2"/>
  </w:num>
  <w:num w:numId="15" w16cid:durableId="812526055">
    <w:abstractNumId w:val="6"/>
  </w:num>
  <w:num w:numId="16" w16cid:durableId="1270702684">
    <w:abstractNumId w:val="16"/>
  </w:num>
  <w:num w:numId="17" w16cid:durableId="127556896">
    <w:abstractNumId w:val="1"/>
  </w:num>
  <w:num w:numId="18" w16cid:durableId="301273688">
    <w:abstractNumId w:val="4"/>
  </w:num>
  <w:num w:numId="19" w16cid:durableId="91127342">
    <w:abstractNumId w:val="48"/>
  </w:num>
  <w:num w:numId="20" w16cid:durableId="981809049">
    <w:abstractNumId w:val="28"/>
  </w:num>
  <w:num w:numId="21" w16cid:durableId="1928805837">
    <w:abstractNumId w:val="24"/>
  </w:num>
  <w:num w:numId="22" w16cid:durableId="332076168">
    <w:abstractNumId w:val="27"/>
  </w:num>
  <w:num w:numId="23" w16cid:durableId="39283098">
    <w:abstractNumId w:val="26"/>
  </w:num>
  <w:num w:numId="24" w16cid:durableId="1803957025">
    <w:abstractNumId w:val="32"/>
  </w:num>
  <w:num w:numId="25" w16cid:durableId="2140564676">
    <w:abstractNumId w:val="45"/>
  </w:num>
  <w:num w:numId="26" w16cid:durableId="609777658">
    <w:abstractNumId w:val="37"/>
  </w:num>
  <w:num w:numId="27" w16cid:durableId="1325863084">
    <w:abstractNumId w:val="42"/>
  </w:num>
  <w:num w:numId="28" w16cid:durableId="372735736">
    <w:abstractNumId w:val="36"/>
  </w:num>
  <w:num w:numId="29" w16cid:durableId="365260184">
    <w:abstractNumId w:val="46"/>
  </w:num>
  <w:num w:numId="30" w16cid:durableId="1206869847">
    <w:abstractNumId w:val="13"/>
  </w:num>
  <w:num w:numId="31" w16cid:durableId="805126404">
    <w:abstractNumId w:val="38"/>
  </w:num>
  <w:num w:numId="32" w16cid:durableId="1771659667">
    <w:abstractNumId w:val="29"/>
  </w:num>
  <w:num w:numId="33" w16cid:durableId="469985191">
    <w:abstractNumId w:val="41"/>
  </w:num>
  <w:num w:numId="34" w16cid:durableId="1302157014">
    <w:abstractNumId w:val="50"/>
  </w:num>
  <w:num w:numId="35" w16cid:durableId="3415882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156662">
    <w:abstractNumId w:val="30"/>
  </w:num>
  <w:num w:numId="37" w16cid:durableId="1002313028">
    <w:abstractNumId w:val="49"/>
  </w:num>
  <w:num w:numId="38" w16cid:durableId="626735759">
    <w:abstractNumId w:val="18"/>
  </w:num>
  <w:num w:numId="39" w16cid:durableId="1340691481">
    <w:abstractNumId w:val="44"/>
  </w:num>
  <w:num w:numId="40" w16cid:durableId="1204100178">
    <w:abstractNumId w:val="15"/>
  </w:num>
  <w:num w:numId="41" w16cid:durableId="976032453">
    <w:abstractNumId w:val="12"/>
  </w:num>
  <w:num w:numId="42" w16cid:durableId="1261841280">
    <w:abstractNumId w:val="19"/>
  </w:num>
  <w:num w:numId="43" w16cid:durableId="1503080942">
    <w:abstractNumId w:val="35"/>
  </w:num>
  <w:num w:numId="44" w16cid:durableId="646974262">
    <w:abstractNumId w:val="34"/>
  </w:num>
  <w:num w:numId="45" w16cid:durableId="1682119089">
    <w:abstractNumId w:val="47"/>
  </w:num>
  <w:num w:numId="46" w16cid:durableId="1764495656">
    <w:abstractNumId w:val="33"/>
  </w:num>
  <w:num w:numId="47" w16cid:durableId="996113579">
    <w:abstractNumId w:val="43"/>
  </w:num>
  <w:num w:numId="48" w16cid:durableId="1020204867">
    <w:abstractNumId w:val="25"/>
  </w:num>
  <w:num w:numId="49" w16cid:durableId="1864778045">
    <w:abstractNumId w:val="23"/>
  </w:num>
  <w:num w:numId="50" w16cid:durableId="549658075">
    <w:abstractNumId w:val="40"/>
  </w:num>
  <w:num w:numId="51" w16cid:durableId="1160466926">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82"/>
    <w:rsid w:val="0000248B"/>
    <w:rsid w:val="00014EE0"/>
    <w:rsid w:val="00022934"/>
    <w:rsid w:val="00022B2E"/>
    <w:rsid w:val="00024E77"/>
    <w:rsid w:val="00027B61"/>
    <w:rsid w:val="00031518"/>
    <w:rsid w:val="00033FF3"/>
    <w:rsid w:val="00037050"/>
    <w:rsid w:val="00042333"/>
    <w:rsid w:val="00050A6D"/>
    <w:rsid w:val="00050EDC"/>
    <w:rsid w:val="000562C8"/>
    <w:rsid w:val="000610B1"/>
    <w:rsid w:val="00070D54"/>
    <w:rsid w:val="0007311B"/>
    <w:rsid w:val="000734E3"/>
    <w:rsid w:val="00073A78"/>
    <w:rsid w:val="000801FE"/>
    <w:rsid w:val="000850FB"/>
    <w:rsid w:val="00094324"/>
    <w:rsid w:val="00097D15"/>
    <w:rsid w:val="000A4C3D"/>
    <w:rsid w:val="000A6369"/>
    <w:rsid w:val="000B039A"/>
    <w:rsid w:val="000B2749"/>
    <w:rsid w:val="000B5783"/>
    <w:rsid w:val="000B6567"/>
    <w:rsid w:val="000C0E6D"/>
    <w:rsid w:val="000D0B56"/>
    <w:rsid w:val="000D187A"/>
    <w:rsid w:val="000D21CD"/>
    <w:rsid w:val="000D5B82"/>
    <w:rsid w:val="000D7C0E"/>
    <w:rsid w:val="000E223D"/>
    <w:rsid w:val="000E2A10"/>
    <w:rsid w:val="000F227C"/>
    <w:rsid w:val="000F43E6"/>
    <w:rsid w:val="000F702A"/>
    <w:rsid w:val="0010437E"/>
    <w:rsid w:val="00107F8A"/>
    <w:rsid w:val="001149C1"/>
    <w:rsid w:val="001321AA"/>
    <w:rsid w:val="00132A27"/>
    <w:rsid w:val="00143F76"/>
    <w:rsid w:val="001555F5"/>
    <w:rsid w:val="00164C4F"/>
    <w:rsid w:val="0017317A"/>
    <w:rsid w:val="00180FD4"/>
    <w:rsid w:val="00181356"/>
    <w:rsid w:val="00183C54"/>
    <w:rsid w:val="00184369"/>
    <w:rsid w:val="001916A4"/>
    <w:rsid w:val="00194BA3"/>
    <w:rsid w:val="001A647B"/>
    <w:rsid w:val="001A6CD5"/>
    <w:rsid w:val="001B02F2"/>
    <w:rsid w:val="001C4BC1"/>
    <w:rsid w:val="001C4E79"/>
    <w:rsid w:val="001C5182"/>
    <w:rsid w:val="001C6B9D"/>
    <w:rsid w:val="001C7599"/>
    <w:rsid w:val="001D132C"/>
    <w:rsid w:val="001D30A8"/>
    <w:rsid w:val="001E72B5"/>
    <w:rsid w:val="001E7CFF"/>
    <w:rsid w:val="001F2B3F"/>
    <w:rsid w:val="001F3A5B"/>
    <w:rsid w:val="001F625F"/>
    <w:rsid w:val="001F6F5C"/>
    <w:rsid w:val="002045C3"/>
    <w:rsid w:val="002174D9"/>
    <w:rsid w:val="00220090"/>
    <w:rsid w:val="002204B3"/>
    <w:rsid w:val="0022132D"/>
    <w:rsid w:val="00226271"/>
    <w:rsid w:val="00226FCD"/>
    <w:rsid w:val="0023041D"/>
    <w:rsid w:val="002304E9"/>
    <w:rsid w:val="00237C71"/>
    <w:rsid w:val="0024295E"/>
    <w:rsid w:val="00243C8E"/>
    <w:rsid w:val="00245B36"/>
    <w:rsid w:val="00252E79"/>
    <w:rsid w:val="0026186E"/>
    <w:rsid w:val="0026205E"/>
    <w:rsid w:val="0026407F"/>
    <w:rsid w:val="002679C0"/>
    <w:rsid w:val="002701E5"/>
    <w:rsid w:val="00270D55"/>
    <w:rsid w:val="00274DE6"/>
    <w:rsid w:val="002770EC"/>
    <w:rsid w:val="00281517"/>
    <w:rsid w:val="0028670C"/>
    <w:rsid w:val="0028742F"/>
    <w:rsid w:val="00290F26"/>
    <w:rsid w:val="00295DD2"/>
    <w:rsid w:val="002A2AF1"/>
    <w:rsid w:val="002A5AF5"/>
    <w:rsid w:val="002B2B0C"/>
    <w:rsid w:val="002B6FA7"/>
    <w:rsid w:val="002B7C37"/>
    <w:rsid w:val="002C1D08"/>
    <w:rsid w:val="002C571C"/>
    <w:rsid w:val="002C6724"/>
    <w:rsid w:val="002D0868"/>
    <w:rsid w:val="002D0D2E"/>
    <w:rsid w:val="002D1271"/>
    <w:rsid w:val="002D6054"/>
    <w:rsid w:val="002D7C12"/>
    <w:rsid w:val="002E68CD"/>
    <w:rsid w:val="002F28BC"/>
    <w:rsid w:val="002F342A"/>
    <w:rsid w:val="00300221"/>
    <w:rsid w:val="00311A82"/>
    <w:rsid w:val="003134C0"/>
    <w:rsid w:val="003135CF"/>
    <w:rsid w:val="00313F33"/>
    <w:rsid w:val="00313F80"/>
    <w:rsid w:val="003146EB"/>
    <w:rsid w:val="00314DE4"/>
    <w:rsid w:val="003164AB"/>
    <w:rsid w:val="00316B05"/>
    <w:rsid w:val="00317EB5"/>
    <w:rsid w:val="00320BB5"/>
    <w:rsid w:val="0032327C"/>
    <w:rsid w:val="00327EE7"/>
    <w:rsid w:val="00332E4A"/>
    <w:rsid w:val="00336A32"/>
    <w:rsid w:val="00340473"/>
    <w:rsid w:val="0034427E"/>
    <w:rsid w:val="00353586"/>
    <w:rsid w:val="003557A3"/>
    <w:rsid w:val="003621C5"/>
    <w:rsid w:val="00373F74"/>
    <w:rsid w:val="00377BDB"/>
    <w:rsid w:val="003830C4"/>
    <w:rsid w:val="00383B3D"/>
    <w:rsid w:val="0038615D"/>
    <w:rsid w:val="00393561"/>
    <w:rsid w:val="003A36BF"/>
    <w:rsid w:val="003C5416"/>
    <w:rsid w:val="003D17D6"/>
    <w:rsid w:val="003D410C"/>
    <w:rsid w:val="003D67DA"/>
    <w:rsid w:val="003E0712"/>
    <w:rsid w:val="003E59E0"/>
    <w:rsid w:val="003E68B1"/>
    <w:rsid w:val="003E6E9D"/>
    <w:rsid w:val="003E7D4B"/>
    <w:rsid w:val="003F0C01"/>
    <w:rsid w:val="003F1E3A"/>
    <w:rsid w:val="00400AC3"/>
    <w:rsid w:val="00400FC8"/>
    <w:rsid w:val="00403A98"/>
    <w:rsid w:val="00410F7F"/>
    <w:rsid w:val="00414847"/>
    <w:rsid w:val="004150DD"/>
    <w:rsid w:val="0041580C"/>
    <w:rsid w:val="00415A4C"/>
    <w:rsid w:val="00421027"/>
    <w:rsid w:val="00422E43"/>
    <w:rsid w:val="00424030"/>
    <w:rsid w:val="00433590"/>
    <w:rsid w:val="00436041"/>
    <w:rsid w:val="00437BF7"/>
    <w:rsid w:val="004461E0"/>
    <w:rsid w:val="00447582"/>
    <w:rsid w:val="00450BE5"/>
    <w:rsid w:val="00450E58"/>
    <w:rsid w:val="00451648"/>
    <w:rsid w:val="00453DDC"/>
    <w:rsid w:val="0045450C"/>
    <w:rsid w:val="00454943"/>
    <w:rsid w:val="00454EE7"/>
    <w:rsid w:val="004550E6"/>
    <w:rsid w:val="004571EB"/>
    <w:rsid w:val="00461328"/>
    <w:rsid w:val="00473735"/>
    <w:rsid w:val="0048491F"/>
    <w:rsid w:val="0048555B"/>
    <w:rsid w:val="00490123"/>
    <w:rsid w:val="00490723"/>
    <w:rsid w:val="004946A8"/>
    <w:rsid w:val="004A177E"/>
    <w:rsid w:val="004A4A47"/>
    <w:rsid w:val="004A4F4A"/>
    <w:rsid w:val="004A650F"/>
    <w:rsid w:val="004B4934"/>
    <w:rsid w:val="004B719B"/>
    <w:rsid w:val="004B789F"/>
    <w:rsid w:val="004C142C"/>
    <w:rsid w:val="004C523F"/>
    <w:rsid w:val="004D0D31"/>
    <w:rsid w:val="004E2A7C"/>
    <w:rsid w:val="004E59D1"/>
    <w:rsid w:val="004F1E43"/>
    <w:rsid w:val="004F4192"/>
    <w:rsid w:val="004F4C69"/>
    <w:rsid w:val="00510B4B"/>
    <w:rsid w:val="005303CA"/>
    <w:rsid w:val="00530A3E"/>
    <w:rsid w:val="0053418B"/>
    <w:rsid w:val="005367B5"/>
    <w:rsid w:val="00536E10"/>
    <w:rsid w:val="0054451D"/>
    <w:rsid w:val="005468CE"/>
    <w:rsid w:val="00550AE2"/>
    <w:rsid w:val="00557CC7"/>
    <w:rsid w:val="00570A64"/>
    <w:rsid w:val="005778F6"/>
    <w:rsid w:val="005824F5"/>
    <w:rsid w:val="00584259"/>
    <w:rsid w:val="00585934"/>
    <w:rsid w:val="00585B19"/>
    <w:rsid w:val="00590629"/>
    <w:rsid w:val="0059230E"/>
    <w:rsid w:val="005A4491"/>
    <w:rsid w:val="005A6723"/>
    <w:rsid w:val="005A7D3E"/>
    <w:rsid w:val="005B1DF9"/>
    <w:rsid w:val="005B3A77"/>
    <w:rsid w:val="005B4A29"/>
    <w:rsid w:val="005C19CC"/>
    <w:rsid w:val="005C1D28"/>
    <w:rsid w:val="005D1FA7"/>
    <w:rsid w:val="005D21FE"/>
    <w:rsid w:val="005D3D31"/>
    <w:rsid w:val="005E6B0E"/>
    <w:rsid w:val="005F70E6"/>
    <w:rsid w:val="005F73B5"/>
    <w:rsid w:val="005F73EC"/>
    <w:rsid w:val="00603A66"/>
    <w:rsid w:val="00611325"/>
    <w:rsid w:val="006114BE"/>
    <w:rsid w:val="00611DFB"/>
    <w:rsid w:val="00613CD6"/>
    <w:rsid w:val="00625AA3"/>
    <w:rsid w:val="006302C7"/>
    <w:rsid w:val="0063115A"/>
    <w:rsid w:val="00632091"/>
    <w:rsid w:val="00635FD9"/>
    <w:rsid w:val="00641316"/>
    <w:rsid w:val="0064710C"/>
    <w:rsid w:val="00655E44"/>
    <w:rsid w:val="00661684"/>
    <w:rsid w:val="00665465"/>
    <w:rsid w:val="006722D9"/>
    <w:rsid w:val="00673783"/>
    <w:rsid w:val="00684984"/>
    <w:rsid w:val="006937BE"/>
    <w:rsid w:val="006946B7"/>
    <w:rsid w:val="006A127D"/>
    <w:rsid w:val="006A6253"/>
    <w:rsid w:val="006A7277"/>
    <w:rsid w:val="006B5035"/>
    <w:rsid w:val="006B5B39"/>
    <w:rsid w:val="006C06BC"/>
    <w:rsid w:val="006C369B"/>
    <w:rsid w:val="006C5394"/>
    <w:rsid w:val="006C5D98"/>
    <w:rsid w:val="006D07E7"/>
    <w:rsid w:val="006D3CF4"/>
    <w:rsid w:val="006D6DD1"/>
    <w:rsid w:val="006E02CA"/>
    <w:rsid w:val="006E44FC"/>
    <w:rsid w:val="006F008A"/>
    <w:rsid w:val="006F7252"/>
    <w:rsid w:val="0070396D"/>
    <w:rsid w:val="007120EB"/>
    <w:rsid w:val="007126CF"/>
    <w:rsid w:val="007162FC"/>
    <w:rsid w:val="0072507E"/>
    <w:rsid w:val="00734FD2"/>
    <w:rsid w:val="00741320"/>
    <w:rsid w:val="007424A9"/>
    <w:rsid w:val="007435F2"/>
    <w:rsid w:val="007460A2"/>
    <w:rsid w:val="0074717F"/>
    <w:rsid w:val="007542A2"/>
    <w:rsid w:val="00763598"/>
    <w:rsid w:val="0076622F"/>
    <w:rsid w:val="00766509"/>
    <w:rsid w:val="007678F7"/>
    <w:rsid w:val="00776C70"/>
    <w:rsid w:val="00776DC6"/>
    <w:rsid w:val="00777E26"/>
    <w:rsid w:val="00780867"/>
    <w:rsid w:val="007840C5"/>
    <w:rsid w:val="007845C0"/>
    <w:rsid w:val="00785EB5"/>
    <w:rsid w:val="00790C20"/>
    <w:rsid w:val="00792AC7"/>
    <w:rsid w:val="00796AD1"/>
    <w:rsid w:val="007B2AD6"/>
    <w:rsid w:val="007B475B"/>
    <w:rsid w:val="007C698A"/>
    <w:rsid w:val="007D3159"/>
    <w:rsid w:val="007D4ED4"/>
    <w:rsid w:val="007D5FFC"/>
    <w:rsid w:val="007D7591"/>
    <w:rsid w:val="007E3BEA"/>
    <w:rsid w:val="007F13F8"/>
    <w:rsid w:val="007F3160"/>
    <w:rsid w:val="007F3C60"/>
    <w:rsid w:val="007F40A5"/>
    <w:rsid w:val="007F4B86"/>
    <w:rsid w:val="007F52CA"/>
    <w:rsid w:val="007F6D5D"/>
    <w:rsid w:val="008008A8"/>
    <w:rsid w:val="00803985"/>
    <w:rsid w:val="0080642C"/>
    <w:rsid w:val="00812A71"/>
    <w:rsid w:val="00815CD2"/>
    <w:rsid w:val="00816FC9"/>
    <w:rsid w:val="008246B8"/>
    <w:rsid w:val="0083099A"/>
    <w:rsid w:val="00831069"/>
    <w:rsid w:val="0084382E"/>
    <w:rsid w:val="008472C7"/>
    <w:rsid w:val="00847E57"/>
    <w:rsid w:val="00854192"/>
    <w:rsid w:val="00854D4B"/>
    <w:rsid w:val="008554F6"/>
    <w:rsid w:val="00864C9A"/>
    <w:rsid w:val="00865EEC"/>
    <w:rsid w:val="008662D5"/>
    <w:rsid w:val="00866364"/>
    <w:rsid w:val="008709B6"/>
    <w:rsid w:val="00882FF9"/>
    <w:rsid w:val="00883254"/>
    <w:rsid w:val="00891DAC"/>
    <w:rsid w:val="00895E5E"/>
    <w:rsid w:val="0089728C"/>
    <w:rsid w:val="008A135A"/>
    <w:rsid w:val="008A1DE0"/>
    <w:rsid w:val="008A631E"/>
    <w:rsid w:val="008A6AD6"/>
    <w:rsid w:val="008B1664"/>
    <w:rsid w:val="008B1DFC"/>
    <w:rsid w:val="008C1529"/>
    <w:rsid w:val="008C3572"/>
    <w:rsid w:val="008C3BB7"/>
    <w:rsid w:val="008C6657"/>
    <w:rsid w:val="008D009E"/>
    <w:rsid w:val="008D29A8"/>
    <w:rsid w:val="008D62BA"/>
    <w:rsid w:val="008E1C92"/>
    <w:rsid w:val="008E2473"/>
    <w:rsid w:val="008E77AA"/>
    <w:rsid w:val="008F06E0"/>
    <w:rsid w:val="008F2256"/>
    <w:rsid w:val="00901D11"/>
    <w:rsid w:val="00904ACD"/>
    <w:rsid w:val="00904F4E"/>
    <w:rsid w:val="009052A1"/>
    <w:rsid w:val="0090723F"/>
    <w:rsid w:val="009072A0"/>
    <w:rsid w:val="009078C7"/>
    <w:rsid w:val="00910C6A"/>
    <w:rsid w:val="009152AF"/>
    <w:rsid w:val="0091783F"/>
    <w:rsid w:val="00936355"/>
    <w:rsid w:val="00940DD6"/>
    <w:rsid w:val="00943602"/>
    <w:rsid w:val="0096098E"/>
    <w:rsid w:val="00961793"/>
    <w:rsid w:val="009632C8"/>
    <w:rsid w:val="00964D6D"/>
    <w:rsid w:val="0096601D"/>
    <w:rsid w:val="0097034B"/>
    <w:rsid w:val="00972741"/>
    <w:rsid w:val="0097298D"/>
    <w:rsid w:val="00975E08"/>
    <w:rsid w:val="009767BC"/>
    <w:rsid w:val="00981859"/>
    <w:rsid w:val="009850D5"/>
    <w:rsid w:val="009876AC"/>
    <w:rsid w:val="00994F43"/>
    <w:rsid w:val="009975DC"/>
    <w:rsid w:val="009A02BC"/>
    <w:rsid w:val="009A41F9"/>
    <w:rsid w:val="009A55B4"/>
    <w:rsid w:val="009A77DD"/>
    <w:rsid w:val="009C6A41"/>
    <w:rsid w:val="009D0C4F"/>
    <w:rsid w:val="009D43B9"/>
    <w:rsid w:val="009E5D8C"/>
    <w:rsid w:val="009F0C40"/>
    <w:rsid w:val="009F242D"/>
    <w:rsid w:val="00A00841"/>
    <w:rsid w:val="00A04549"/>
    <w:rsid w:val="00A047A5"/>
    <w:rsid w:val="00A07105"/>
    <w:rsid w:val="00A12AF7"/>
    <w:rsid w:val="00A14288"/>
    <w:rsid w:val="00A14417"/>
    <w:rsid w:val="00A15A8B"/>
    <w:rsid w:val="00A17BD7"/>
    <w:rsid w:val="00A22D23"/>
    <w:rsid w:val="00A25988"/>
    <w:rsid w:val="00A35FF3"/>
    <w:rsid w:val="00A42410"/>
    <w:rsid w:val="00A61365"/>
    <w:rsid w:val="00A6357D"/>
    <w:rsid w:val="00A6359B"/>
    <w:rsid w:val="00A6450F"/>
    <w:rsid w:val="00A649E6"/>
    <w:rsid w:val="00A70B46"/>
    <w:rsid w:val="00A77291"/>
    <w:rsid w:val="00A773CA"/>
    <w:rsid w:val="00A81B02"/>
    <w:rsid w:val="00A83423"/>
    <w:rsid w:val="00A932FA"/>
    <w:rsid w:val="00A93A63"/>
    <w:rsid w:val="00A9671A"/>
    <w:rsid w:val="00AA0F21"/>
    <w:rsid w:val="00AB2AC7"/>
    <w:rsid w:val="00AC1049"/>
    <w:rsid w:val="00AC6B62"/>
    <w:rsid w:val="00AC7C3F"/>
    <w:rsid w:val="00AD13F4"/>
    <w:rsid w:val="00AD2166"/>
    <w:rsid w:val="00AD627F"/>
    <w:rsid w:val="00AE0502"/>
    <w:rsid w:val="00AE41D1"/>
    <w:rsid w:val="00AE4BCA"/>
    <w:rsid w:val="00AF331A"/>
    <w:rsid w:val="00B027DF"/>
    <w:rsid w:val="00B11816"/>
    <w:rsid w:val="00B150E6"/>
    <w:rsid w:val="00B20980"/>
    <w:rsid w:val="00B233F3"/>
    <w:rsid w:val="00B25A13"/>
    <w:rsid w:val="00B27DB3"/>
    <w:rsid w:val="00B33414"/>
    <w:rsid w:val="00B33B30"/>
    <w:rsid w:val="00B35E9F"/>
    <w:rsid w:val="00B40B99"/>
    <w:rsid w:val="00B43DDC"/>
    <w:rsid w:val="00B635DB"/>
    <w:rsid w:val="00B7163B"/>
    <w:rsid w:val="00B75F3A"/>
    <w:rsid w:val="00B8205D"/>
    <w:rsid w:val="00BA12A9"/>
    <w:rsid w:val="00BB2069"/>
    <w:rsid w:val="00BB2A5A"/>
    <w:rsid w:val="00BB2B43"/>
    <w:rsid w:val="00BB309A"/>
    <w:rsid w:val="00BB4790"/>
    <w:rsid w:val="00BB755B"/>
    <w:rsid w:val="00BC356D"/>
    <w:rsid w:val="00BD17E1"/>
    <w:rsid w:val="00BD1CA4"/>
    <w:rsid w:val="00BD3794"/>
    <w:rsid w:val="00BD6F28"/>
    <w:rsid w:val="00BE1182"/>
    <w:rsid w:val="00BE3793"/>
    <w:rsid w:val="00BE5238"/>
    <w:rsid w:val="00BE6D39"/>
    <w:rsid w:val="00C01BAF"/>
    <w:rsid w:val="00C03B50"/>
    <w:rsid w:val="00C03BFC"/>
    <w:rsid w:val="00C07B29"/>
    <w:rsid w:val="00C15C66"/>
    <w:rsid w:val="00C20F8F"/>
    <w:rsid w:val="00C22B4B"/>
    <w:rsid w:val="00C22BC4"/>
    <w:rsid w:val="00C25829"/>
    <w:rsid w:val="00C36051"/>
    <w:rsid w:val="00C41727"/>
    <w:rsid w:val="00C4226F"/>
    <w:rsid w:val="00C43025"/>
    <w:rsid w:val="00C4511E"/>
    <w:rsid w:val="00C45899"/>
    <w:rsid w:val="00C52A40"/>
    <w:rsid w:val="00C532E8"/>
    <w:rsid w:val="00C57360"/>
    <w:rsid w:val="00C57973"/>
    <w:rsid w:val="00C601DD"/>
    <w:rsid w:val="00C72CE5"/>
    <w:rsid w:val="00C75931"/>
    <w:rsid w:val="00C845C4"/>
    <w:rsid w:val="00C871EF"/>
    <w:rsid w:val="00C90CDA"/>
    <w:rsid w:val="00C9198C"/>
    <w:rsid w:val="00C968C6"/>
    <w:rsid w:val="00CA10EA"/>
    <w:rsid w:val="00CA1DB1"/>
    <w:rsid w:val="00CA2495"/>
    <w:rsid w:val="00CB3858"/>
    <w:rsid w:val="00CB6CE8"/>
    <w:rsid w:val="00CC5DDB"/>
    <w:rsid w:val="00CC6025"/>
    <w:rsid w:val="00CD0125"/>
    <w:rsid w:val="00CD11AB"/>
    <w:rsid w:val="00CD3989"/>
    <w:rsid w:val="00CE05F3"/>
    <w:rsid w:val="00CE26C1"/>
    <w:rsid w:val="00CE7FF9"/>
    <w:rsid w:val="00CF1006"/>
    <w:rsid w:val="00CF58E6"/>
    <w:rsid w:val="00CF5E1D"/>
    <w:rsid w:val="00CF6495"/>
    <w:rsid w:val="00CF7C1C"/>
    <w:rsid w:val="00D04961"/>
    <w:rsid w:val="00D050D2"/>
    <w:rsid w:val="00D12C2E"/>
    <w:rsid w:val="00D156E5"/>
    <w:rsid w:val="00D20B98"/>
    <w:rsid w:val="00D2672E"/>
    <w:rsid w:val="00D30264"/>
    <w:rsid w:val="00D4395F"/>
    <w:rsid w:val="00D5578E"/>
    <w:rsid w:val="00D57553"/>
    <w:rsid w:val="00D602CD"/>
    <w:rsid w:val="00D6303F"/>
    <w:rsid w:val="00D63C3A"/>
    <w:rsid w:val="00D71AFD"/>
    <w:rsid w:val="00D73733"/>
    <w:rsid w:val="00D73B55"/>
    <w:rsid w:val="00D86158"/>
    <w:rsid w:val="00D87E88"/>
    <w:rsid w:val="00D92063"/>
    <w:rsid w:val="00D92091"/>
    <w:rsid w:val="00D94B83"/>
    <w:rsid w:val="00DB135D"/>
    <w:rsid w:val="00DB459C"/>
    <w:rsid w:val="00DB4645"/>
    <w:rsid w:val="00DB5812"/>
    <w:rsid w:val="00DC58A4"/>
    <w:rsid w:val="00DD14F6"/>
    <w:rsid w:val="00DD60E1"/>
    <w:rsid w:val="00DD6BA3"/>
    <w:rsid w:val="00DE0CA2"/>
    <w:rsid w:val="00DE2DBE"/>
    <w:rsid w:val="00DE306B"/>
    <w:rsid w:val="00DE5646"/>
    <w:rsid w:val="00DF19B6"/>
    <w:rsid w:val="00DF3AEC"/>
    <w:rsid w:val="00DF50FD"/>
    <w:rsid w:val="00DF53BD"/>
    <w:rsid w:val="00E021AD"/>
    <w:rsid w:val="00E02510"/>
    <w:rsid w:val="00E04D9F"/>
    <w:rsid w:val="00E05605"/>
    <w:rsid w:val="00E07588"/>
    <w:rsid w:val="00E10C7C"/>
    <w:rsid w:val="00E136B9"/>
    <w:rsid w:val="00E14717"/>
    <w:rsid w:val="00E1507A"/>
    <w:rsid w:val="00E22B15"/>
    <w:rsid w:val="00E23CE2"/>
    <w:rsid w:val="00E25052"/>
    <w:rsid w:val="00E27732"/>
    <w:rsid w:val="00E32087"/>
    <w:rsid w:val="00E376BF"/>
    <w:rsid w:val="00E40802"/>
    <w:rsid w:val="00E4400F"/>
    <w:rsid w:val="00E45689"/>
    <w:rsid w:val="00E45F06"/>
    <w:rsid w:val="00E47B34"/>
    <w:rsid w:val="00E64659"/>
    <w:rsid w:val="00E75D6E"/>
    <w:rsid w:val="00E7797E"/>
    <w:rsid w:val="00E90B92"/>
    <w:rsid w:val="00E910E4"/>
    <w:rsid w:val="00EA280F"/>
    <w:rsid w:val="00EA3DFD"/>
    <w:rsid w:val="00EA587B"/>
    <w:rsid w:val="00EA5F33"/>
    <w:rsid w:val="00EA732F"/>
    <w:rsid w:val="00EB2669"/>
    <w:rsid w:val="00EB329B"/>
    <w:rsid w:val="00EC3284"/>
    <w:rsid w:val="00ED2891"/>
    <w:rsid w:val="00ED535A"/>
    <w:rsid w:val="00ED6825"/>
    <w:rsid w:val="00EE3A49"/>
    <w:rsid w:val="00EF30A1"/>
    <w:rsid w:val="00EF3770"/>
    <w:rsid w:val="00EF3A42"/>
    <w:rsid w:val="00EF3D13"/>
    <w:rsid w:val="00EF4365"/>
    <w:rsid w:val="00F00AB3"/>
    <w:rsid w:val="00F0139C"/>
    <w:rsid w:val="00F050C0"/>
    <w:rsid w:val="00F06897"/>
    <w:rsid w:val="00F121F6"/>
    <w:rsid w:val="00F20F61"/>
    <w:rsid w:val="00F24DB0"/>
    <w:rsid w:val="00F30BFD"/>
    <w:rsid w:val="00F42D20"/>
    <w:rsid w:val="00F468B6"/>
    <w:rsid w:val="00F5342D"/>
    <w:rsid w:val="00F568E0"/>
    <w:rsid w:val="00F57FFC"/>
    <w:rsid w:val="00F65CCA"/>
    <w:rsid w:val="00F669CA"/>
    <w:rsid w:val="00F72AC7"/>
    <w:rsid w:val="00F74318"/>
    <w:rsid w:val="00F803F4"/>
    <w:rsid w:val="00F90681"/>
    <w:rsid w:val="00F91174"/>
    <w:rsid w:val="00F9176E"/>
    <w:rsid w:val="00F930BC"/>
    <w:rsid w:val="00FA2E81"/>
    <w:rsid w:val="00FA3D12"/>
    <w:rsid w:val="00FA679F"/>
    <w:rsid w:val="00FC2BF3"/>
    <w:rsid w:val="00FC72F3"/>
    <w:rsid w:val="00FF6F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38EDC"/>
  <w15:docId w15:val="{1E531196-E874-4AEE-B610-1ECC0665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lv-LV"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3">
    <w:name w:val="heading 3"/>
    <w:basedOn w:val="Normal"/>
    <w:link w:val="Heading3Char"/>
    <w:uiPriority w:val="9"/>
    <w:qFormat/>
    <w:rsid w:val="00393561"/>
    <w:pPr>
      <w:autoSpaceDN/>
      <w:spacing w:before="100" w:beforeAutospacing="1" w:after="100" w:afterAutospacing="1" w:line="240" w:lineRule="auto"/>
      <w:textAlignment w:val="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US" w:eastAsia="en-US"/>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basedOn w:val="Normal"/>
    <w:uiPriority w:val="34"/>
    <w:qFormat/>
    <w:rsid w:val="006722D9"/>
    <w:pPr>
      <w:ind w:left="720"/>
      <w:contextualSpacing/>
    </w:pPr>
  </w:style>
  <w:style w:type="paragraph" w:styleId="FootnoteText">
    <w:name w:val="footnote text"/>
    <w:basedOn w:val="Normal"/>
    <w:link w:val="FootnoteTextChar"/>
    <w:uiPriority w:val="99"/>
    <w:semiHidden/>
    <w:unhideWhenUsed/>
    <w:rsid w:val="0022132D"/>
    <w:pPr>
      <w:spacing w:line="240" w:lineRule="auto"/>
    </w:pPr>
    <w:rPr>
      <w:sz w:val="20"/>
      <w:szCs w:val="20"/>
    </w:rPr>
  </w:style>
  <w:style w:type="character" w:customStyle="1" w:styleId="FootnoteTextChar">
    <w:name w:val="Footnote Text Char"/>
    <w:basedOn w:val="DefaultParagraphFont"/>
    <w:link w:val="FootnoteText"/>
    <w:uiPriority w:val="99"/>
    <w:semiHidden/>
    <w:rsid w:val="0022132D"/>
    <w:rPr>
      <w:rFonts w:ascii="Verdana" w:hAnsi="Verdana"/>
      <w:color w:val="000000"/>
    </w:rPr>
  </w:style>
  <w:style w:type="character" w:styleId="FootnoteReference">
    <w:name w:val="footnote reference"/>
    <w:basedOn w:val="DefaultParagraphFont"/>
    <w:uiPriority w:val="99"/>
    <w:semiHidden/>
    <w:unhideWhenUsed/>
    <w:rsid w:val="0022132D"/>
    <w:rPr>
      <w:vertAlign w:val="superscript"/>
    </w:rPr>
  </w:style>
  <w:style w:type="character" w:styleId="CommentReference">
    <w:name w:val="annotation reference"/>
    <w:basedOn w:val="DefaultParagraphFont"/>
    <w:uiPriority w:val="99"/>
    <w:semiHidden/>
    <w:unhideWhenUsed/>
    <w:rsid w:val="005C1D28"/>
    <w:rPr>
      <w:sz w:val="16"/>
      <w:szCs w:val="16"/>
    </w:rPr>
  </w:style>
  <w:style w:type="paragraph" w:styleId="CommentText">
    <w:name w:val="annotation text"/>
    <w:basedOn w:val="Normal"/>
    <w:link w:val="CommentTextChar"/>
    <w:uiPriority w:val="99"/>
    <w:unhideWhenUsed/>
    <w:rsid w:val="005C1D28"/>
    <w:pPr>
      <w:spacing w:line="240" w:lineRule="auto"/>
    </w:pPr>
    <w:rPr>
      <w:sz w:val="20"/>
      <w:szCs w:val="20"/>
    </w:rPr>
  </w:style>
  <w:style w:type="character" w:customStyle="1" w:styleId="CommentTextChar">
    <w:name w:val="Comment Text Char"/>
    <w:basedOn w:val="DefaultParagraphFont"/>
    <w:link w:val="CommentText"/>
    <w:uiPriority w:val="99"/>
    <w:rsid w:val="005C1D2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C1D28"/>
    <w:rPr>
      <w:b/>
      <w:bCs/>
    </w:rPr>
  </w:style>
  <w:style w:type="character" w:customStyle="1" w:styleId="CommentSubjectChar">
    <w:name w:val="Comment Subject Char"/>
    <w:basedOn w:val="CommentTextChar"/>
    <w:link w:val="CommentSubject"/>
    <w:uiPriority w:val="99"/>
    <w:semiHidden/>
    <w:rsid w:val="005C1D28"/>
    <w:rPr>
      <w:rFonts w:ascii="Verdana" w:hAnsi="Verdana"/>
      <w:b/>
      <w:bCs/>
      <w:color w:val="000000"/>
    </w:rPr>
  </w:style>
  <w:style w:type="paragraph" w:customStyle="1" w:styleId="Default">
    <w:name w:val="Default"/>
    <w:rsid w:val="000F702A"/>
    <w:pPr>
      <w:autoSpaceDE w:val="0"/>
      <w:adjustRightInd w:val="0"/>
      <w:textAlignment w:val="auto"/>
    </w:pPr>
    <w:rPr>
      <w:rFonts w:ascii="ALKKP A+ Univers" w:eastAsiaTheme="minorHAnsi" w:hAnsi="ALKKP A+ Univers" w:cs="ALKKP A+ Univers"/>
      <w:color w:val="000000"/>
      <w:sz w:val="24"/>
      <w:szCs w:val="24"/>
      <w:lang w:eastAsia="en-US"/>
    </w:rPr>
  </w:style>
  <w:style w:type="character" w:styleId="Hyperlink">
    <w:name w:val="Hyperlink"/>
    <w:basedOn w:val="DefaultParagraphFont"/>
    <w:uiPriority w:val="99"/>
    <w:semiHidden/>
    <w:unhideWhenUsed/>
    <w:rsid w:val="00164C4F"/>
    <w:rPr>
      <w:color w:val="0000FF"/>
      <w:u w:val="single"/>
    </w:rPr>
  </w:style>
  <w:style w:type="table" w:styleId="TableGrid">
    <w:name w:val="Table Grid"/>
    <w:basedOn w:val="TableNormal"/>
    <w:uiPriority w:val="39"/>
    <w:rsid w:val="003146EB"/>
    <w:pPr>
      <w:autoSpaceDN/>
      <w:textAlignment w:val="auto"/>
    </w:pPr>
    <w:rPr>
      <w:rFonts w:ascii="Verdana" w:eastAsiaTheme="minorHAnsi" w:hAnsi="Verdana" w:cstheme="minorBidi"/>
      <w:sz w:val="1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t">
    <w:name w:val="wat"/>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nr">
    <w:name w:val="nr"/>
    <w:basedOn w:val="DefaultParagraphFont"/>
    <w:rsid w:val="00854D4B"/>
  </w:style>
  <w:style w:type="paragraph" w:customStyle="1" w:styleId="lid">
    <w:name w:val="lid"/>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lidnr">
    <w:name w:val="lidnr"/>
    <w:basedOn w:val="DefaultParagraphFont"/>
    <w:rsid w:val="00854D4B"/>
  </w:style>
  <w:style w:type="paragraph" w:customStyle="1" w:styleId="labeled">
    <w:name w:val="labeled"/>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ol">
    <w:name w:val="ol"/>
    <w:basedOn w:val="DefaultParagraphFont"/>
    <w:rsid w:val="00854D4B"/>
  </w:style>
  <w:style w:type="paragraph" w:styleId="Revision">
    <w:name w:val="Revision"/>
    <w:hidden/>
    <w:uiPriority w:val="99"/>
    <w:semiHidden/>
    <w:rsid w:val="00AE4BCA"/>
    <w:pPr>
      <w:autoSpaceDN/>
      <w:textAlignment w:val="auto"/>
    </w:pPr>
    <w:rPr>
      <w:rFonts w:ascii="Verdana" w:hAnsi="Verdana"/>
      <w:color w:val="000000"/>
      <w:sz w:val="18"/>
      <w:szCs w:val="18"/>
    </w:rPr>
  </w:style>
  <w:style w:type="character" w:customStyle="1" w:styleId="Heading3Char">
    <w:name w:val="Heading 3 Char"/>
    <w:basedOn w:val="DefaultParagraphFont"/>
    <w:link w:val="Heading3"/>
    <w:uiPriority w:val="9"/>
    <w:rsid w:val="00393561"/>
    <w:rPr>
      <w:rFonts w:eastAsia="Times New Roman" w:cs="Times New Roman"/>
      <w:b/>
      <w:bCs/>
      <w:sz w:val="27"/>
      <w:szCs w:val="27"/>
    </w:rPr>
  </w:style>
  <w:style w:type="character" w:styleId="FollowedHyperlink">
    <w:name w:val="FollowedHyperlink"/>
    <w:basedOn w:val="DefaultParagraphFont"/>
    <w:uiPriority w:val="99"/>
    <w:semiHidden/>
    <w:unhideWhenUsed/>
    <w:rsid w:val="00936355"/>
    <w:rPr>
      <w:color w:val="954F72" w:themeColor="followedHyperlink"/>
      <w:u w:val="single"/>
    </w:rPr>
  </w:style>
  <w:style w:type="character" w:styleId="Emphasis">
    <w:name w:val="Emphasis"/>
    <w:basedOn w:val="DefaultParagraphFont"/>
    <w:uiPriority w:val="20"/>
    <w:qFormat/>
    <w:rsid w:val="007F6D5D"/>
    <w:rPr>
      <w:i/>
      <w:iCs/>
    </w:rPr>
  </w:style>
  <w:style w:type="paragraph" w:styleId="BalloonText">
    <w:name w:val="Balloon Text"/>
    <w:basedOn w:val="Normal"/>
    <w:link w:val="BalloonTextChar"/>
    <w:uiPriority w:val="99"/>
    <w:semiHidden/>
    <w:unhideWhenUsed/>
    <w:rsid w:val="000B5783"/>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0B5783"/>
    <w:rPr>
      <w:rFonts w:ascii="Segoe UI" w:hAnsi="Segoe UI" w:cs="Segoe UI"/>
      <w:color w:val="000000"/>
      <w:sz w:val="18"/>
      <w:szCs w:val="18"/>
    </w:rPr>
  </w:style>
  <w:style w:type="paragraph" w:styleId="Header">
    <w:name w:val="header"/>
    <w:basedOn w:val="Normal"/>
    <w:link w:val="HeaderChar"/>
    <w:uiPriority w:val="99"/>
    <w:unhideWhenUsed/>
    <w:rsid w:val="00A61365"/>
    <w:pPr>
      <w:tabs>
        <w:tab w:val="center" w:pos="4536"/>
        <w:tab w:val="right" w:pos="9072"/>
      </w:tabs>
      <w:spacing w:line="240" w:lineRule="auto"/>
    </w:pPr>
  </w:style>
  <w:style w:type="character" w:customStyle="1" w:styleId="HeaderChar">
    <w:name w:val="Header Char"/>
    <w:basedOn w:val="DefaultParagraphFont"/>
    <w:link w:val="Header"/>
    <w:uiPriority w:val="99"/>
    <w:rsid w:val="00A61365"/>
    <w:rPr>
      <w:rFonts w:ascii="Verdana" w:hAnsi="Verdana"/>
      <w:color w:val="000000"/>
      <w:sz w:val="18"/>
      <w:szCs w:val="18"/>
    </w:rPr>
  </w:style>
  <w:style w:type="paragraph" w:styleId="Footer">
    <w:name w:val="footer"/>
    <w:basedOn w:val="Normal"/>
    <w:link w:val="FooterChar"/>
    <w:uiPriority w:val="99"/>
    <w:unhideWhenUsed/>
    <w:rsid w:val="00A61365"/>
    <w:pPr>
      <w:tabs>
        <w:tab w:val="center" w:pos="4536"/>
        <w:tab w:val="right" w:pos="9072"/>
      </w:tabs>
      <w:spacing w:line="240" w:lineRule="auto"/>
    </w:pPr>
  </w:style>
  <w:style w:type="character" w:customStyle="1" w:styleId="FooterChar">
    <w:name w:val="Footer Char"/>
    <w:basedOn w:val="DefaultParagraphFont"/>
    <w:link w:val="Footer"/>
    <w:uiPriority w:val="99"/>
    <w:rsid w:val="00A6136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50617">
      <w:bodyDiv w:val="1"/>
      <w:marLeft w:val="0"/>
      <w:marRight w:val="0"/>
      <w:marTop w:val="0"/>
      <w:marBottom w:val="0"/>
      <w:divBdr>
        <w:top w:val="none" w:sz="0" w:space="0" w:color="auto"/>
        <w:left w:val="none" w:sz="0" w:space="0" w:color="auto"/>
        <w:bottom w:val="none" w:sz="0" w:space="0" w:color="auto"/>
        <w:right w:val="none" w:sz="0" w:space="0" w:color="auto"/>
      </w:divBdr>
    </w:div>
    <w:div w:id="654604982">
      <w:bodyDiv w:val="1"/>
      <w:marLeft w:val="0"/>
      <w:marRight w:val="0"/>
      <w:marTop w:val="0"/>
      <w:marBottom w:val="0"/>
      <w:divBdr>
        <w:top w:val="none" w:sz="0" w:space="0" w:color="auto"/>
        <w:left w:val="none" w:sz="0" w:space="0" w:color="auto"/>
        <w:bottom w:val="none" w:sz="0" w:space="0" w:color="auto"/>
        <w:right w:val="none" w:sz="0" w:space="0" w:color="auto"/>
      </w:divBdr>
      <w:divsChild>
        <w:div w:id="708647215">
          <w:marLeft w:val="480"/>
          <w:marRight w:val="0"/>
          <w:marTop w:val="0"/>
          <w:marBottom w:val="0"/>
          <w:divBdr>
            <w:top w:val="none" w:sz="0" w:space="0" w:color="auto"/>
            <w:left w:val="none" w:sz="0" w:space="0" w:color="auto"/>
            <w:bottom w:val="none" w:sz="0" w:space="0" w:color="auto"/>
            <w:right w:val="none" w:sz="0" w:space="0" w:color="auto"/>
          </w:divBdr>
        </w:div>
      </w:divsChild>
    </w:div>
    <w:div w:id="1040134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webSetting" Target="webSettings0.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2D440-05FB-454F-A029-654B45942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5940</Words>
  <Characters>33858</Characters>
  <Application>Microsoft Office Word</Application>
  <DocSecurity>0</DocSecurity>
  <Lines>282</Lines>
  <Paragraphs>79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Berg, E.M. van den (Eva) - HBJZ</dc:creator>
  <cp:lastModifiedBy>Anastasia Stavroulaki</cp:lastModifiedBy>
  <cp:revision>9</cp:revision>
  <dcterms:created xsi:type="dcterms:W3CDTF">2023-04-24T08:10:00Z</dcterms:created>
  <dcterms:modified xsi:type="dcterms:W3CDTF">2023-05-11T13:24:00Z</dcterms:modified>
</cp:coreProperties>
</file>