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>FRANCIA KÖZTÁRSASÁG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Ökológiai Átmeneti Minisztérium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Rendelet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az egyszer használatos műanyagpoharak megengedett maximális műanyagtartalmáról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>NOR: 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Érintett csoportok:</w:t>
      </w:r>
      <w:r>
        <w:t xml:space="preserve"> </w:t>
      </w:r>
      <w:r>
        <w:rPr>
          <w:rFonts w:ascii="Times New Roman" w:hAnsi="Times New Roman"/>
          <w:i/>
          <w:sz w:val="24"/>
        </w:rPr>
        <w:t xml:space="preserve">azok a természetes vagy jogi személyek, akik teljes egészében vagy részben műanyagból készült egyszer használatos poharakat szállítanak, használnak, forgalmaznak vagy bocsátanak rendelkezésre gazdasági tevékenységük céljából, ellenérték fejében vagy ingyenesen. </w:t>
      </w:r>
    </w:p>
    <w:p w14:paraId="239F44E6" w14:textId="17F5440F" w:rsidR="009D19F3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Tárgy</w:t>
      </w:r>
      <w:r>
        <w:rPr>
          <w:rFonts w:ascii="Times New Roman" w:hAnsi="Times New Roman"/>
          <w:i/>
          <w:sz w:val="24"/>
        </w:rPr>
        <w:t>: az egyszer használatos műanyagpoharak megengedett maximális műanyagtartalmának fokozatos csökkentési üteme.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Hatálybalépés</w:t>
      </w:r>
      <w:r>
        <w:rPr>
          <w:rFonts w:ascii="Times New Roman" w:hAnsi="Times New Roman"/>
          <w:i/>
          <w:sz w:val="24"/>
        </w:rPr>
        <w:t>: a rendelet Hivatalos Lapban történő közzétételét követő nap.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Értesítés:</w:t>
      </w:r>
      <w:r>
        <w:rPr>
          <w:rFonts w:ascii="Times New Roman" w:hAnsi="Times New Roman"/>
          <w:i/>
          <w:sz w:val="24"/>
        </w:rPr>
        <w:t xml:space="preserve"> Ez a rendelet az egyszer használatos műanyagpoharak 2021. július 3-tól megengedett maximális műanyagtartalmát határozza meg. A megengedett legmagasabb határértéket 2026 </w:t>
      </w:r>
      <w:r w:rsidRPr="00E92A1A">
        <w:rPr>
          <w:rFonts w:ascii="Times New Roman" w:hAnsi="Times New Roman"/>
          <w:i/>
          <w:sz w:val="24"/>
        </w:rPr>
        <w:t>január 1-jétől</w:t>
      </w:r>
      <w:r>
        <w:rPr>
          <w:rFonts w:ascii="Times New Roman" w:hAnsi="Times New Roman"/>
          <w:i/>
          <w:sz w:val="24"/>
        </w:rPr>
        <w:t xml:space="preserve"> fokozatosan nullára kell csökkenteni. 2024-ben eredményjelentést kell készíteni, hogy nyomon lehessen követni az egyszer használatos poharak helyetti alternatív megoldásokkal kapcsolatos előrehaladást.  A megállapított határidőktől kezdve gyártott vagy importált poharak tekintetében a készletek felhasználására vonatkozó határidő előírására került sor.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rFonts w:eastAsiaTheme="minorHAnsi"/>
          <w:i/>
          <w:kern w:val="0"/>
        </w:rPr>
      </w:pPr>
      <w:r>
        <w:rPr>
          <w:b/>
          <w:i/>
        </w:rPr>
        <w:t>Hivatkozások:</w:t>
      </w:r>
      <w:r>
        <w:rPr>
          <w:i/>
        </w:rPr>
        <w:t xml:space="preserve"> a rendelet az egyes egyszer használatos műanyagtermékek betiltásáról szóló, 2020. december 31-i 2020-1828. sz. rendelettel módosított D. 541-330. cikk alapján készült.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</w:rPr>
      </w:pPr>
      <w:r>
        <w:rPr>
          <w:i/>
        </w:rPr>
        <w:t>Ez a rendelet elérhető a Légifrance honlapon</w:t>
      </w:r>
      <w:r>
        <w:t xml:space="preserve"> (</w:t>
      </w:r>
      <w:hyperlink r:id="rId5" w:history="1">
        <w:r>
          <w:rPr>
            <w:i/>
          </w:rPr>
          <w:t>https://www.legifrance.gouv.fr</w:t>
        </w:r>
      </w:hyperlink>
      <w:r>
        <w:t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Az ökológiai átállásért felelős miniszter, valamint a gazdasági, pénzügyi és gazdaságélénkítési miniszter</w:t>
      </w:r>
    </w:p>
    <w:p w14:paraId="723E0A3D" w14:textId="6366A89B" w:rsidR="007B4BDD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irányelvre, valamint az Európai Bizottságnak xx-án/-én küldött xx. sz. értesítésre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Tekintettel az egyes műanyagtermékek környezetre gyakorolt hatásának csökkentéséről szóló, 2019. június 5-i (EU) 2019/904 európai parlamenti és tanácsi irányelvre és különösen annak 4. cikkére;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Tekintettel a Környezetvédelmi törvénykönyvre, különösen annak L. 541-15-10. cikkére és D. 541-330. cikke (7°) bekezdésére;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rFonts w:ascii="Times New Roman" w:hAnsi="Times New Roman"/>
          <w:sz w:val="24"/>
        </w:rPr>
        <w:lastRenderedPageBreak/>
        <w:t xml:space="preserve">Tekintettel az egyes egyszer használatos műanyagtermékek betiltásáról szóló, 2020. december 31-i 2020-1828. sz. rendeletre és különösen annak 3. cikkére;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</w:rPr>
        <w:t xml:space="preserve">Tekintettel a Környezetvédelmi törvénykönyv L123-19-1. cikke alapján </w:t>
      </w:r>
      <w:r>
        <w:rPr>
          <w:rFonts w:ascii="Times New Roman" w:hAnsi="Times New Roman"/>
          <w:sz w:val="24"/>
          <w:highlight w:val="yellow"/>
        </w:rPr>
        <w:t>xx</w:t>
      </w:r>
      <w:r>
        <w:rPr>
          <w:rFonts w:ascii="Times New Roman" w:hAnsi="Times New Roman"/>
          <w:sz w:val="24"/>
        </w:rPr>
        <w:t xml:space="preserve"> és </w:t>
      </w:r>
      <w:r>
        <w:rPr>
          <w:rFonts w:ascii="Times New Roman" w:hAnsi="Times New Roman"/>
          <w:sz w:val="24"/>
          <w:highlight w:val="yellow"/>
        </w:rPr>
        <w:t>xx</w:t>
      </w:r>
      <w:r>
        <w:rPr>
          <w:rFonts w:ascii="Times New Roman" w:hAnsi="Times New Roman"/>
          <w:sz w:val="24"/>
        </w:rPr>
        <w:t xml:space="preserve"> között lefolytatott nyilvános konzultáció során tett észrevételekre;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 következőket rendeli el: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1. cikk</w:t>
      </w:r>
    </w:p>
    <w:p w14:paraId="18A02092" w14:textId="415925EE" w:rsidR="00D1255D" w:rsidRDefault="002B1AAC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Környezetvédelmi törvénykönyv D. 541-330. cikke (7°) bekezdésének alkalmazásában a „maximális műanyagtartalom” a műanyagok maximális tömegszázaléka.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 cikk</w:t>
      </w:r>
    </w:p>
    <w:p w14:paraId="42BB73FD" w14:textId="3BBAD050" w:rsidR="00D61223" w:rsidRDefault="00D70EFE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I. – A D. 541-330. cikk (7°) bekezdésének b) pontjában említett poharak megengedett maximális műanyagtartalma a következő: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2021. július 3-tól 15%;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2024. január 1-jétől 8%;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II. pontban említett eredményjelentés következtetéseitől függően, 2026. január 1-jétől a műanyagot nem tartalmazó vagy nem számottevő mennyiségben tartalmazó poharak megengedettek. Ez a határidő az eredményjelentés következtetéseivel összhangban felülvizsgálható.</w:t>
      </w:r>
    </w:p>
    <w:p w14:paraId="73A2C6A4" w14:textId="71C39E8F" w:rsidR="00DD2217" w:rsidRDefault="00D70EFE" w:rsidP="002B5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II. — 2024-ben – az érdekelt felekkel konzultálva – eredményjelentést kell készíteni az egyszer használatos műanyagpoharak helyetti alternatív megoldások terén elért haladásról, hogy fel lehessen mérni annak műszaki megvalósíthatóságát, hogy a 2026. január 1-jétől továbbra is engedélyezett poharak ne tartalmazzanak műanyagot.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III. — Azon poharak esetében, amelyeket az I. pontban említett határidők előtt gyártottak vagy importáltak, és amelyek megfelelnek az e határidők előtt megengedett maximális műanyagtartalomnak, az e határidőktől számított 6 hónapos időszakot kell biztosítani a készletek felhasználására.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 cikk</w:t>
      </w:r>
    </w:p>
    <w:p w14:paraId="294341B3" w14:textId="39CAC495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kockázatmegelőzési főigazgató és a vállalkozáspolitikai főigazgató felelős e rendelet végrehajtásáért, amelyet a Francia Köztársaság Hivatalos Lapjában közzé kell tenni.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Kelt: </w:t>
      </w:r>
    </w:p>
    <w:p w14:paraId="4BD5B7FE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Az ökológiai átállásért felelős miniszter,</w:t>
      </w:r>
    </w:p>
    <w:p w14:paraId="610060FD" w14:textId="77777777" w:rsidR="005F2B32" w:rsidRP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miniszter nevében:</w:t>
      </w:r>
    </w:p>
    <w:p w14:paraId="6695C251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kockázatmegelőzési főigazgató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 gazdasági, helyreállítási és pénzügyminiszter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miniszter nevében: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vállalkozáspolitikai főigazgató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E92A1A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2A1A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Dimitra Loupi</cp:lastModifiedBy>
  <cp:revision>5</cp:revision>
  <cp:lastPrinted>2020-07-07T16:39:00Z</cp:lastPrinted>
  <dcterms:created xsi:type="dcterms:W3CDTF">2021-04-28T09:13:00Z</dcterms:created>
  <dcterms:modified xsi:type="dcterms:W3CDTF">2021-05-05T12:41:00Z</dcterms:modified>
</cp:coreProperties>
</file>