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15C2E95D" w:rsidR="00DF230E" w:rsidRDefault="008E15A3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5077CFC3">
                <wp:simplePos x="0" y="0"/>
                <wp:positionH relativeFrom="column">
                  <wp:posOffset>3788410</wp:posOffset>
                </wp:positionH>
                <wp:positionV relativeFrom="paragraph">
                  <wp:posOffset>34290</wp:posOffset>
                </wp:positionV>
                <wp:extent cx="1125220" cy="485140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ШВЕДСКА АГЕНЦИЯ ПО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3pt;margin-top:2.7pt;width:88.6pt;height:38.2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ШВЕДСКА АГЕНЦИЯ ПО ТРАНСПОРТА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48D240C1">
            <wp:simplePos x="0" y="0"/>
            <wp:positionH relativeFrom="column">
              <wp:posOffset>3309913</wp:posOffset>
            </wp:positionH>
            <wp:positionV relativeFrom="paragraph">
              <wp:posOffset>-635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CC">
        <w:t xml:space="preserve">Устав на Шведската агенция </w:t>
      </w:r>
      <w:r>
        <w:br/>
      </w:r>
      <w:r w:rsidR="00BF48CC">
        <w:t>по транспорта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6F5AB991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Правилник на Шведската агенция по транспорт относно </w:t>
      </w:r>
      <w:sdt>
        <w:sdtPr>
          <w:alias w:val="Щракнете тук и въведете текст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техническите изисквания за автомобилни влакове с дължина над 25,25</w:t>
          </w:r>
          <w:r w:rsidR="008E15A3">
            <w:rPr>
              <w:lang w:val="el-GR"/>
            </w:rPr>
            <w:t> </w:t>
          </w:r>
          <w:r>
            <w:t>метра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000000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Година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[Година]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№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[№]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Публикувано</w:t>
                            </w:r>
                            <w:r>
                              <w:br/>
                              <w:t xml:space="preserve">на </w:t>
                            </w:r>
                            <w:sdt>
                              <w:sdtPr>
                                <w:alias w:val="Изберете дата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bg-BG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[Изберете дата]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Въведете серия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ПЪТ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000000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Въведете подсерия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[Въведете подсерия]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Година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[Година]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№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[№]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Публикувано</w:t>
                      </w:r>
                      <w:r>
                        <w:br/>
                      </w:r>
                      <w:r>
                        <w:t xml:space="preserve">на </w:t>
                      </w:r>
                      <w:sdt>
                        <w:sdtPr>
                          <w:alias w:val="Изберете дата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bg-BG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[Изберете дата]</w:t>
                          </w:r>
                        </w:sdtContent>
                      </w:sdt>
                    </w:p>
                    <w:sdt>
                      <w:sdtPr>
                        <w:alias w:val="Въведете серия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ПЪТ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Въведете подсерия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[Въведете подсерия]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прието на </w:t>
      </w:r>
      <w:sdt>
        <w:sdtPr>
          <w:rPr>
            <w:szCs w:val="22"/>
          </w:rPr>
          <w:alias w:val="Изберете дата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bg-BG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[Изберете дата]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По силата на глава 4, членове 12, 13 и 17е от Наредбата за движението по пътищата (1998:1276) и глава 8, раздел 16 от Наредбата за превозните средства (2009:211), Шведската агенция по транспорта определя</w:t>
      </w:r>
      <w:r>
        <w:rPr>
          <w:rStyle w:val="FootnoteReference"/>
        </w:rPr>
        <w:footnoteReference w:id="2"/>
      </w:r>
      <w:r>
        <w:t xml:space="preserve"> следното.</w:t>
      </w:r>
    </w:p>
    <w:p w14:paraId="4552D472" w14:textId="047D4784" w:rsidR="00B71032" w:rsidRDefault="00543345" w:rsidP="00654E7A">
      <w:pPr>
        <w:pStyle w:val="Heading3"/>
      </w:pPr>
      <w:r>
        <w:t>Уводни разпоредби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 xml:space="preserve">Член 1 </w:t>
      </w:r>
      <w:r>
        <w:t>Настоящият правилник определя подробни правила за конструкцията и оборудването на автомобилните влакове с дължина над 25,25 метра, но не повече от 34,5 метра, както и за превозните средства, включени в автомобилния влак. Правилникът се прилагат при пътуване по пътища, при които автомобилният оператор, съгласно глава 4, раздел 17е от Наредбата за движението по пътищата (1998:1276), е издал правилник, съгласно който дължината на пътния влак не може да надвишава 34,5 метра.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Член 2 </w:t>
      </w:r>
      <w:r>
        <w:t>Стоки, които законно се предлагат в друга държава — членка на Европейския съюз, или в Турция, или произхождат от държава от ЕАСТ, която е страна по Договора за ЕИП, и са законно пуснати на пазара в такава държава, се приемат по презумпция, че са в съответствие с настоящите разпоредби. Прилагането на този правилник е обхванато от Регламент (ЕС) 2019/515 на Европейския парламент и на Съвета от 19 март 2019 г. относно взаимното признаване на стоки, законно предлагани на пазара в друга държава членка, и за отмяна на Регламент (ЕО) № 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lastRenderedPageBreak/>
        <w:t>Член 3 </w:t>
      </w:r>
      <w:r>
        <w:t xml:space="preserve">Понятията, използвани в настоящия правилник, имат значението, посочено в Закона за определенията на движението по пътищата (2001:559). </w:t>
      </w:r>
    </w:p>
    <w:p w14:paraId="29432767" w14:textId="058536F8" w:rsidR="00553E8F" w:rsidRDefault="00031159" w:rsidP="00553E8F">
      <w:pPr>
        <w:pStyle w:val="Styckemedindrag"/>
      </w:pPr>
      <w:r>
        <w:t>В противен случай, за целите на настоящия правилник, се използват следните понятия и определения.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t>A-двойно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състав от превозни средства, състояща се от </w:t>
            </w:r>
            <w:r>
              <w:rPr>
                <w:i/>
              </w:rPr>
              <w:t xml:space="preserve">влекач, </w:t>
            </w:r>
            <w:r>
              <w:t>прикачен към полуремарке и ремарке с прикачено полуремарке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AB-двойно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състав от превозни средства, състоящ се от тежкотоварно превозно средство, прикачено към ремарке с прикачено към </w:t>
            </w:r>
            <w:r>
              <w:rPr>
                <w:i/>
              </w:rPr>
              <w:t>свързващо полуремарке</w:t>
            </w:r>
            <w:r>
              <w:t>, което от своя страна е свързано с полуремарке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влекач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тежкотоварно превозно средство, оборудвано със теглително-прикачно устройство (лафет) за полуремарке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свързващо полуремарке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полуремарке със заден лафет за прикачване към друго полуремарке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 xml:space="preserve">стойност на производителност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стойност, определена от производителя, указваща натоварването, което превозното средство и неговото теглително-прикачно устройство могат да издържат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самонасочваща се ос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кормилна ос, чийто ъгъл на отклонение се променя от триенето на гумата в пътя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Член 4 </w:t>
      </w:r>
      <w:r>
        <w:t>За целите на настоящия правилник се прилагат следните определения:</w:t>
      </w:r>
    </w:p>
    <w:p w14:paraId="6E790FE2" w14:textId="702175ED" w:rsidR="0054771A" w:rsidRPr="00A313CC" w:rsidRDefault="0054771A" w:rsidP="0054771A">
      <w:pPr>
        <w:pStyle w:val="Styckemedindrag"/>
      </w:pPr>
      <w:r>
        <w:t>– Наредба 13 на ИКЕ: Единни разпоредби относно одобрението на превозни средства от категории M, N и O по отношение на спирачната система,</w:t>
      </w:r>
    </w:p>
    <w:p w14:paraId="3ADC911D" w14:textId="7838A56B" w:rsidR="0054771A" w:rsidRPr="00A313CC" w:rsidRDefault="0054771A" w:rsidP="00425CD0">
      <w:pPr>
        <w:pStyle w:val="Styckemedindrag"/>
      </w:pPr>
      <w:r>
        <w:t>– Наредба 55 на ИКЕ: Единни разпоредби относно одобрението на компонентите на механичните теглително-прикачни устройства от състави от превозни средства.</w:t>
      </w:r>
    </w:p>
    <w:p w14:paraId="09BB2E7C" w14:textId="4AFA7F89" w:rsidR="00BB64A3" w:rsidRPr="00BB64A3" w:rsidRDefault="00BB64A3" w:rsidP="00BB64A3">
      <w:pPr>
        <w:pStyle w:val="Heading3"/>
      </w:pPr>
      <w:r>
        <w:t>Общи изисквания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Член 5 </w:t>
      </w:r>
      <w:r>
        <w:rPr>
          <w:rStyle w:val="Fparagrafbeteckning"/>
          <w:b w:val="0"/>
        </w:rPr>
        <w:t xml:space="preserve">автомобилният влак се състои от състав от А-двойно или АВ-двойно. </w:t>
      </w:r>
      <w:r>
        <w:t>Превозните средства и автомобилните влакове трябва да отговарят на условията, определени в членове 6—12. Освен това съставът А-двойно трябва да отговаря на условията, определени в членове 13—23, а съставът АВ-двойно трябва да отговаря на условията, определени в членове 24—31.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lastRenderedPageBreak/>
        <w:t>Член 6 </w:t>
      </w:r>
      <w:r>
        <w:t>Тежкотоварното превозно средство трябва да има най-малко три оси. Ремаркетата, включени в автомобилния влак, трябва да имат най-малко две оси.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 xml:space="preserve">Член 7 </w:t>
      </w:r>
      <w:r>
        <w:t>Превозните средства с не повече от три оси трябва да имат система за стабилност съгласно Наредба 13 на ИКЕ, серия от изменения 11, допълнение 3 или по-нова версия.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Член 8 </w:t>
      </w:r>
      <w:r>
        <w:rPr>
          <w:rStyle w:val="Fparagrafbeteckning"/>
          <w:b w:val="0"/>
        </w:rPr>
        <w:t>Тежкотоварното превозно средство трябва да разполага с оборудване, което позволява на водача да наблюдава дясната страна на пътния влак от седалката на водача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Член 9 </w:t>
      </w:r>
      <w:r>
        <w:t>Всички превозни средства на пътния влак трябва да бъдат оборудвани с електронни спирачни системи с функция против блокиране на колелата и автоматично адаптиране на спирачките съгласно Правило 13 на ИКЕ, изменено със серия 11, или по-нова.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Член 10 </w:t>
      </w:r>
      <w:r>
        <w:t>Лафетът на ремаркето трябва да се върти около вертикална ос през точката на прикачване.</w:t>
      </w:r>
    </w:p>
    <w:p w14:paraId="5E1694F9" w14:textId="3CF383C6" w:rsidR="004E0F5A" w:rsidRDefault="004E0F5A" w:rsidP="004E0F5A">
      <w:pPr>
        <w:pStyle w:val="Heading3"/>
      </w:pPr>
      <w:r>
        <w:t>Знаци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Член 11 </w:t>
      </w:r>
      <w:r>
        <w:t>Отпред и отзад на пътния влак трябва да има монтирани знаците, както е показано на фигура 1. Долният край на знаците не трябва да е на повече от 2,0 метра над пътя. Знакът, гледащ напред, трябва да бъде разположен под долния ръб на предното стъкло. Знакът, гледащ назад, трябва да е вляво от осовата линия на превозното средство.</w:t>
      </w:r>
    </w:p>
    <w:p w14:paraId="0B74021B" w14:textId="239ACB2F" w:rsidR="00BD677C" w:rsidRDefault="008C4B99" w:rsidP="00876EDB">
      <w:pPr>
        <w:pStyle w:val="Styckemedindrag"/>
      </w:pPr>
      <w:r>
        <w:t>Знаците трябва да имат:</w:t>
      </w:r>
    </w:p>
    <w:p w14:paraId="44B2EF3A" w14:textId="61AEB2A1" w:rsidR="00EB7A30" w:rsidRPr="006800D8" w:rsidRDefault="00EB7A30" w:rsidP="00EB7A30">
      <w:pPr>
        <w:pStyle w:val="Styckemedindrag"/>
      </w:pPr>
      <w:r>
        <w:t>1. жълт фон и червен кант, които са светлоотразителни,</w:t>
      </w:r>
    </w:p>
    <w:p w14:paraId="1F904A48" w14:textId="464B2F56" w:rsidR="00EB7A30" w:rsidRPr="005C2570" w:rsidRDefault="00EB7A30" w:rsidP="00EB7A30">
      <w:pPr>
        <w:pStyle w:val="Styckemedindrag"/>
      </w:pPr>
      <w:r>
        <w:t>2. кант с ширина от 3,0 сантиметра,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текст с шрифт Tratexsvart, размер на текста 75 милиметра, и</w:t>
      </w:r>
    </w:p>
    <w:p w14:paraId="160C24F8" w14:textId="541D68BF" w:rsidR="00EB7A30" w:rsidRDefault="00EB7A30" w:rsidP="00EB7A30">
      <w:pPr>
        <w:pStyle w:val="Styckemedindrag"/>
      </w:pPr>
      <w:r>
        <w:t>4. ширина не по-малка от 0,90 метра и височина не по-малка от 0,45 метра.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04BD2D1C">
                <wp:simplePos x="0" y="0"/>
                <wp:positionH relativeFrom="column">
                  <wp:posOffset>224986</wp:posOffset>
                </wp:positionH>
                <wp:positionV relativeFrom="paragraph">
                  <wp:posOffset>1537921</wp:posOffset>
                </wp:positionV>
                <wp:extent cx="3256670" cy="495300"/>
                <wp:effectExtent l="0" t="0" r="127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670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BF48CC" w:rsidRDefault="00BF48CC" w:rsidP="00BF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Дълъг пътен влак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17.7pt;margin-top:121.1pt;width:256.45pt;height:39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" fillcolor="#ffcb25" stroked="f" strokeweight=".5pt">
                <v:textbox inset="0,0,0,0">
                  <w:txbxContent>
                    <w:p w14:paraId="40B229A7" w14:textId="1F4E24A1" w:rsidR="00BF48CC" w:rsidRPr="00BF48CC" w:rsidRDefault="00BF48CC" w:rsidP="00BF48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Дълъг пътен влак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Съотношението между ширината и височината е 2:1.</w:t>
      </w:r>
      <w:r>
        <w:rPr>
          <w:rFonts w:ascii="Segoe UI" w:hAnsi="Segoe UI"/>
          <w:color w:val="000000"/>
          <w:sz w:val="20"/>
        </w:rPr>
        <w:t xml:space="preserve"> </w:t>
      </w:r>
      <w:r>
        <w:t>Ако размерът на знака се увеличи, ширината на канта и размерът на текста също се увеличават съответно.</w:t>
      </w:r>
    </w:p>
    <w:p w14:paraId="6A13AE47" w14:textId="53EBCBA3" w:rsidR="00B204CA" w:rsidRDefault="00B204CA" w:rsidP="00DD47B8">
      <w:pPr>
        <w:pStyle w:val="Tabelltext"/>
      </w:pPr>
      <w:r>
        <w:t>Фигура 1. Дизайн на знак за дълъг пътен влак.</w:t>
      </w:r>
    </w:p>
    <w:p w14:paraId="06E84C76" w14:textId="72560BE8" w:rsidR="00C807A6" w:rsidRDefault="00EE3B53">
      <w:pPr>
        <w:pStyle w:val="Heading3"/>
      </w:pPr>
      <w:r>
        <w:t>Задвижващи оси и мощност на двигателя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Член 12 </w:t>
      </w:r>
      <w:r>
        <w:t>Ако общото брутно тегло на автомобилния влак надвишава 64 тона, тежкотоварното превозно средство трябва да има най-малко две задвижващи оси и мощност на двигателя най-малко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Специални условия за състав А-двойно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Фигура 2. Състав A-двойно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Предно полуремарке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Член 13 </w:t>
      </w:r>
      <w:r>
        <w:t>Последната ос на предното полуремарке от състав А-двойно трябва да се самонасочва при скорост до минимум 30 km/h, но не повече от 40 km/h.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Член 14 </w:t>
      </w:r>
      <w:r>
        <w:t>Ако предното полуремарке има две оси, разстоянието между предното теглително-прикачно устройство и центъра на първата ос трябва да бъде най-малко 7,7 метра.</w:t>
      </w:r>
    </w:p>
    <w:p w14:paraId="0B9C6A61" w14:textId="26E90CCD" w:rsidR="002A63C1" w:rsidRPr="00DB5916" w:rsidRDefault="006B128F" w:rsidP="00840699">
      <w:pPr>
        <w:pStyle w:val="Styckemedindrag"/>
      </w:pPr>
      <w:r>
        <w:t>Ако предното полуремарке има три оси, разстоянието между предното теглително-прикачно устройство и центъра на първата ос трябва да бъде най-малко 7,0 m.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lastRenderedPageBreak/>
        <w:t>Член 15 </w:t>
      </w:r>
      <w:r>
        <w:t>Разстоянието между последната ос и задното теглително-прикачно устройство на предното полуремарке не трябва да надвишава 1,4 m.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Член 16 </w:t>
      </w:r>
      <w:r>
        <w:t>Ако предното полуремарке има най-малко три оси, първата ос трябва да може да се прибира. По време на пътуването трябва да е възможно повдигането и спускането на оста от мястото на водача.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Задно полуремарке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Член 17 </w:t>
      </w:r>
      <w:r>
        <w:t>Разстоянието между предното теглително-прикачно устройство и центъра на първата ос на задно полуремарке трябва да бъде най-малко 6,2 m.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Теглително-прикачни устройства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Член 18 </w:t>
      </w:r>
      <w:r>
        <w:t>Теглително-прикачните устройства трябва да бъдат одобрени в съответствие със серия 01 за изменение на Правило 55 на ИКЕ или по-нова. Устройствата трябва да съответстват на правилника на Агенцията по транспорта (TSFS 2019:127) относно скачването на автомобили и ремаркета по отношение на стойностите за производителност, или членове 19—22.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Член 19 </w:t>
      </w:r>
      <w:r>
        <w:t>Теглително-прикачното устройство на влекача трябва да има стойност D от най-малко 130 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Член 20 </w:t>
      </w:r>
      <w:r>
        <w:t>Предното теглително-прикачно устройство на предното полуремарке трябва да има стойност D най-малко 130 kN. Задното теглително-прикачно устройство трябва да има стойност DC от най-малко 120 kN, стойност D от най-малко 130 kN и стойност V от най-малко 32 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t>Член 21 </w:t>
      </w:r>
      <w:r>
        <w:t>Предното теглително-прикачно устройство на ремаркето трябва да има стойност DC от най-малко 120 kN, стойност D от най-малко 130 kN и стойност V от най-малко 32 kN. Задното теглително-прикачно устройство трябва да има стойност D от най-малко 130 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Член 22 </w:t>
      </w:r>
      <w:r>
        <w:t>Теглително-прикачното устройство на задното полуремарке трябва да има стойност D от най-малко 130 kN.</w:t>
      </w:r>
    </w:p>
    <w:p w14:paraId="1B2BE8B3" w14:textId="1C2C838A" w:rsidR="00837AB8" w:rsidRDefault="00837AB8" w:rsidP="00572D73">
      <w:pPr>
        <w:pStyle w:val="Heading4"/>
      </w:pPr>
      <w:r>
        <w:t>Дерогация от разпоредбите относно разстоянията между осите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Член 23 </w:t>
      </w:r>
      <w:r>
        <w:t xml:space="preserve">Независимо от глава 4, член 13, първи параграф, точка 4 от Наредбата за движението по пътищата (1998:1276), разстоянието между осите на пътя, принадлежащи към клас 1 на товароносимост, може да бъде по-малко от 5 m, но не и 4 m. Това се прилага, ако общото тегло на талигата и тройната ос е по-малка от максимално допустимата брутна </w:t>
      </w:r>
      <w:r>
        <w:lastRenderedPageBreak/>
        <w:t>маса за съответното разстояние между първата и последната ос за тези групи оси, както е посочено в приложение 1 към посочената наредба.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Специални условия за състави АВ-двойно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Фигура 3. Състав AB двойно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Полуремарке с предна връзка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Член 24 </w:t>
      </w:r>
      <w:r>
        <w:t>Последната ос на свързващото полуремарке в състав AB двойно трябва да се самонасочва при скорост до минимум 30 km/h, но не повече от 40 km/h.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Задно полуремарке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Член 25 </w:t>
      </w:r>
      <w:r>
        <w:t>Разстоянието между предното теглително-прикачно устройство и центъра на първата ос на задно полуремарке трябва да бъде най-малко 6,2 m.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Теглително-прикачни устройств</w:t>
      </w:r>
      <w:r>
        <w:rPr>
          <w:rStyle w:val="Fparagrafbeteckning"/>
          <w:rFonts w:asciiTheme="minorHAnsi" w:hAnsiTheme="minorHAnsi"/>
          <w:b w:val="0"/>
        </w:rPr>
        <w:t>а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Член 26</w:t>
      </w:r>
      <w:r>
        <w:rPr>
          <w:rStyle w:val="Fparagrafbeteckning"/>
        </w:rPr>
        <w:t> </w:t>
      </w:r>
      <w:r>
        <w:t>Теглително-прикачните устройства трябва да бъдат одобрени в съответствие със серия 01 за изменение на Правило № 55 на ИКЕ или по-нова версия. По отношение на стойностите за производителност устройствата трябва да съответстват на членове 27—31.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Член 27 </w:t>
      </w:r>
      <w:r>
        <w:t>Теглително-прикачното устройство на тежкотоварното превозно средство трябва да има стойност DC от най-малко 150 kN и стойност V от най-малко 35 kN. Стойността DC обаче може да бъде по-малка от 150 kN, но не по-малко от 130 kN, ако теглително-прикачното устройство има стойност D от най-малко 180 kN и стойност V от най-малко 60 kN.</w:t>
      </w:r>
    </w:p>
    <w:p w14:paraId="19FE55DC" w14:textId="04D31C61" w:rsidR="001E5EAB" w:rsidRDefault="001E5EAB" w:rsidP="00D52C0D">
      <w:pPr>
        <w:pStyle w:val="Styckemedindrag"/>
      </w:pPr>
      <w:r>
        <w:t>Ако общата брутна маса на автомобилния влак е по-голяма от 64 тона, но не повече от 70 тона, теглително-прикачното устройство трябва да има стойност DC от най-малко 160 kN и стойност V от най-малко 35 kN. Стойността DC обаче може да бъде по-малка от 160 kN, но не по-малко от 130 kN, ако теглително-прикачното устройство има стойност D от най-малко 180 kN и стойност V от най-малко 60 kN.</w:t>
      </w:r>
    </w:p>
    <w:p w14:paraId="038F3E58" w14:textId="38BFECB2" w:rsidR="00894B88" w:rsidRPr="00894B88" w:rsidRDefault="00894B88" w:rsidP="00D52C0D">
      <w:pPr>
        <w:pStyle w:val="Styckemedindrag"/>
      </w:pPr>
      <w:r>
        <w:t xml:space="preserve">Ако общата брутна маса на автомобилния влак е по-голяма от 70 тона, но не повече от 74 тона, теглително-прикачното устройство трябва да има стойност DC от най-малко 180 kN и стойност V от най-малко 35 </w:t>
      </w:r>
      <w:r>
        <w:lastRenderedPageBreak/>
        <w:t>kN. Стойността DC обаче може да бъде по-малка от 180 kN, но не по-малко от 130 kN, ако теглително-прикачното устройство има стойност D най-малко 200 kN и стойност V от най-малко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Член 28 </w:t>
      </w:r>
      <w:r>
        <w:t>Предното теглително-прикачно устройство на ремаркето трябва да има стойност DC от най-малко 150 kN и стойност V от най-малко 35 kN. Стойността DC обаче може да бъде по-малка от 150 kN, но не по-малко от 130 kN, ако теглително-прикачното устройство има стойност D от най-малко 180 kN и стойност V от най-малко 60 kN.</w:t>
      </w:r>
    </w:p>
    <w:p w14:paraId="5DA847D2" w14:textId="239D1819" w:rsidR="001E5EAB" w:rsidRDefault="001E5EAB" w:rsidP="001E5EAB">
      <w:pPr>
        <w:pStyle w:val="Styckemedindrag"/>
      </w:pPr>
      <w:r>
        <w:t>Ако общата брутна маса на автомобилния влак е по-голяма от 64 тона, но не повече от 70 тона, теглително-прикачното устройство трябва да има стойност DC от най-малко 160 kN и стойност V от най-малко 35 kN. Стойността DC обаче може да бъде по-малка от 160 kN, но не по-малко от 130 kN, ако теглително-прикачното устройство има стойност D от най-малко 180 kN и стойност V от най-малко 60 kN.</w:t>
      </w:r>
    </w:p>
    <w:p w14:paraId="2790CFD2" w14:textId="7E40EFC3" w:rsidR="00700B2F" w:rsidRDefault="001E5EAB" w:rsidP="001E5EAB">
      <w:pPr>
        <w:pStyle w:val="Styckemedindrag"/>
      </w:pPr>
      <w:r>
        <w:t>Ако общата брутна маса на автомобилния влак е по-голяма от 70 тона, но не повече от 74 тона, теглително-прикачното устройство трябва да има стойност DC от най-малко 180 kN и стойност V от най-малко 35 kN. Стойността DC обаче може да бъде по-малка от 180 kN, но не по-малко от 130 kN, ако теглително-прикачното устройство има стойност D най-малко 200 kN и стойност V от най-малко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Член 29 </w:t>
      </w:r>
      <w:r>
        <w:t>Задното теглително-прикачно устройство на ремаркето трябва да има стойност D от най-малко 130 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Член 30 </w:t>
      </w:r>
      <w:r>
        <w:rPr>
          <w:rStyle w:val="Fparagrafbeteckning"/>
          <w:b w:val="0"/>
        </w:rPr>
        <w:t>П</w:t>
      </w:r>
      <w:r>
        <w:t>редното теглително-прикачно устройство на свързващото полуремарке трябва да има стойност D от най-малко 130 kN. Задното теглително-прикачно устройство трябва да има стойност D от най-малко 130 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Член 31 </w:t>
      </w:r>
      <w:r>
        <w:t>Теглително-прикачното устройство на задното полуремарке трябва да има стойност D от най-малко 130 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2C951861" w:rsidR="00FF6EB9" w:rsidRPr="005F2C9D" w:rsidRDefault="00FF6EB9" w:rsidP="00FF6EB9">
      <w:pPr>
        <w:pStyle w:val="Flinjeikrafttrdande"/>
        <w:rPr>
          <w:lang w:val="el-GR"/>
        </w:rPr>
      </w:pPr>
      <w:r>
        <w:t xml:space="preserve">Настоящият правилник влиза в сила на </w:t>
      </w:r>
      <w:r>
        <w:rPr>
          <w:highlight w:val="yellow"/>
        </w:rPr>
        <w:t xml:space="preserve">ден месец </w:t>
      </w:r>
      <w:r>
        <w:t>година.</w:t>
      </w:r>
    </w:p>
    <w:p w14:paraId="3B391984" w14:textId="3F2848AE" w:rsidR="00047D65" w:rsidRPr="00047D65" w:rsidRDefault="00047D65" w:rsidP="00EA023A">
      <w:pPr>
        <w:pStyle w:val="Beslutandeochfredragande"/>
      </w:pPr>
      <w:r>
        <w:t>От името на Шведската транспортна агенция</w:t>
      </w:r>
      <w:r>
        <w:br/>
      </w:r>
      <w:r>
        <w:br/>
        <w:t>JONAS BJELFVENSTAM</w:t>
      </w:r>
      <w:r>
        <w:br/>
        <w:t>Omar Bagdadi</w:t>
      </w:r>
      <w:r>
        <w:br/>
        <w:t>(пътен и железопътен транспорт)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7FCE" w14:textId="77777777" w:rsidR="008F1DDA" w:rsidRDefault="008F1DDA">
      <w:r>
        <w:separator/>
      </w:r>
    </w:p>
    <w:p w14:paraId="4EC1E737" w14:textId="77777777" w:rsidR="008F1DDA" w:rsidRDefault="008F1DDA"/>
  </w:endnote>
  <w:endnote w:type="continuationSeparator" w:id="0">
    <w:p w14:paraId="68A773DE" w14:textId="77777777" w:rsidR="008F1DDA" w:rsidRDefault="008F1DDA">
      <w:r>
        <w:continuationSeparator/>
      </w:r>
    </w:p>
    <w:p w14:paraId="7B14ED47" w14:textId="77777777" w:rsidR="008F1DDA" w:rsidRDefault="008F1DDA"/>
  </w:endnote>
  <w:endnote w:type="continuationNotice" w:id="1">
    <w:p w14:paraId="5C8809CC" w14:textId="77777777" w:rsidR="008F1DDA" w:rsidRDefault="008F1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47548E42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5F2C9D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47548E42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5F2C9D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DF8D" w14:textId="77777777" w:rsidR="008F1DDA" w:rsidRDefault="008F1DDA"/>
  </w:footnote>
  <w:footnote w:type="continuationSeparator" w:id="0">
    <w:p w14:paraId="13080980" w14:textId="77777777" w:rsidR="008F1DDA" w:rsidRDefault="008F1DDA">
      <w:r>
        <w:continuationSeparator/>
      </w:r>
    </w:p>
    <w:p w14:paraId="36611F7C" w14:textId="77777777" w:rsidR="008F1DDA" w:rsidRDefault="008F1DDA"/>
  </w:footnote>
  <w:footnote w:type="continuationNotice" w:id="1">
    <w:p w14:paraId="24E75C19" w14:textId="77777777" w:rsidR="008F1DDA" w:rsidRDefault="008F1DDA"/>
    <w:p w14:paraId="5AC4FA34" w14:textId="77777777" w:rsidR="008F1DDA" w:rsidRDefault="008F1DDA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Вж. Директива (ЕС) 2015/1535 на Европейския парламент</w:t>
      </w:r>
      <w:r>
        <w:rPr>
          <w:i/>
        </w:rPr>
        <w:t xml:space="preserve"> </w:t>
      </w:r>
      <w:r>
        <w:t>и на Съвета от 9 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000000" w:rsidP="008E15A3">
    <w:pPr>
      <w:pStyle w:val="FSnr-sidhuvud"/>
      <w:ind w:left="-2070"/>
    </w:pPr>
    <w:sdt>
      <w:sdtPr>
        <w:alias w:val="Устав"/>
        <w:id w:val="-668563778"/>
        <w:text/>
      </w:sdtPr>
      <w:sdtContent>
        <w:r w:rsidR="00E044E9">
          <w:t>TSFS 20</w:t>
        </w:r>
      </w:sdtContent>
    </w:sdt>
    <w:sdt>
      <w:sdtPr>
        <w:alias w:val="Година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[Година]</w:t>
        </w:r>
      </w:sdtContent>
    </w:sdt>
    <w:r w:rsidR="00E044E9">
      <w:t>:</w:t>
    </w:r>
    <w:sdt>
      <w:sdtPr>
        <w:alias w:val="№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[№]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000000" w:rsidP="008E15A3">
    <w:pPr>
      <w:pStyle w:val="FSnr-sidhuvud"/>
      <w:ind w:right="-2079"/>
      <w:jc w:val="right"/>
    </w:pPr>
    <w:sdt>
      <w:sdtPr>
        <w:alias w:val="Устав"/>
        <w:id w:val="1150257239"/>
        <w:text/>
      </w:sdtPr>
      <w:sdtContent>
        <w:r w:rsidR="00E044E9">
          <w:t>TSFS 20</w:t>
        </w:r>
      </w:sdtContent>
    </w:sdt>
    <w:sdt>
      <w:sdtPr>
        <w:alias w:val="Година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[Година]</w:t>
        </w:r>
      </w:sdtContent>
    </w:sdt>
    <w:r w:rsidR="00E044E9">
      <w:t>:</w:t>
    </w:r>
    <w:sdt>
      <w:sdtPr>
        <w:alias w:val="№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[№]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2C9D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15A3"/>
    <w:rsid w:val="008E4EDB"/>
    <w:rsid w:val="008F09A8"/>
    <w:rsid w:val="008F1DDA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bg-BG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bg-BG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[Изберете 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3F3EC3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root xmlns="consensis-fs">
  <fs-fields>
    <fs-no-prefix/>
    <fs-year/>
    <fs-no/>
    <fs-date/>
    <fs-series>ПЪТ</fs-series>
    <fs-subseries/>
    <fs-heading>техническите изисквания за автомобилни влакове с дължина над 25,25 метра</fs-heading>
  </fs-fields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4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customXml/itemProps5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19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Transportstyrelsens föreskrifter om tekniska krav på fordonståg med längd över 25,25 meter</vt:lpstr>
      <vt:lpstr>Transportstyrelsens föreskrifter om tekniska krav på fordonståg med längd över 25,25 meter</vt:lpstr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5</cp:revision>
  <cp:lastPrinted>2023-03-07T06:51:00Z</cp:lastPrinted>
  <dcterms:created xsi:type="dcterms:W3CDTF">2023-04-28T11:45:00Z</dcterms:created>
  <dcterms:modified xsi:type="dcterms:W3CDTF">2023-05-11T10:57:00Z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