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537A9893" w:rsidR="00DF230E" w:rsidRDefault="00BC04E2"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66F714B1">
            <wp:simplePos x="0" y="0"/>
            <wp:positionH relativeFrom="column">
              <wp:posOffset>3338830</wp:posOffset>
            </wp:positionH>
            <wp:positionV relativeFrom="paragraph">
              <wp:posOffset>-92710</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7CEBA711">
                <wp:simplePos x="0" y="0"/>
                <wp:positionH relativeFrom="column">
                  <wp:posOffset>3795624</wp:posOffset>
                </wp:positionH>
                <wp:positionV relativeFrom="paragraph">
                  <wp:posOffset>-36093</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DEN SVENSKE TRAFIKSTYRELSE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8.85pt;margin-top:-2.85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" fillcolor="white [3201]" stroked="f" strokeweight=".5pt">
                <v:textbox inset="0,0,0,0">
                  <w:txbxContent>
                    <w:p w14:paraId="0E4F1C78" w14:textId="649D1583" w:rsidR="00BF48CC" w:rsidRPr="00BF48CC" w:rsidRDefault="00BF48CC">
                      <w:pPr>
                        <w:rPr>
                          <w:b/>
                          <w:bCs/>
                          <w:sz w:val="22"/>
                          <w:szCs w:val="22"/>
                        </w:rPr>
                      </w:pPr>
                      <w:r>
                        <w:rPr>
                          <w:b/>
                          <w:sz w:val="22"/>
                        </w:rPr>
                        <w:t>DEN SVENSKE TRAFIKSTYRELSE</w:t>
                      </w:r>
                    </w:p>
                  </w:txbxContent>
                </v:textbox>
              </v:shape>
            </w:pict>
          </mc:Fallback>
        </mc:AlternateContent>
      </w:r>
      <w:r w:rsidR="00BF48CC">
        <w:t xml:space="preserve">Den svenske trafikstyrelses </w:t>
      </w:r>
      <w:r w:rsidR="00BF48CC">
        <w:br/>
        <w:t>lovsamling</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Den svenske trafikstyrelses forskrifter om </w:t>
      </w:r>
      <w:sdt>
        <w:sdtPr>
          <w:alias w:val="Klik her og indtast tekst"/>
          <w:tag w:val="Rub"/>
          <w:id w:val="1080104925"/>
          <w:placeholder>
            <w:docPart w:val="F22C8F9D5F9340BE9A821B78F374FAD6"/>
          </w:placeholder>
          <w:dataBinding w:prefixMappings="xmlns:ns0='consensis-fs'" w:xpath="/ns0:root[1]/ns0:fs-fields[1]/ns0:fs-heading[1]" w:storeItemID="{F222B965-9C48-4AC7-962E-E2AF3EEF1550}"/>
          <w:text/>
        </w:sdtPr>
        <w:sdtEndPr/>
        <w:sdtContent>
          <w:r>
            <w:t>tekniske krav til vogntog med en længde på over 25,25 meter</w:t>
          </w:r>
        </w:sdtContent>
      </w:sdt>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7479D4"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År"/>
                                <w:tag w:val="År"/>
                                <w:id w:val="-1222900966"/>
                                <w:showingPlcHdr/>
                                <w:dataBinding w:prefixMappings="xmlns:ns0='consensis-fs'" w:xpath="/ns0:root[1]/ns0:fs-fields[1]/ns0:fs-year[1]" w:storeItemID="{F222B965-9C48-4AC7-962E-E2AF3EEF1550}"/>
                                <w:text/>
                              </w:sdtPr>
                              <w:sdtEndPr/>
                              <w:sdtContent>
                                <w:r w:rsidR="00E044E9">
                                  <w:rPr>
                                    <w:rStyle w:val="PlaceholderText"/>
                                  </w:rPr>
                                  <w:t>[År]</w:t>
                                </w:r>
                              </w:sdtContent>
                            </w:sdt>
                            <w:r w:rsidR="00E044E9">
                              <w:t>:</w:t>
                            </w:r>
                            <w:sdt>
                              <w:sdtPr>
                                <w:alias w:val="Nr."/>
                                <w:tag w:val="Nr"/>
                                <w:id w:val="1068315890"/>
                                <w:showingPlcHdr/>
                                <w:dataBinding w:prefixMappings="xmlns:ns0='consensis-fs'" w:xpath="/ns0:root[1]/ns0:fs-fields[1]/ns0:fs-no[1]" w:storeItemID="{F222B965-9C48-4AC7-962E-E2AF3EEF1550}"/>
                                <w:text/>
                              </w:sdtPr>
                              <w:sdtEndPr/>
                              <w:sdtContent>
                                <w:r w:rsidR="00E044E9">
                                  <w:rPr>
                                    <w:rStyle w:val="PlaceholderText"/>
                                  </w:rPr>
                                  <w:t>[Nr.]</w:t>
                                </w:r>
                              </w:sdtContent>
                            </w:sdt>
                          </w:p>
                          <w:p w14:paraId="7AC60FE8" w14:textId="77777777" w:rsidR="00925C91" w:rsidRDefault="00925C91" w:rsidP="001E320C">
                            <w:pPr>
                              <w:pStyle w:val="Trycket"/>
                              <w:shd w:val="clear" w:color="auto" w:fill="auto"/>
                            </w:pPr>
                            <w:r>
                              <w:t>Offentliggjort</w:t>
                            </w:r>
                            <w:r>
                              <w:br/>
                              <w:t xml:space="preserve">den </w:t>
                            </w:r>
                            <w:sdt>
                              <w:sdtPr>
                                <w:alias w:val="Vælg en dato"/>
                                <w:tag w:val="Utkom datum"/>
                                <w:id w:val="1764647152"/>
                                <w:showingPlcHdr/>
                                <w:dataBinding w:prefixMappings="xmlns:ns0='consensis-fs'" w:xpath="/ns0:root[1]/ns0:fs-fields[1]/ns0:fs-date[1]" w:storeItemID="{F222B965-9C48-4AC7-962E-E2AF3EEF1550}"/>
                                <w:date>
                                  <w:dateFormat w:val="d MMMM yyyy"/>
                                  <w:lid w:val="da-DK"/>
                                  <w:storeMappedDataAs w:val="dateTime"/>
                                  <w:calendar w:val="gregorian"/>
                                </w:date>
                              </w:sdtPr>
                              <w:sdtEndPr/>
                              <w:sdtContent>
                                <w:r>
                                  <w:rPr>
                                    <w:rStyle w:val="PlaceholderText"/>
                                  </w:rPr>
                                  <w:t>[Vælg en dato]</w:t>
                                </w:r>
                              </w:sdtContent>
                            </w:sdt>
                          </w:p>
                          <w:sdt>
                            <w:sdtPr>
                              <w:alias w:val="Indtast serie"/>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VEJ</w:t>
                                </w:r>
                              </w:p>
                            </w:sdtContent>
                          </w:sdt>
                          <w:p w14:paraId="615A4AE6" w14:textId="77777777" w:rsidR="00925C91" w:rsidRPr="007C403E" w:rsidRDefault="007479D4" w:rsidP="007C403E">
                            <w:pPr>
                              <w:pStyle w:val="Underserie"/>
                              <w:rPr>
                                <w:bCs/>
                              </w:rPr>
                            </w:pPr>
                            <w:sdt>
                              <w:sdtPr>
                                <w:alias w:val="Indtast underserie"/>
                                <w:tag w:val="Userie"/>
                                <w:id w:val="1607690029"/>
                                <w:showingPlcHdr/>
                                <w:dataBinding w:prefixMappings="xmlns:ns0='consensis-fs'" w:xpath="/ns0:root[1]/ns0:fs-fields[1]/ns0:fs-subseries[1]" w:storeItemID="{F222B965-9C48-4AC7-962E-E2AF3EEF1550}"/>
                                <w:text/>
                              </w:sdtPr>
                              <w:sdtEndPr/>
                              <w:sdtContent>
                                <w:r w:rsidR="00E044E9">
                                  <w:rPr>
                                    <w:rStyle w:val="PlaceholderText"/>
                                  </w:rPr>
                                  <w:t>[Indtast underserie]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År"/>
                          <w:tag w:val="År"/>
                          <w:id w:val="-1222900966"/>
                          <w:showingPlcHdr/>
                          <w:dataBinding w:prefixMappings="xmlns:ns0='consensis-fs'" w:xpath="/ns0:root[1]/ns0:fs-fields[1]/ns0:fs-year[1]" w:storeItemID="{F222B965-9C48-4AC7-962E-E2AF3EEF1550}"/>
                          <w:text/>
                        </w:sdtPr>
                        <w:sdtEndPr/>
                        <w:sdtContent>
                          <w:r>
                            <w:rPr>
                              <w:rStyle w:val="PlaceholderText"/>
                            </w:rPr>
                            <w:t xml:space="preserve">[År]</w:t>
                          </w:r>
                        </w:sdtContent>
                      </w:sdt>
                      <w:r>
                        <w:t xml:space="preserve">:</w:t>
                      </w:r>
                      <w:sdt>
                        <w:sdtPr>
                          <w:alias w:val="N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Offentliggjort</w:t>
                      </w:r>
                      <w:r>
                        <w:br/>
                      </w:r>
                      <w:r>
                        <w:t xml:space="preserve">den </w:t>
                      </w:r>
                      <w:sdt>
                        <w:sdtPr>
                          <w:alias w:val="Vælg en dato"/>
                          <w:tag w:val="Utkom datum"/>
                          <w:id w:val="1764647152"/>
                          <w:showingPlcHdr/>
                          <w:dataBinding w:prefixMappings="xmlns:ns0='consensis-fs'" w:xpath="/ns0:root[1]/ns0:fs-fields[1]/ns0:fs-date[1]" w:storeItemID="{F222B965-9C48-4AC7-962E-E2AF3EEF1550}"/>
                          <w:date>
                            <w:dateFormat w:val="d MMMM yyyy"/>
                            <w:lid w:val="da-DK"/>
                            <w:storeMappedDataAs w:val="dateTime"/>
                            <w:calendar w:val="gregorian"/>
                          </w:date>
                        </w:sdtPr>
                        <w:sdtEndPr/>
                        <w:sdtContent>
                          <w:r>
                            <w:rPr>
                              <w:rStyle w:val="PlaceholderText"/>
                            </w:rPr>
                            <w:t xml:space="preserve">[Vælg en dato]</w:t>
                          </w:r>
                        </w:sdtContent>
                      </w:sdt>
                    </w:p>
                    <w:sdt>
                      <w:sdtPr>
                        <w:alias w:val="Indtast serie"/>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VEJ</w:t>
                          </w:r>
                        </w:p>
                      </w:sdtContent>
                    </w:sdt>
                    <w:p w14:paraId="615A4AE6" w14:textId="77777777" w:rsidR="00925C91" w:rsidRPr="007C403E" w:rsidRDefault="00E044E9" w:rsidP="007C403E">
                      <w:pPr>
                        <w:pStyle w:val="Underserie"/>
                        <w:rPr>
                          <w:bCs/>
                        </w:rPr>
                      </w:pPr>
                      <w:sdt>
                        <w:sdtPr>
                          <w:alias w:val="Indtast underserie"/>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[Indtast underserie]</w:t>
                          </w:r>
                        </w:sdtContent>
                      </w:sdt>
                    </w:p>
                  </w:txbxContent>
                </v:textbox>
                <w10:wrap anchorx="page" anchory="page"/>
                <w10:anchorlock/>
              </v:shape>
            </w:pict>
          </mc:Fallback>
        </mc:AlternateContent>
      </w:r>
      <w:r>
        <w:t xml:space="preserve">vedtaget den </w:t>
      </w:r>
      <w:sdt>
        <w:sdtPr>
          <w:rPr>
            <w:szCs w:val="22"/>
          </w:rPr>
          <w:alias w:val="Vælg en dato"/>
          <w:tag w:val="Välj ett datum"/>
          <w:id w:val="1438946608"/>
          <w:placeholder>
            <w:docPart w:val="0EA98AAD02484BC4BACB240D92FCD4DF"/>
          </w:placeholder>
          <w:showingPlcHdr/>
          <w:date>
            <w:dateFormat w:val="d MMMM yyyy"/>
            <w:lid w:val="da-DK"/>
            <w:storeMappedDataAs w:val="dateTime"/>
            <w:calendar w:val="gregorian"/>
          </w:date>
        </w:sdtPr>
        <w:sdtEndPr/>
        <w:sdtContent>
          <w:r>
            <w:rPr>
              <w:rStyle w:val="PlaceholderText"/>
            </w:rPr>
            <w:t>[Vælg en dato]</w:t>
          </w:r>
        </w:sdtContent>
      </w:sdt>
      <w:r>
        <w:t>.</w:t>
      </w:r>
    </w:p>
    <w:p w14:paraId="5FF84AFF" w14:textId="6FCE1252" w:rsidR="00E43EE1" w:rsidRDefault="00B71032" w:rsidP="00B71032">
      <w:pPr>
        <w:pStyle w:val="Styckemedindrag"/>
      </w:pPr>
      <w:r>
        <w:t>I henhold til kapitel 4, art. 12, 13 og 17 f i færdselsloven (1998:1276) og kapitel 8, art. 16 i loven om køretøjer (2009:211) fastsætter den svenske trafikstyrelse</w:t>
      </w:r>
      <w:r>
        <w:rPr>
          <w:rStyle w:val="FootnoteReference"/>
        </w:rPr>
        <w:footnoteReference w:id="2"/>
      </w:r>
      <w:r>
        <w:t xml:space="preserve"> følgende:</w:t>
      </w:r>
    </w:p>
    <w:p w14:paraId="4552D472" w14:textId="047D4784" w:rsidR="00B71032" w:rsidRDefault="00543345" w:rsidP="00654E7A">
      <w:pPr>
        <w:pStyle w:val="Heading3"/>
      </w:pPr>
      <w:r>
        <w:t>Indledende bestemmelser</w:t>
      </w:r>
    </w:p>
    <w:p w14:paraId="3966556B" w14:textId="5FB95A13" w:rsidR="00543345" w:rsidRDefault="00031159" w:rsidP="00031159">
      <w:pPr>
        <w:pStyle w:val="Stycke"/>
        <w:spacing w:before="120"/>
      </w:pPr>
      <w:r>
        <w:rPr>
          <w:rStyle w:val="Fparagrafbeteckning"/>
        </w:rPr>
        <w:t>Artikel 1 </w:t>
      </w:r>
      <w:r>
        <w:t>Disse forskrifter fastsætter detaljerede regler for konstruktion af og udstyr til vogntog på over 25,25 m, men ikke over 34,5 meter samt for de køretøjer, der indgår i vogntoget. Forskrifterne finder anvendelse ved kørsel på veje, hvor vejoperatøren i henhold til kapitel 4, art. 17 f i færdselsloven (1998:1276) har udstedt forskrifter om, at længden af et vogntog ikke må overstige 34,5 meter.</w:t>
      </w:r>
    </w:p>
    <w:p w14:paraId="06E20FC3" w14:textId="6ACEA899" w:rsidR="00D506F9" w:rsidRDefault="0068573B" w:rsidP="003F4DC3">
      <w:pPr>
        <w:pStyle w:val="Stycke"/>
        <w:spacing w:before="120"/>
      </w:pPr>
      <w:r>
        <w:rPr>
          <w:rStyle w:val="Fparagrafbeteckning"/>
        </w:rPr>
        <w:t>Artikel 2 </w:t>
      </w:r>
      <w:r>
        <w:t>Varer, der markedsføres lovligt i en anden EU-medlemsstat eller i Tyrkiet, eller som har oprindelse i og markedsføres lovligt i en EFTA-stat, der er part i EØS-aftalen, betragtes som værende i overensstemmelse med disse regler. Anvendelsen af disse regler er underlagt Europa-Parlamentets og Rådets forordning (EU) 2019/515 af 19. marts 2019 om gensidig anerkendelse af varer, der lovligt markedsføres i en anden medlemsstat, og om ophævelse af forordning (EF) nr. 764/2008.</w:t>
      </w:r>
    </w:p>
    <w:p w14:paraId="00B4A5A3" w14:textId="47704300" w:rsidR="0000372E" w:rsidRDefault="0012379D" w:rsidP="00031159">
      <w:pPr>
        <w:pStyle w:val="Stycke"/>
        <w:spacing w:before="120"/>
      </w:pPr>
      <w:r>
        <w:rPr>
          <w:rStyle w:val="Fparagrafbeteckning"/>
        </w:rPr>
        <w:t>Artikel 3 </w:t>
      </w:r>
      <w:r>
        <w:t xml:space="preserve">De udtryk, der anvendes i disse forskrifter, har den betydning, der er fastsat i lov om vejtrafikdefinitioner (2001:559). </w:t>
      </w:r>
    </w:p>
    <w:p w14:paraId="29432767" w14:textId="058536F8" w:rsidR="00553E8F" w:rsidRDefault="00031159" w:rsidP="00553E8F">
      <w:pPr>
        <w:pStyle w:val="Styckemedindrag"/>
      </w:pPr>
      <w:r>
        <w:t>I øvrigt anvendes følgende udtryk og definitioner i forbindelse med disse forskrifter.</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A-dobbelt</w:t>
            </w:r>
          </w:p>
        </w:tc>
        <w:tc>
          <w:tcPr>
            <w:tcW w:w="4338" w:type="dxa"/>
          </w:tcPr>
          <w:p w14:paraId="4806A036" w14:textId="241CA4B6" w:rsidR="006B4159" w:rsidRPr="006B4159" w:rsidRDefault="00E31D87" w:rsidP="000B177D">
            <w:pPr>
              <w:pStyle w:val="Stycke"/>
              <w:jc w:val="left"/>
            </w:pPr>
            <w:r>
              <w:t>vogntog bestående af en</w:t>
            </w:r>
            <w:r>
              <w:rPr>
                <w:i/>
              </w:rPr>
              <w:t xml:space="preserve"> traktor </w:t>
            </w:r>
            <w:r>
              <w:t>sammenkoblet med en sættevogn og en dolly med tilkoblet sættevogn</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lastRenderedPageBreak/>
              <w:t>AB-dobbelt</w:t>
            </w:r>
          </w:p>
        </w:tc>
        <w:tc>
          <w:tcPr>
            <w:tcW w:w="4338" w:type="dxa"/>
          </w:tcPr>
          <w:p w14:paraId="059F7929" w14:textId="55158731" w:rsidR="006B4159" w:rsidRDefault="00E31D87" w:rsidP="00567D83">
            <w:pPr>
              <w:pStyle w:val="Stycke"/>
              <w:jc w:val="left"/>
            </w:pPr>
            <w:r>
              <w:t xml:space="preserve">vogntog bestående af et tungt køretøj sammenkoblet med en dolly med en tilkoblet </w:t>
            </w:r>
            <w:r>
              <w:rPr>
                <w:i/>
              </w:rPr>
              <w:t>link-sættevogn</w:t>
            </w:r>
            <w:r>
              <w:t>, som igen er sammenkoblet med en sættevogn</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traktor</w:t>
            </w:r>
          </w:p>
        </w:tc>
        <w:tc>
          <w:tcPr>
            <w:tcW w:w="4338" w:type="dxa"/>
          </w:tcPr>
          <w:p w14:paraId="5F0BBB3A" w14:textId="2FEAB1D0" w:rsidR="007A578D" w:rsidRDefault="007A578D" w:rsidP="00F50DFF">
            <w:pPr>
              <w:pStyle w:val="Stycke"/>
              <w:jc w:val="left"/>
            </w:pPr>
            <w:r>
              <w:t xml:space="preserve">tungt køretøj udstyret med en tilkoblingsanordning (sættevognskobling) til en sættevogn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link-sættevogn</w:t>
            </w:r>
          </w:p>
        </w:tc>
        <w:tc>
          <w:tcPr>
            <w:tcW w:w="4338" w:type="dxa"/>
          </w:tcPr>
          <w:p w14:paraId="4CED4314" w14:textId="3FE02C7D" w:rsidR="007A578D" w:rsidRDefault="007A578D" w:rsidP="00232756">
            <w:pPr>
              <w:pStyle w:val="Stycke"/>
              <w:jc w:val="left"/>
            </w:pPr>
            <w:r>
              <w:t xml:space="preserve">sættevogn med en bageste sættevognskobling til tilkobling af en yderligere sættevogn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præstationsværdi </w:t>
            </w:r>
          </w:p>
        </w:tc>
        <w:tc>
          <w:tcPr>
            <w:tcW w:w="4338" w:type="dxa"/>
          </w:tcPr>
          <w:p w14:paraId="6311725D" w14:textId="0960B9B3" w:rsidR="002D153A" w:rsidRDefault="009F5C5A" w:rsidP="00AB1C5A">
            <w:pPr>
              <w:pStyle w:val="Stycke"/>
              <w:jc w:val="left"/>
            </w:pPr>
            <w:r>
              <w:t>værdi bestemt af fabrikanten, der angiver den belastning, som et køretøj og dets tilkoblingsanordning kan modstå</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selvstyrende aksel</w:t>
            </w:r>
          </w:p>
        </w:tc>
        <w:tc>
          <w:tcPr>
            <w:tcW w:w="4338" w:type="dxa"/>
          </w:tcPr>
          <w:p w14:paraId="65CC57A3" w14:textId="33BDDEC7" w:rsidR="00DB0AB5" w:rsidRDefault="00D356E7" w:rsidP="000F2D4A">
            <w:pPr>
              <w:pStyle w:val="Stycke"/>
              <w:jc w:val="left"/>
            </w:pPr>
            <w:r>
              <w:t>styreaksel, hvis styrevinkel ændres som følge af friktionen mellem dæk og vej.</w:t>
            </w:r>
          </w:p>
        </w:tc>
      </w:tr>
    </w:tbl>
    <w:p w14:paraId="6965F6D4" w14:textId="58F802B0" w:rsidR="0054771A" w:rsidRPr="00A313CC" w:rsidRDefault="00572D73" w:rsidP="0054771A">
      <w:pPr>
        <w:pStyle w:val="Stycke"/>
        <w:spacing w:before="120"/>
      </w:pPr>
      <w:r>
        <w:rPr>
          <w:rStyle w:val="Fparagrafbeteckning"/>
        </w:rPr>
        <w:t>Artikel 4 </w:t>
      </w:r>
      <w:r>
        <w:t>I forbindelse med disse forskrifter gælder følgende definitioner:</w:t>
      </w:r>
    </w:p>
    <w:p w14:paraId="6E790FE2" w14:textId="702175ED" w:rsidR="0054771A" w:rsidRPr="00A313CC" w:rsidRDefault="0054771A" w:rsidP="0054771A">
      <w:pPr>
        <w:pStyle w:val="Styckemedindrag"/>
      </w:pPr>
      <w:r>
        <w:t>– ECE-regulativ nr. 13: Ensartede forskrifter for godkendelse af køretøjer i klasse M, N og O, hvad angår bremsesystemet</w:t>
      </w:r>
    </w:p>
    <w:p w14:paraId="3ADC911D" w14:textId="7838A56B" w:rsidR="0054771A" w:rsidRPr="00A313CC" w:rsidRDefault="0054771A" w:rsidP="00425CD0">
      <w:pPr>
        <w:pStyle w:val="Styckemedindrag"/>
      </w:pPr>
      <w:r>
        <w:t>– ECE-regulativ nr. 55: Ensartede forskrifter for godkendelse af komponenter til mekanisk sammenkobling af vogntog</w:t>
      </w:r>
    </w:p>
    <w:p w14:paraId="09BB2E7C" w14:textId="4AFA7F89" w:rsidR="00BB64A3" w:rsidRPr="00BB64A3" w:rsidRDefault="00BB64A3" w:rsidP="00BB64A3">
      <w:pPr>
        <w:pStyle w:val="Heading3"/>
      </w:pPr>
      <w:r>
        <w:t>Generelle krav</w:t>
      </w:r>
    </w:p>
    <w:p w14:paraId="28780548" w14:textId="34E14EC2" w:rsidR="006E2742" w:rsidRPr="006E2742" w:rsidRDefault="00654E7A" w:rsidP="006E2742">
      <w:pPr>
        <w:pStyle w:val="Stycke"/>
        <w:spacing w:before="120"/>
      </w:pPr>
      <w:r>
        <w:rPr>
          <w:rStyle w:val="Fparagrafbeteckning"/>
        </w:rPr>
        <w:t>Artikel 5 </w:t>
      </w:r>
      <w:r>
        <w:rPr>
          <w:rStyle w:val="Fparagrafbeteckning"/>
          <w:b w:val="0"/>
        </w:rPr>
        <w:t xml:space="preserve">Vogntoget skal bestå af en A-dobbelt eller en AB-dobbelt kombination. </w:t>
      </w:r>
      <w:r>
        <w:t>Køretøjer og vogntog skal opfylde betingelserne i art. 6-12. Desuden skal en A-dobbelt kombination opfylde betingelserne i art.13-23, og en AB-dobbelt kombination skal opfylde betingelserne i art. 24-31.</w:t>
      </w:r>
    </w:p>
    <w:p w14:paraId="5B645A93" w14:textId="7BE20624" w:rsidR="00907DF3" w:rsidRDefault="00654E7A" w:rsidP="0026562C">
      <w:pPr>
        <w:pStyle w:val="Stycke"/>
        <w:spacing w:before="120"/>
      </w:pPr>
      <w:r>
        <w:rPr>
          <w:rStyle w:val="Fparagrafbeteckning"/>
        </w:rPr>
        <w:t>Artikel 6 </w:t>
      </w:r>
      <w:r>
        <w:t>Det tunge køretøj skal have mindst tre aksler. Påhængskøretøjerne, der indgår i vogntoget, skal have mindst to aksler.</w:t>
      </w:r>
    </w:p>
    <w:p w14:paraId="5F01A09F" w14:textId="37445118" w:rsidR="00342CD6" w:rsidRDefault="00654E7A" w:rsidP="00CB6F3B">
      <w:pPr>
        <w:pStyle w:val="Stycke"/>
        <w:spacing w:before="120"/>
      </w:pPr>
      <w:r>
        <w:rPr>
          <w:rStyle w:val="Fparagrafbeteckning"/>
        </w:rPr>
        <w:t>Artikel 7 </w:t>
      </w:r>
      <w:r>
        <w:t>Køretøjer med højst tre aksler skal have et stabilitetssystem i henhold til ECE-regulativ 13, ændringsserie 11, tillæg 3, eller senere.</w:t>
      </w:r>
    </w:p>
    <w:p w14:paraId="13D4D58B" w14:textId="7481C6CC" w:rsidR="00342CD6" w:rsidRDefault="00654E7A" w:rsidP="00974FCA">
      <w:pPr>
        <w:pStyle w:val="Stycke"/>
        <w:spacing w:before="120"/>
      </w:pPr>
      <w:r>
        <w:rPr>
          <w:rStyle w:val="Fparagrafbeteckning"/>
        </w:rPr>
        <w:t>Artikel 8 </w:t>
      </w:r>
      <w:r>
        <w:rPr>
          <w:rStyle w:val="Fparagrafbeteckning"/>
          <w:b w:val="0"/>
        </w:rPr>
        <w:t>Det tunge køretøj skal have udstyr, der gør det muligt for føreren at holde øje med højre side af vogntoget fra førersædet</w:t>
      </w:r>
      <w:r>
        <w:t>.</w:t>
      </w:r>
    </w:p>
    <w:p w14:paraId="26CC4ADA" w14:textId="1AFE7C5C" w:rsidR="00F654A8" w:rsidRDefault="00654E7A" w:rsidP="00F654A8">
      <w:pPr>
        <w:pStyle w:val="Stycke"/>
        <w:spacing w:before="120"/>
      </w:pPr>
      <w:r>
        <w:rPr>
          <w:rStyle w:val="Fparagrafbeteckning"/>
        </w:rPr>
        <w:t>Artikel 9 </w:t>
      </w:r>
      <w:r>
        <w:t>Alle køretøjer i vogntoget skal være udstyret med elektroniske bremsesystemer med blokeringsfri funktion og automatisk bremsetilpasning i henhold til ECE-regulativ 13, ændringsserie 11 eller senere.</w:t>
      </w:r>
    </w:p>
    <w:p w14:paraId="2FF5871A" w14:textId="03FC025B" w:rsidR="00693298" w:rsidRPr="00693298" w:rsidRDefault="00693298" w:rsidP="00693298">
      <w:pPr>
        <w:pStyle w:val="Stycke"/>
        <w:spacing w:before="120"/>
      </w:pPr>
      <w:r>
        <w:rPr>
          <w:rStyle w:val="Fparagrafbeteckning"/>
        </w:rPr>
        <w:t>Artikel 10 </w:t>
      </w:r>
      <w:r>
        <w:t>Dollyens sættevognskobling skal dreje rundt om en lodret akse gennem koblingspunktet.</w:t>
      </w:r>
    </w:p>
    <w:p w14:paraId="5E1694F9" w14:textId="3CF383C6" w:rsidR="004E0F5A" w:rsidRDefault="004E0F5A" w:rsidP="007479D4">
      <w:pPr>
        <w:pStyle w:val="Heading3"/>
      </w:pPr>
      <w:r>
        <w:lastRenderedPageBreak/>
        <w:t>Skilte</w:t>
      </w:r>
    </w:p>
    <w:p w14:paraId="4592D004" w14:textId="11082E40" w:rsidR="008C4B99" w:rsidRDefault="00691657" w:rsidP="007479D4">
      <w:pPr>
        <w:pStyle w:val="Stycke"/>
        <w:keepNext/>
        <w:keepLines/>
        <w:spacing w:before="120"/>
      </w:pPr>
      <w:r>
        <w:rPr>
          <w:rStyle w:val="Fparagrafbeteckning"/>
        </w:rPr>
        <w:t>Artikel 11 </w:t>
      </w:r>
      <w:r>
        <w:t>Vogntoget skal på for- og bagenden være monteret med skilte som vist i figur 1. Skiltenes nederste kant må ikke være mere end 2,0 m over vejen. Det fremadvendte skilt skal være placeret under forrudens nederste kant. Det bagudvendte skilt skal være til venstre for køretøjets midterlinje.</w:t>
      </w:r>
    </w:p>
    <w:p w14:paraId="0B74021B" w14:textId="239ACB2F" w:rsidR="00BD677C" w:rsidRDefault="008C4B99" w:rsidP="00876EDB">
      <w:pPr>
        <w:pStyle w:val="Styckemedindrag"/>
      </w:pPr>
      <w:r>
        <w:t>Skiltene skal være forsynet med:</w:t>
      </w:r>
    </w:p>
    <w:p w14:paraId="44B2EF3A" w14:textId="61AEB2A1" w:rsidR="00EB7A30" w:rsidRPr="006800D8" w:rsidRDefault="00EB7A30" w:rsidP="00EB7A30">
      <w:pPr>
        <w:pStyle w:val="Styckemedindrag"/>
      </w:pPr>
      <w:r>
        <w:t>1. en gul bund og en rød kant, som er retroreflekterende,</w:t>
      </w:r>
    </w:p>
    <w:p w14:paraId="1F904A48" w14:textId="464B2F56" w:rsidR="00EB7A30" w:rsidRPr="005C2570" w:rsidRDefault="00EB7A30" w:rsidP="00EB7A30">
      <w:pPr>
        <w:pStyle w:val="Styckemedindrag"/>
      </w:pPr>
      <w:r>
        <w:t>2. en kant med en bredde på 3,0 centimeter,</w:t>
      </w:r>
    </w:p>
    <w:p w14:paraId="7D7E6732" w14:textId="1CDF41F9" w:rsidR="00EB7A30" w:rsidRDefault="006C6A1C" w:rsidP="00EB7A30">
      <w:pPr>
        <w:pStyle w:val="Styckemedindrag"/>
        <w:rPr>
          <w:rFonts w:cstheme="minorHAnsi"/>
        </w:rPr>
      </w:pPr>
      <w:r>
        <w:t>3. tekst med skrifttypen Tratexsvart, tekststørrelse 75 mm, og</w:t>
      </w:r>
    </w:p>
    <w:p w14:paraId="160C24F8" w14:textId="541D68BF" w:rsidR="00EB7A30" w:rsidRDefault="00EB7A30" w:rsidP="00EB7A30">
      <w:pPr>
        <w:pStyle w:val="Styckemedindrag"/>
      </w:pPr>
      <w:r>
        <w:t>4. en bredde på mindst 0,90 m og en højde på mindst 0,45 m.</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Langt vogntog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Langt vogntog</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Forholdet mellem bredde og højde skal være 2:1.</w:t>
      </w:r>
      <w:r>
        <w:rPr>
          <w:rFonts w:ascii="Segoe UI" w:hAnsi="Segoe UI"/>
          <w:color w:val="000000"/>
          <w:sz w:val="20"/>
        </w:rPr>
        <w:t xml:space="preserve"> </w:t>
      </w:r>
      <w:r>
        <w:t>Hvis skiltets størrelse øges, skal bredden af kanten og tekststørrelsen også øges tilsvarende.</w:t>
      </w:r>
    </w:p>
    <w:p w14:paraId="6A13AE47" w14:textId="53EBCBA3" w:rsidR="00B204CA" w:rsidRDefault="00B204CA" w:rsidP="00DD47B8">
      <w:pPr>
        <w:pStyle w:val="Tabelltext"/>
      </w:pPr>
      <w:r>
        <w:t>Figur 1. Skilt til et langt vogntog.</w:t>
      </w:r>
    </w:p>
    <w:p w14:paraId="06E84C76" w14:textId="72560BE8" w:rsidR="00C807A6" w:rsidRDefault="00EE3B53">
      <w:pPr>
        <w:pStyle w:val="Heading3"/>
      </w:pPr>
      <w:r>
        <w:t>Drivaksler og motoreffekt</w:t>
      </w:r>
    </w:p>
    <w:p w14:paraId="7C036BB8" w14:textId="09DAA351" w:rsidR="007B4D0A" w:rsidRPr="000C2719" w:rsidRDefault="00691657" w:rsidP="00EB57E6">
      <w:pPr>
        <w:pStyle w:val="Stycke"/>
        <w:spacing w:before="120"/>
      </w:pPr>
      <w:r>
        <w:rPr>
          <w:rStyle w:val="Fparagrafbeteckning"/>
        </w:rPr>
        <w:t>Artikel 12 </w:t>
      </w:r>
      <w:r>
        <w:t>Hvis vogntogets samlede bruttovægt overstiger 64 tons, skal det tunge køretøj have mindst to drivaksler og en motoreffekt på mindst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Særlige betingelser for A-dobbelt kombination</w:t>
      </w:r>
    </w:p>
    <w:p w14:paraId="5A896C78" w14:textId="5B717027" w:rsidR="00553E8F" w:rsidRPr="00553E8F" w:rsidRDefault="00553E8F" w:rsidP="00553E8F">
      <w:pPr>
        <w:pStyle w:val="Tabelltext"/>
        <w:rPr>
          <w:b/>
        </w:rPr>
      </w:pPr>
      <w:r>
        <w:t>Figur 2. A-dobbelt kombination</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lastRenderedPageBreak/>
        <w:t>Sættevogn fortil</w:t>
      </w:r>
    </w:p>
    <w:p w14:paraId="62A94401" w14:textId="42001BAF" w:rsidR="002A63C1" w:rsidRDefault="00D96C34" w:rsidP="00DC3F69">
      <w:pPr>
        <w:pStyle w:val="Stycke"/>
        <w:spacing w:before="120"/>
      </w:pPr>
      <w:r>
        <w:rPr>
          <w:rStyle w:val="Fparagrafbeteckning"/>
        </w:rPr>
        <w:t>Artikel 13 </w:t>
      </w:r>
      <w:r>
        <w:t>Den sidste aksel i sættevognen fortil i en A-dobbelt kombination skal være selvstyrende ved hastigheder på op til mindst 30 km i timen, men ikke over 40 km i timen.</w:t>
      </w:r>
    </w:p>
    <w:p w14:paraId="7DE8E0CA" w14:textId="6D1DB835" w:rsidR="00840699" w:rsidRDefault="00D96C34" w:rsidP="002A63C1">
      <w:pPr>
        <w:pStyle w:val="Stycke"/>
        <w:spacing w:before="120"/>
      </w:pPr>
      <w:r>
        <w:rPr>
          <w:rStyle w:val="Fparagrafbeteckning"/>
        </w:rPr>
        <w:t>Artikel 14 </w:t>
      </w:r>
      <w:r>
        <w:t>Hvis sættevognen har to aksler, skal afstanden mellem forkoblingsanordningen og midten af den første aksel være mindst 7,7 meter.</w:t>
      </w:r>
    </w:p>
    <w:p w14:paraId="0B9C6A61" w14:textId="26E90CCD" w:rsidR="002A63C1" w:rsidRPr="00DB5916" w:rsidRDefault="006B128F" w:rsidP="00840699">
      <w:pPr>
        <w:pStyle w:val="Styckemedindrag"/>
      </w:pPr>
      <w:r>
        <w:t>Hvis sættevognen fortil har tre aksler, skal afstanden mellem forkoblingsanordningen og midten af den første aksel være mindst 7,0 m.</w:t>
      </w:r>
    </w:p>
    <w:p w14:paraId="0AA9BDE5" w14:textId="4B8E4B48" w:rsidR="002A63C1" w:rsidRDefault="003E081D" w:rsidP="002A63C1">
      <w:pPr>
        <w:pStyle w:val="Stycke"/>
        <w:spacing w:before="120"/>
      </w:pPr>
      <w:r>
        <w:rPr>
          <w:rStyle w:val="Fparagrafbeteckning"/>
        </w:rPr>
        <w:t>Artikel 15 </w:t>
      </w:r>
      <w:r>
        <w:t>Afstanden mellem den sidste aksel og bagtilkoblingsanordningen for sættevognen fortil må ikke overstige 1,4 meter.</w:t>
      </w:r>
    </w:p>
    <w:p w14:paraId="2CE6A594" w14:textId="3DC05D79" w:rsidR="002A63C1" w:rsidRDefault="003E081D" w:rsidP="002A63C1">
      <w:pPr>
        <w:pStyle w:val="Stycke"/>
        <w:spacing w:before="120"/>
      </w:pPr>
      <w:r>
        <w:rPr>
          <w:rStyle w:val="Fparagrafbeteckning"/>
        </w:rPr>
        <w:t>Artikel 16 </w:t>
      </w:r>
      <w:r>
        <w:t>Hvis sættevogn fortil har mindst tre aksler, skal den første aksel være løftbar. Det skal være muligt at hæve og sænke akslen fra førersædet under kørslen.</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Sættevogn bagtil</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Artikel 17 </w:t>
      </w:r>
      <w:r>
        <w:t>Afstanden mellem forkoblingsanordningen og midten af den første aksel på sættevognen bagtil skal være mindst 6,2 meter.</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Koblingsanordninger</w:t>
      </w:r>
    </w:p>
    <w:p w14:paraId="0E894B9A" w14:textId="741FC0F2" w:rsidR="00B41321" w:rsidRDefault="009E4F27" w:rsidP="00B41321">
      <w:pPr>
        <w:pStyle w:val="Stycke"/>
        <w:spacing w:before="120"/>
      </w:pPr>
      <w:r>
        <w:rPr>
          <w:rStyle w:val="Fparagrafbeteckning"/>
        </w:rPr>
        <w:t>Artikel 18 </w:t>
      </w:r>
      <w:r>
        <w:t>Tilkoblingsanordningerne skal godkendes i henhold til ECE-regulativ 55, ændringsserie 01, eller senere. Anordningerne skal være i overensstemmelse med trafikstyrelsens forskrifter (TSFS 2019:127) om kobling af biler og påhængskøretøjer med hensyn til præstationsværdier eller art. 19-22.</w:t>
      </w:r>
    </w:p>
    <w:p w14:paraId="5B54B9A5" w14:textId="2E9B1C02" w:rsidR="00F87551" w:rsidRDefault="00114615" w:rsidP="008C2A5B">
      <w:pPr>
        <w:pStyle w:val="Stycke"/>
        <w:spacing w:before="120"/>
      </w:pPr>
      <w:r>
        <w:rPr>
          <w:rStyle w:val="Fparagrafbeteckning"/>
        </w:rPr>
        <w:t>Artikel 19 </w:t>
      </w:r>
      <w:r>
        <w:t>Tilkoblingsanordningen på traktoren skal have en D-værdi på mindst 130 kN.</w:t>
      </w:r>
    </w:p>
    <w:p w14:paraId="1A7DBCFD" w14:textId="5031FEE4" w:rsidR="00B41321" w:rsidRPr="00F87551" w:rsidRDefault="00691657" w:rsidP="00EA023A">
      <w:pPr>
        <w:pStyle w:val="Stycke"/>
        <w:spacing w:before="120"/>
      </w:pPr>
      <w:r>
        <w:rPr>
          <w:rStyle w:val="Fparagrafbeteckning"/>
        </w:rPr>
        <w:t>Artikel 20 </w:t>
      </w:r>
      <w:r>
        <w:t>Forkoblingsanordningen for sættevognen fortil skal have en D-værdi på mindst 130 kN. Bagtilkoblingsanordningen skal have en DC-værdi på mindst 120 kN, en D-værdi på mindst 130 kN og en V-værdi på mindst 32 kN.</w:t>
      </w:r>
    </w:p>
    <w:p w14:paraId="6531828C" w14:textId="207EF389" w:rsidR="00B41321" w:rsidRPr="00F87551" w:rsidRDefault="000123E4" w:rsidP="00894B88">
      <w:pPr>
        <w:pStyle w:val="Stycke"/>
        <w:spacing w:before="120"/>
      </w:pPr>
      <w:r>
        <w:rPr>
          <w:rStyle w:val="Fparagrafbeteckning"/>
        </w:rPr>
        <w:t>Artikel 21 </w:t>
      </w:r>
      <w:r>
        <w:t>Dollyens forkoblingsanordning skal have en DC-værdi på mindst 120 kN, en D-værdi på mindst 130 kN og en V-værdi på mindst 32 kN. Bagtilkoblingsanordningen skal have en D-værdi på mindst 130 kN.</w:t>
      </w:r>
    </w:p>
    <w:p w14:paraId="26AD840E" w14:textId="1E693AAE" w:rsidR="009E4F27" w:rsidRDefault="000123E4" w:rsidP="008A2747">
      <w:pPr>
        <w:pStyle w:val="Stycke"/>
        <w:spacing w:before="120"/>
      </w:pPr>
      <w:r>
        <w:rPr>
          <w:rStyle w:val="Fparagrafbeteckning"/>
        </w:rPr>
        <w:t>Sektion 22 </w:t>
      </w:r>
      <w:r>
        <w:t>Koblingsanordningen for sættevognen bagtil skal have en D-værdi på mindst 130 kN.</w:t>
      </w:r>
    </w:p>
    <w:p w14:paraId="1B2BE8B3" w14:textId="1C2C838A" w:rsidR="00837AB8" w:rsidRDefault="00837AB8" w:rsidP="00572D73">
      <w:pPr>
        <w:pStyle w:val="Heading4"/>
      </w:pPr>
      <w:r>
        <w:lastRenderedPageBreak/>
        <w:t>Undtagelse fra bestemmelserne om afstande mellem aksler</w:t>
      </w:r>
    </w:p>
    <w:p w14:paraId="29113AD4" w14:textId="12C4B2D1" w:rsidR="00362A7B" w:rsidRDefault="00894B88" w:rsidP="00362A7B">
      <w:pPr>
        <w:pStyle w:val="Stycke"/>
        <w:spacing w:before="120"/>
      </w:pPr>
      <w:r>
        <w:rPr>
          <w:rStyle w:val="Fparagrafbeteckning"/>
        </w:rPr>
        <w:t>Artikel 23 </w:t>
      </w:r>
      <w:r>
        <w:t>Uanset kapitel 4, artikel 13, første stykke, punkt 4, i færdselsloven (1998:1276) kan afstanden mellem akslerne på veje, der tilhører belastningsklasse 1, være mindre end 5 meter, men ikke 4 meter. Dette gælder, hvis den samlede vægt af bogie og tredobbelt aksel er mindre end den største tilladte bruttovægt for den tilsvarende afstand mellem den første og sidste aksel for disse akselgrupper, jf. bilag 1 til nævnte lov.</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Særlige betingelser for AB-dobbelt kombinationer</w:t>
      </w:r>
    </w:p>
    <w:p w14:paraId="073EC131" w14:textId="237096A5" w:rsidR="00553E8F" w:rsidRPr="00553E8F" w:rsidRDefault="00553E8F" w:rsidP="00553E8F">
      <w:pPr>
        <w:pStyle w:val="Tabelltext"/>
        <w:rPr>
          <w:b/>
        </w:rPr>
      </w:pPr>
      <w:r>
        <w:t>Figur 3. AB-dobbelt kombination</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Link-sættevogn fortil</w:t>
      </w:r>
    </w:p>
    <w:p w14:paraId="18071B35" w14:textId="4DDDC41C" w:rsidR="00DC28E4" w:rsidRDefault="00700B2F" w:rsidP="00DC28E4">
      <w:pPr>
        <w:pStyle w:val="Stycke"/>
      </w:pPr>
      <w:r>
        <w:rPr>
          <w:rStyle w:val="Fparagrafbeteckning"/>
        </w:rPr>
        <w:t>Artikel 24 </w:t>
      </w:r>
      <w:r>
        <w:t>Den sidste aksel i link-sættevognen i en AB-dobbelt kombination skal være selvstyrende ved hastigheder på op til mindst 30 km i timen, men ikke over 40 km i timen.</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Sættevogn bagtil</w:t>
      </w:r>
    </w:p>
    <w:p w14:paraId="1B73D4D2" w14:textId="1FA00255" w:rsidR="00DC28E4" w:rsidRPr="00DC28E4" w:rsidRDefault="00DC28E4" w:rsidP="00884605">
      <w:pPr>
        <w:pStyle w:val="Stycke"/>
        <w:spacing w:before="120"/>
      </w:pPr>
      <w:r>
        <w:rPr>
          <w:rStyle w:val="Fparagrafbeteckning"/>
        </w:rPr>
        <w:t>Artikel 25 </w:t>
      </w:r>
      <w:r>
        <w:t>Afstanden mellem forkoblingsanordningen og midten af den første aksel på sættevognen bagtil skal være mindst 6,2 meter.</w:t>
      </w:r>
    </w:p>
    <w:p w14:paraId="21991F17" w14:textId="4E162EF8" w:rsidR="000F4BE7" w:rsidRPr="00456CC7" w:rsidRDefault="000F4BE7" w:rsidP="00456CC7">
      <w:pPr>
        <w:pStyle w:val="Heading4"/>
        <w:rPr>
          <w:rStyle w:val="Fparagrafbeteckning"/>
          <w:rFonts w:asciiTheme="minorHAnsi" w:hAnsiTheme="minorHAnsi"/>
          <w:b w:val="0"/>
        </w:rPr>
      </w:pPr>
      <w:r>
        <w:t>Koblingsanordning</w:t>
      </w:r>
    </w:p>
    <w:p w14:paraId="0C0726DC" w14:textId="4B7E5DD9" w:rsidR="005C6621" w:rsidRDefault="000123E4" w:rsidP="005C6621">
      <w:pPr>
        <w:pStyle w:val="Stycke"/>
        <w:spacing w:before="120"/>
      </w:pPr>
      <w:r>
        <w:rPr>
          <w:rStyle w:val="Fparagrafbeteckning"/>
        </w:rPr>
        <w:t>Artikel 26 </w:t>
      </w:r>
      <w:r>
        <w:t>Tilkoblingsanordningerne skal godkendes i henhold til ECE-regulativ 55, ændringsserie 01 eller senere. Med hensyn til præstationsværdier skal udstyret opfylde bestemmelserne i punkt 27-31.</w:t>
      </w:r>
    </w:p>
    <w:p w14:paraId="1EB16C68" w14:textId="25745D90" w:rsidR="00D52C0D" w:rsidRDefault="00894B88" w:rsidP="00417958">
      <w:pPr>
        <w:pStyle w:val="Stycke"/>
        <w:spacing w:before="120"/>
      </w:pPr>
      <w:r>
        <w:rPr>
          <w:rStyle w:val="Fparagrafbeteckning"/>
        </w:rPr>
        <w:t>Artikel 27 </w:t>
      </w:r>
      <w:r>
        <w:t>Det tunge køretøjs koblingsanordning skal have en DC-værdi på mindst 150 kN og en V-værdi på mindst 35 kN. DC-værdien kan dog være mindre end 150 kN, men ikke mindre end 130 kN, hvis tilkoblingsanordningen har en D-værdi på mindst 180 kN og en V-værdi på mindst 60 kN.</w:t>
      </w:r>
    </w:p>
    <w:p w14:paraId="19FE55DC" w14:textId="04D31C61" w:rsidR="001E5EAB" w:rsidRDefault="001E5EAB" w:rsidP="00D52C0D">
      <w:pPr>
        <w:pStyle w:val="Styckemedindrag"/>
      </w:pPr>
      <w:r>
        <w:t>Hvis vogntogets samlede bruttovægt er over 64 tons, men ikke over 70 tons, skal koblingsanordningen have en DC-værdi på mindst 160 kN og en V-værdi på mindst 35 kN. DC-værdien kan dog være mindre end 160 kN, men ikke mindre end 130 kN, hvis tilkoblingsanordningen har en D-værdi på mindst 180 kN og en V-værdi på mindst 60 kN.</w:t>
      </w:r>
    </w:p>
    <w:p w14:paraId="038F3E58" w14:textId="38BFECB2" w:rsidR="00894B88" w:rsidRPr="00894B88" w:rsidRDefault="00894B88" w:rsidP="00D52C0D">
      <w:pPr>
        <w:pStyle w:val="Styckemedindrag"/>
      </w:pPr>
      <w:r>
        <w:t>Hvis vogntogets samlede bruttovægt er over 70 tons, men ikke over 74 tons, skal koblingsanordningen have en DC-værdi på mindst 180 kN og en V-</w:t>
      </w:r>
      <w:r>
        <w:lastRenderedPageBreak/>
        <w:t>værdi på mindst 35 kN. DC-værdien kan dog være mindre end 180 kN, men ikke mindre end 130 kN, hvis tilkoblingsanordningen har en D-værdi på mindst 200 kN og en V-værdi på mindst 60 kN.</w:t>
      </w:r>
    </w:p>
    <w:p w14:paraId="6B2D4DAE" w14:textId="28DCA9C8" w:rsidR="00D52C0D" w:rsidRDefault="000123E4" w:rsidP="00770E89">
      <w:pPr>
        <w:pStyle w:val="Stycke"/>
        <w:spacing w:before="120"/>
      </w:pPr>
      <w:r>
        <w:rPr>
          <w:rStyle w:val="Fparagrafbeteckning"/>
        </w:rPr>
        <w:t>Artikel 28 </w:t>
      </w:r>
      <w:r>
        <w:t>Dollyens forkoblingsanordning skal have en DC-værdi på mindst 150 kN og en V-værdi på mindst 35 kN. DC-værdien kan dog være mindre end 150 kN, men ikke mindre end 130 kN, hvis tilkoblingsanordningen har en D-værdi på mindst 180 kN og en V-værdi på mindst 60 kN.</w:t>
      </w:r>
    </w:p>
    <w:p w14:paraId="5DA847D2" w14:textId="239D1819" w:rsidR="001E5EAB" w:rsidRDefault="001E5EAB" w:rsidP="001E5EAB">
      <w:pPr>
        <w:pStyle w:val="Styckemedindrag"/>
      </w:pPr>
      <w:r>
        <w:t>Hvis vogntogets samlede bruttovægt er over 64 tons, men ikke over 70 tons, skal koblingsanordningen have en DC-værdi på mindst 160 kN og en V-værdi på mindst 35 kN. DC-værdien kan dog være mindre end 160 kN, men ikke mindre end 130 kN, hvis tilkoblingsanordningen har en D-værdi på mindst 180 kN og en V-værdi på mindst 60 kN.</w:t>
      </w:r>
    </w:p>
    <w:p w14:paraId="2790CFD2" w14:textId="7E40EFC3" w:rsidR="00700B2F" w:rsidRDefault="001E5EAB" w:rsidP="001E5EAB">
      <w:pPr>
        <w:pStyle w:val="Styckemedindrag"/>
      </w:pPr>
      <w:r>
        <w:t>Hvis vogntogets samlede bruttovægt er over 70 tons, men ikke over 74 tons, skal koblingsanordningen have en DC-værdi på mindst 180 kN og en V-værdi på mindst 35 kN. DC-værdien kan dog være mindre end 180 kN, men ikke mindre end 130 kN, hvis tilkoblingsanordningen har en D-værdi på mindst 200 kN og en V-værdi på mindst 60 kN.</w:t>
      </w:r>
    </w:p>
    <w:p w14:paraId="455D475B" w14:textId="4C9C36E0" w:rsidR="00700B2F" w:rsidRDefault="00D96C34" w:rsidP="00D52C0D">
      <w:pPr>
        <w:pStyle w:val="Stycke"/>
        <w:spacing w:before="120"/>
      </w:pPr>
      <w:r>
        <w:rPr>
          <w:rStyle w:val="Fparagrafbeteckning"/>
        </w:rPr>
        <w:t>Artikel 29 </w:t>
      </w:r>
      <w:r>
        <w:t>Bagtilkoblingsanordning på dollyen skal have en D-værdi på mindst 130 kN.</w:t>
      </w:r>
    </w:p>
    <w:p w14:paraId="3033F0F7" w14:textId="36470EF6" w:rsidR="00700B2F" w:rsidRPr="00700B2F" w:rsidRDefault="00DC28E4" w:rsidP="00D52C0D">
      <w:pPr>
        <w:pStyle w:val="Stycke"/>
        <w:spacing w:before="120"/>
      </w:pPr>
      <w:r>
        <w:rPr>
          <w:rStyle w:val="Fparagrafbeteckning"/>
        </w:rPr>
        <w:t>Artikel 30 </w:t>
      </w:r>
      <w:r>
        <w:t>Forkoblingsanordningen på link-sættevognen skal have en D-værdi på mindst 130 kN. Bagtilkoblingsanordningen skal have en D-værdi på mindst 130 kN.</w:t>
      </w:r>
    </w:p>
    <w:p w14:paraId="1F88EC27" w14:textId="7CC9501A" w:rsidR="00047D65" w:rsidRDefault="000123E4" w:rsidP="00FF6EB9">
      <w:pPr>
        <w:pStyle w:val="Stycke"/>
        <w:spacing w:before="120"/>
      </w:pPr>
      <w:r>
        <w:rPr>
          <w:rStyle w:val="Fparagrafbeteckning"/>
        </w:rPr>
        <w:t>Artikel 31 </w:t>
      </w:r>
      <w:r>
        <w:t>Koblingsanordningen for sættevognen bagtil skal have en D-værdi på mindst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Disse regler træder i kraft den </w:t>
      </w:r>
      <w:r>
        <w:rPr>
          <w:highlight w:val="yellow"/>
        </w:rPr>
        <w:t xml:space="preserve">dag måned </w:t>
      </w:r>
      <w:r>
        <w:t>år.</w:t>
      </w:r>
    </w:p>
    <w:p w14:paraId="3B391984" w14:textId="7B9917A0" w:rsidR="00047D65" w:rsidRPr="00047D65" w:rsidRDefault="00047D65" w:rsidP="00EA023A">
      <w:pPr>
        <w:pStyle w:val="Beslutandeochfredragande"/>
      </w:pPr>
      <w:r>
        <w:t>På vegne af den svenske trafikstyrelse</w:t>
      </w:r>
      <w:r>
        <w:br/>
      </w:r>
      <w:r>
        <w:br/>
        <w:t>JONAS BJELFVENSTAM</w:t>
      </w:r>
      <w:r>
        <w:br/>
      </w:r>
      <w:r>
        <w:tab/>
        <w:t>Omar Bagdadi</w:t>
      </w:r>
      <w:r>
        <w:br/>
      </w:r>
      <w:r>
        <w:tab/>
        <w:t>(Vej og jernbane)</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6331766D" w:rsidR="00925C91" w:rsidRDefault="00925C91" w:rsidP="00D104F7">
                          <w:pPr>
                            <w:pStyle w:val="FSnr-sidhuvud"/>
                            <w:ind w:left="0" w:right="0"/>
                          </w:pPr>
                          <w:r>
                            <w:fldChar w:fldCharType="begin"/>
                          </w:r>
                          <w:r>
                            <w:instrText xml:space="preserve"> STYLEREF  FS-nr  \* MERGEFORMAT </w:instrText>
                          </w:r>
                          <w:r>
                            <w:fldChar w:fldCharType="separate"/>
                          </w:r>
                          <w:r w:rsidR="007479D4">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6331766D" w:rsidR="00925C91" w:rsidRDefault="00925C91" w:rsidP="00D104F7">
                    <w:pPr>
                      <w:pStyle w:val="FSnr-sidhuvud"/>
                      <w:ind w:left="0" w:right="0"/>
                    </w:pPr>
                    <w:r>
                      <w:fldChar w:fldCharType="begin"/>
                    </w:r>
                    <w:r>
                      <w:instrText xml:space="preserve"> STYLEREF  FS-nr  \* MERGEFORMAT </w:instrText>
                    </w:r>
                    <w:r>
                      <w:fldChar w:fldCharType="separate"/>
                    </w:r>
                    <w:r w:rsidR="007479D4">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Se Europa-Parlamentets og Rådets direktiv (EU) 2015/1535 af 9. september 2015 om en informationsprocedure med hensyn til tekniske forskrifter samt forskrifter for informationssamfundets tjenester.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7479D4" w:rsidP="00A41C32">
    <w:pPr>
      <w:pStyle w:val="FSnr-sidhuvud"/>
    </w:pPr>
    <w:sdt>
      <w:sdtPr>
        <w:alias w:val="Sveriges lovsamling"/>
        <w:id w:val="-668563778"/>
        <w:text/>
      </w:sdtPr>
      <w:sdtEndPr/>
      <w:sdtContent>
        <w:r w:rsidR="00E044E9">
          <w:t>TSFS 20</w:t>
        </w:r>
      </w:sdtContent>
    </w:sdt>
    <w:sdt>
      <w:sdtPr>
        <w:alias w:val="År"/>
        <w:tag w:val="År"/>
        <w:id w:val="651943009"/>
        <w:showingPlcHdr/>
        <w:dataBinding w:prefixMappings="xmlns:ns0='consensis-fs'" w:xpath="/ns0:root[1]/ns0:fs-fields[1]/ns0:fs-year[1]" w:storeItemID="{F222B965-9C48-4AC7-962E-E2AF3EEF1550}"/>
        <w:text/>
      </w:sdtPr>
      <w:sdtEndPr/>
      <w:sdtContent>
        <w:r w:rsidR="00E044E9">
          <w:rPr>
            <w:rStyle w:val="PlaceholderText"/>
          </w:rPr>
          <w:t>[År]</w:t>
        </w:r>
      </w:sdtContent>
    </w:sdt>
    <w:r w:rsidR="00E044E9">
      <w:t>:</w:t>
    </w:r>
    <w:sdt>
      <w:sdtPr>
        <w:alias w:val="Nr."/>
        <w:tag w:val="Nr"/>
        <w:id w:val="170307869"/>
        <w:showingPlcHdr/>
        <w:dataBinding w:prefixMappings="xmlns:ns0='consensis-fs'" w:xpath="/ns0:root[1]/ns0:fs-fields[1]/ns0:fs-no[1]" w:storeItemID="{F222B965-9C48-4AC7-962E-E2AF3EEF1550}"/>
        <w:text/>
      </w:sdtPr>
      <w:sdtEnd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7479D4" w:rsidP="00A41C32">
    <w:pPr>
      <w:pStyle w:val="FSnr-sidhuvud"/>
      <w:jc w:val="right"/>
    </w:pPr>
    <w:sdt>
      <w:sdtPr>
        <w:alias w:val="Sveriges lovsamling"/>
        <w:id w:val="1150257239"/>
        <w:text/>
      </w:sdtPr>
      <w:sdtEndPr/>
      <w:sdtContent>
        <w:r w:rsidR="00E044E9">
          <w:t>TSFS 20</w:t>
        </w:r>
      </w:sdtContent>
    </w:sdt>
    <w:sdt>
      <w:sdtPr>
        <w:alias w:val="År"/>
        <w:tag w:val="År"/>
        <w:id w:val="-620143070"/>
        <w:showingPlcHdr/>
        <w:dataBinding w:prefixMappings="xmlns:ns0='consensis-fs'" w:xpath="/ns0:root[1]/ns0:fs-fields[1]/ns0:fs-year[1]" w:storeItemID="{F222B965-9C48-4AC7-962E-E2AF3EEF1550}"/>
        <w:text/>
      </w:sdtPr>
      <w:sdtEndPr/>
      <w:sdtContent>
        <w:r w:rsidR="00E044E9">
          <w:rPr>
            <w:rStyle w:val="PlaceholderText"/>
          </w:rPr>
          <w:t>[År]</w:t>
        </w:r>
      </w:sdtContent>
    </w:sdt>
    <w:r w:rsidR="00E044E9">
      <w:t>:</w:t>
    </w:r>
    <w:sdt>
      <w:sdtPr>
        <w:alias w:val="Nr."/>
        <w:tag w:val="Nr"/>
        <w:id w:val="-2001035287"/>
        <w:showingPlcHdr/>
        <w:dataBinding w:prefixMappings="xmlns:ns0='consensis-fs'" w:xpath="/ns0:root[1]/ns0:fs-fields[1]/ns0:fs-no[1]" w:storeItemID="{F222B965-9C48-4AC7-962E-E2AF3EEF1550}"/>
        <w:text/>
      </w:sdtPr>
      <w:sdtEnd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479D4"/>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4E2"/>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da-DK"/>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da-DK"/>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da-DK"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[Vælg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VEJ</fs-series>
    <fs-subseries/>
    <fs-heading>tekniske krav til vogntog med en længde på over 25,25 meter</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19</TotalTime>
  <Pages>6</Pages>
  <Words>1489</Words>
  <Characters>8337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6</cp:revision>
  <cp:lastPrinted>2023-03-07T06:51:00Z</cp:lastPrinted>
  <dcterms:created xsi:type="dcterms:W3CDTF">2023-04-28T11:45:00Z</dcterms:created>
  <dcterms:modified xsi:type="dcterms:W3CDTF">2023-05-15T12:01:00Z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