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4. PEATÜKK:</w:t>
      </w:r>
      <w:r>
        <w:rPr>
          <w:sz w:val="22"/>
        </w:rPr>
        <w:t xml:space="preserve"> </w:t>
      </w:r>
      <w:r>
        <w:rPr>
          <w:sz w:val="22"/>
        </w:rPr>
        <w:t xml:space="preserve">Transpordivahendite juurdepääsetavus</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Kui taksoteenust pakutakse telefonibroneeringuid kasutades, peab see teenus laiendama päringuvahendeid, kasutades uusi tehnoloogiaid, rakendusi, internetti, tekstisõnumeid, fakse või muid sarnaseid vahendeid, et kõik kasutajad, sealhulgas kuulmispuudega kasutajad, saaksid teenuse kasutamist iseseisvalt taotleda.</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Kui tellitava takso teenusel on veebisait, peab see olema kättesaadav vähemalt WCAG 2.1 suuniste AA tasandil.</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Piiratud liikumisvõimega inimestele telefoni, interneti või mobiilirakenduse kaudu juurdepääsetava takso rentimise suhtes ei saa kohaldada eeldatava nõudluse lisandit.</w:t>
      </w:r>
      <w:r>
        <w:rPr>
          <w:sz w:val="22"/>
        </w:rPr>
        <w:t xml:space="preserve"> </w:t>
      </w:r>
      <w:r>
        <w:rPr>
          <w:sz w:val="22"/>
        </w:rPr>
        <w:t xml:space="preserve">Puudega isiku kaart on tõendiks juhul, kui seda nõutakse.</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5. PEATÜKK:</w:t>
      </w:r>
      <w:r>
        <w:rPr>
          <w:sz w:val="22"/>
        </w:rPr>
        <w:t xml:space="preserve"> </w:t>
      </w:r>
      <w:r>
        <w:rPr>
          <w:sz w:val="22"/>
        </w:rPr>
        <w:t xml:space="preserve">Toodete kättesaadavus</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Artikkel 116.</w:t>
      </w:r>
      <w:r>
        <w:rPr>
          <w:sz w:val="22"/>
        </w:rPr>
        <w:tab/>
      </w:r>
      <w:r>
        <w:rPr>
          <w:sz w:val="22"/>
        </w:rPr>
        <w:t xml:space="preserve">Tarbekaubad</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Toodet peetakse juurdepääsetavaks, kui see vastab järgmistele tingimustele.</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Sellel on oma omadustele vastav juurdepääsetav märgis, mis võimaldab selle identifitseerimist koos nimetuse ja kõige asjakohasema teabega.</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Selle projekteerimisel järgitakse universaalseid konstruktsioonikriteeriume koos sobivate kasutus- ja ohutustingimustega igale kasutajale.</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Lisateavet, juhiseid või prospekte võib vaadata interneti, seadmerakenduste ja uute tehnoloogiate kasutamise kaudu, kusjuures kättesaadav sisu vastab lisa 5a punktide 25 ja 26 tingimustele.</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Toodet turustavad ettevõtted vastutavad selle eest, et toote suhtes kohaldatavad juurdepääsutingimused oleksid täidetud.</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Ravimid ja ohtlikud tooted peavad sisaldama andmeelemente ja -süsteeme, et pimedatel või pimekurtidel oleks juurdepääs järgmisele teabele.</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Toote nimetuse identifitseerimine pakendil Braille’i kirja ja ikonograafia abil.</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Pakendil olev aegumiskuupäev Braille’i kirja ja ikonograafia või muude samade omadustega alternatiivsete ressursside abil.</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Toote põhiomadused, nagu selle koostis ja säilitamine, muu hulgas interneti kaudu audiootsingu teel või muul viisil, mis võimaldab uut tehnoloogiat, millel on sama tõhusus, kui seda taotlevad nägemispuudega inimesed.</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Supermarketite ketid ja ettevõtted, kellel on toiduaineid või segaettevõtted, peavad pimeda inimese või nende sugulase taotlusel tagama pimeda inimese või nende sugulase taotlusel kõigis kohtades, kus neil on üle 250 m² kasuliku pindala avalikuks kasutamiseks, järgmised tingimused.</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Vähemalt üks paikkonna ettevõte märgistab nimetusi ja aegumiskuupäevi Braille’i kirjas kiiresti riknevatel toodetel või toodetel, mis võivad põhjustada segadust, kasutades selleks printereid või süsteeme, mis võimaldavad sellist märgistamist Braille’i kirjas ettevõttes endas.</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Seda, et internetis müüdavad ja kodudesse toimetatavad tooted on märgistatud ka Braille’i kirjas, nagu on märgitud eelnevas punktis.</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Interneti või muude vahendite kaudu toimuv kaubanduslik levitamine annab kättesaadavas vormis teavet selle kohta, kus on ruumid, mis pakuvad võimalust märgistada tooteid Braille’i kirjas.</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Üle 50 000 elanikuga omavalitsusüksustes peetakse iga naabruskonda erinevaks territoriaalseks alaks ja eelmise lõike kohaldamisel on see samaväärne paikkonnaga.</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Kataloonia valitsus peab järk-järgult välja töötama tehnilised juhised, mis sisaldavad uusi tehnoloogilisi edusamme, ning määrama kindlaks juurdepääsetava märgistuse spetsifikatsioonid, tähtajad, omadused ja kriteeriumid ning eri kaubandussektorite toodete suhtes kohaldatavad universaalsed disainisuunised.</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Nägemispuudega ja pimekurtidel tarbijatel on õigus pääseda ligi samale tooteteabele, mis kõigil tarbijatel ja kasutajatel on märgistusel sõltumatult, tavaliselt, lihtsalt, kohe ja võrdsetel tingimustel.</w:t>
      </w:r>
      <w:r>
        <w:rPr>
          <w:sz w:val="22"/>
        </w:rPr>
        <w:t xml:space="preserve"> </w:t>
      </w:r>
      <w:r>
        <w:rPr>
          <w:sz w:val="22"/>
        </w:rPr>
        <w:t xml:space="preserve">Selleks peab juurdepääsetav märgistus vastama järgmistele tingimustele.</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See peab andma võimalikult palju teavet, pakkudes puuetega tarbijatele teiste tarbijatega võrdseid tingimusi.</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See peab võimaldama saada teavet sõltumatult, kiiresti, mugavalt, otse ja standardiseeritud viisil, ilma vajamata suuri tehnilisi teadmisi või tehnoloogilisi vahendeid.</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See ei tohi tekitada puuetega tarbijatele lisakulusid.</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See ei pea tekitama ettevõtetele mittetaskukohaseid kulusid.</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Kohustatud ettevõtted, kes pakuvad elektroonilisi müügiteenuseid, peavad vastavale veebisaidile lisama sel viisil ostetud toodete kättetoimetamise võimaluse koos juurdepääsetava märgistusega.</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Tarbijavaidluste lahendamise süsteem ning selle menetlused ja protsessid peavad olema puuetega inimestele kättesaadavad.</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Avaliku ja erasektori tarbijakaitseametid peavad võtma meetmeid, et piisavate toetusvahenditega hõlbustada side kättesaadavust kurtide jaoks, kes suhtlevad viipekeeles ja suuliselt.</w:t>
      </w:r>
      <w:r>
        <w:rPr>
          <w:sz w:val="22"/>
        </w:rPr>
        <w:t xml:space="preserve"> </w:t>
      </w:r>
      <w:r>
        <w:rPr>
          <w:sz w:val="22"/>
        </w:rPr>
        <w:t xml:space="preserve">Lisaks peab nende jaoks olema 20% avalikest teeninduslaudadest kuulmisahel ja nende töötajad peavad olema valmis andma puuetega inimestele teavet maksimaalselt kolme aasta jooksul alates käesoleva koodeksi jõustumisest.</w:t>
      </w:r>
    </w:p>
    <w:p w14:paraId="178D066A" w14:textId="77777777" w:rsidR="00CC0ADF" w:rsidRDefault="00CC0ADF">
      <w:pPr>
        <w:rPr>
          <w:lang w:val="es-ES"/>
        </w:rPr>
      </w:pPr>
    </w:p>
    <w:p w14:paraId="3EF53236" w14:textId="476D7F11" w:rsidR="00E526B5" w:rsidRDefault="00B670F2">
      <w:r>
        <w:rPr>
          <w:sz w:val="22"/>
        </w:rPr>
        <w:t xml:space="preserve">6. PEATÜKK:</w:t>
      </w:r>
      <w:r>
        <w:rPr>
          <w:sz w:val="22"/>
        </w:rPr>
        <w:t xml:space="preserve"> </w:t>
      </w:r>
      <w:r>
        <w:rPr>
          <w:sz w:val="22"/>
        </w:rPr>
        <w:t xml:space="preserve">Teenuste juurdepääsetavus</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Avalikud teenused, millel on üldsusele avatud veebisaidid, peavad andma teavet nende teenuste ning nende sõltuvuse, vahendite ja menetluste juurdepääsetavuse kohta.</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Veebisaidid, mobiilseadmete rakendused ning muud avalike teenuste pakutavad info- ja kommunikatsioonitehnoloogia tooted ja teenused peavad vastama käesoleva koodeksi lisas 5a sätestatud tingimustele ja standardile UNE-EN 301549:2022 või seda asendavale standardile kooskõlas Euroopa Parlamendi ja nõukogu direktiiviga (EL) 2016/2102 ning 7. septembri 2018. aasta kuningliku dekreediga 112/2018, mis käsitleb mobiilseadmetele mõeldud veebisaitide ja rakenduste juurdepääsetavust avalikus sektoris, ilma et see piiraks Kataloonias selles küsimuses pädeva asutuse poolt vastu võetud määruse kohaldamist.</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Supermarketite kettide ning üle 500 m² kasuliku pindalaga toidu- või segaettevõtete veebisaidid ja mobiilirakendused, mis pakuvad võimalust osta internetist ja saada tooteid kodus kättetoimetamise teel, peavad olema juurdepääsetavad vastavalt lisa 5a punktide 25 ja 26 tingimustele ning saavutama vähemalt kahekordse A (AA) juurdepääsetavuse taseme kooskõlas WCAG 2.1 suunistega järgmistel juhtudel.</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Kui tegemist on äsja loodud lehekülgede või rakendustega.</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Kui olemasolevaid lehekülgi või rakendusi muudetakse.</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Kui peetakse kinni lisa 6b lõikes 4 sätestatud tähtaegadest, kohandades olemasolevaid lehekülgi ja taotlusi.</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Mobiilseadmete veebilehed ja rakendused, mis võimaldavad panga-, lepingu- või muud liiki juhtimist või konsulteerimist füüsilises kontoris tellitud toodetega, peavad olema juurdepääsetavad vastavalt lisa 5a punktides 25 ja 26 sätestatud tingimustele ning saavutama vähemalt kahekordse A (AA) juurdepääsetavuse taseme kooskõlas WCAG 2.1 suunistega järgmistel juhtudel.</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Kui tegemist on äsja loodud lehekülgede või rakendustega.</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Kui olemasolevaid lehekülgi või rakendusi muudetakse.</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Kui peetakse kinni lisa 6b lõikes 5 sätestatud tähtaegadest, kohandades olemasolevaid lehekülgi ja taotlusi.</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Rohkem kui 100 kohaga hotellikettide ja -ettevõtete veebisaidid ja mobiilirakendused, mis võimaldavad tellida majutust ja internetipõhiseid teenuseid, peavad olema juurdepääsetavad vastavalt lisa 5a punktide 25 ja 26 tingimustele ning saavutama WCAG 2.1 suuniste kohaselt vähemalt kahekordse A (AA) juurdepääsetavuse taseme järgmistel juhtudel.</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Kui tegemist on äsja loodud lehekülgede või rakendustega.</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Kui olemasolevaid lehekülgi või rakendusi muudetakse.</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Kui peetakse kinni lisa 6b punktis 7 sätestatud tähtaegadest olemasolevate lehekülgede ja taotluste kohandamiseks.</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Ettevõtete või ettevõtete ühenduste veebisaidid ja mobiilirakendused peavad olema kättesaadavad vastavalt lisa 5a punktides 25 ja 26 sätestatud tingimustele;</w:t>
      </w:r>
      <w:r>
        <w:rPr>
          <w:sz w:val="22"/>
        </w:rPr>
        <w:t xml:space="preserve"> </w:t>
      </w:r>
      <w:r>
        <w:rPr>
          <w:sz w:val="22"/>
        </w:rPr>
        <w:t xml:space="preserve">saavutades kooskõlas WCAG 2.1 suunistega vähemalt kahekordse A (AA) juurdepääsetavuse taseme ja esitades eelmistes punktides osutatud teabe järgmistes olukordades.</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Kui tegemist on äsja loodud lehekülgede või rakendustega.</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Kui olemasolevaid lehekülgi või rakendusi muudetakse.</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Kui peetakse kinni lisa 6b punktis 3 sätestatud tähtaegadest olemasolevate lehekülgede ja taotluste kohandamiseks.</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Spordiasutuste ja klubide veebisaidid ja mobiilirakendused, mis pakuvad piletimüüki oma toimumiskohas etenduste jaoks, peavad olema juurdepääsetavad ja andma vajalikku teavet artiklis 133 sätestatud tingimustel etenduskunstiga seotud teenuste kohta.</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Formaalharidust pakkuvate haridusasutuste veebisaidid ja mobiilirakendused peavad olema juurdepääsetavad vastavalt lisa 5a punktide 25 ja 26 tingimustele ning saavutama vähemalt kahekordse A (AA) juurdepääsetavuse taseme kooskõlas WCAG 2.1 suunistega järgmistel juhtudel.</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Kui tegemist on äsja loodud lehekülgede või rakendustega.</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Kui olemasolevaid lehekülgi või rakendusi muudetakse.</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Kui peetakse kinni lisa 6b lõikes 8 sätestatud tähtaegadest, kohandades olemasolevaid lehekülgi ja taotlusi.</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Artikkel 138.</w:t>
      </w:r>
      <w:r>
        <w:rPr>
          <w:sz w:val="22"/>
        </w:rPr>
        <w:tab/>
      </w:r>
      <w:r>
        <w:rPr>
          <w:sz w:val="22"/>
        </w:rPr>
        <w:t xml:space="preserve">Esmatähtsad teenused, üldhuviteenused või riiklikult rahastatavad teenused</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Kataloonia avaliku sektori ja avalik-õiguslike äriühingute veebisaidid, samuti kõik avaliku halduse asutuste ja üksuste või äriühingute veebisaidid, mis osutavad avalikke teenuseid kontsessiooni või lepingulisel alusel avaliku haldusega, peavad vastama lisa 5a punkti 25 nõuetele ja saavutama WCAG 2.1 suuniste kohaselt kahekordse A (AA) juurdepääsetavuse taseme piiramata Kataloonias pädeva asutuse poolt vastavalt 7. septembri 2018. aasta kuninglikule dekreedile 1112/2018 (milles käsitletakse mobiilsete seadmete veebisaitide ja rakenduste juurdepääsetavust avalikus sektoris) kehtestatud määruse kohaldamist.</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Elutähtsaid teenuseid või üldhuviteenuseid, sealhulgas elektri-, vee- või gaasi- ja telekommunikatsiooniteenuseid ning tervishoiu-, posti- ja pangandusteenuseid osutavate eraõiguslike üksuste veebisaidid peavad samuti vastama lisa 5a punkti 25 nõuetele ja WCAG 2.1 suuniste kohaselt kahekordse A (AA) ligipääsetavuse nõuetele.</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Mobiilseadmete rakendused avalikus sektoris ja eespool punktides 138.1 ja 138.2 nimetatud üksused peavad vastama lisa 5a punktis 26 sätestatud juurdepääsetavuse nõuetele piiramata Kataloonia pädeva asutuse poolt selles küsimuses kehtestatud määruse kohaldamist.</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Käesolevas artiklis sätestatud veebisaitide ja mobiilirakenduste juurdepääsetavuse nõudeid kohaldatakse tingimusel, et need ei tekita ebaproportsionaalset koormust üksusele, kes peab neid kohaldama, kooskõlas järgmiste asjaoludega.</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Konkreetse üksuse mõõtmed, ressursid ja olemus.</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Üksuse kulud ja kasu ning kasutajate hinnanguline kasu, võttes arvesse veebisaidi või rakenduse kasutamise sagedust ja kestust.</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Diskrimineeriv mõju puuetega inimestele, kui veebisait või rakendus ei ole kättesaadav juhul, kui turul, veebisaitidel või alternatiivsetel rakendustel on samad funktsioonid ja tingimused.</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Punktis 138.4 sätestatud erandit kasutav avalik sektor või üksus peab selgitama, milliseid juurdepääsetavuse nõudeid ei ole võimalik veebisaidi või rakenduse juurdepääsetavuse deklaratsioonis täita, ning pakkuma võimaluste piires kättesaadavaid alternatiive.</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Veebilehed ja mobiilirakendused peavad vastama eelmistes lõikudes sätestatud juurdepääsetavuse tingimustele enne lisa 6b lõikes 2 sätestatud lõpptähtaegu.</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Teenuseosutajad ja tootjad, kes tarnivad IT-seadmeid ja tarkvara Kataloonia avalikule sektorile, ning punktis 138.1 osutatud üksused peavad hõlmama täiendavaid juurdepääsetavuse elemente ja funktsioone, mis on vajalikud, et võimaldada puuetega inimestele juurdepääs digitaalsele sisule.</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Kataloonia avalik-õiguslikud ja eratelevisioonivõrgud peavad välja töötama kavad oma sisu juurdepääsetavuse kohta, et muuta programmeerimine järk-järgult kättesaadavaks sensoorse ja vaimse puudega inimestele.</w:t>
      </w:r>
      <w:r>
        <w:rPr>
          <w:sz w:val="22"/>
        </w:rPr>
        <w:t xml:space="preserve"> </w:t>
      </w:r>
      <w:r>
        <w:rPr>
          <w:sz w:val="22"/>
        </w:rPr>
        <w:t xml:space="preserve">Need kavad peavad võimaldama saavutada järgmisi eesmärke maksimaalselt kolme aasta jooksul alates käesoleva seadustiku jõustumise ajast.</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Avalik-õiguslikud televisioonivõrgud:</w:t>
      </w:r>
      <w:r>
        <w:rPr>
          <w:sz w:val="22"/>
        </w:rPr>
        <w:t xml:space="preserve"> </w:t>
      </w:r>
      <w:r>
        <w:rPr>
          <w:sz w:val="22"/>
        </w:rPr>
        <w:t xml:space="preserve">100% nende programmist peavad olema subtiitrid ja vähemalt 15 nädalast tundi peab olema sisuga, millel on audiokirjeldus ja 10 nädalast tundi katalaani viipekeeles.</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Eratelevisioonivõrgud:</w:t>
      </w:r>
      <w:r>
        <w:rPr>
          <w:sz w:val="22"/>
        </w:rPr>
        <w:t xml:space="preserve"> </w:t>
      </w:r>
      <w:r>
        <w:rPr>
          <w:sz w:val="22"/>
        </w:rPr>
        <w:t xml:space="preserve">75% nende programmist peavad olema subtiitrid ja vähemalt 10 nädalast tundi peab olema sisuga, millel on audiokirjeldus, ja 7 nädalast tundi katalaani viipekeeles.</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Kataloonia viipekeeles programm peab sisaldama uudistesaateid ja lastesaateid, mis on saadaval eelsalvestatud vaatamise pakkumises, kui see teenus on saadaval.</w:t>
      </w:r>
      <w:r>
        <w:rPr>
          <w:sz w:val="22"/>
        </w:rPr>
        <w:t xml:space="preserve"> </w:t>
      </w:r>
      <w:r>
        <w:rPr>
          <w:sz w:val="22"/>
        </w:rPr>
        <w:t xml:space="preserve">See programm peab hõlmama iga nädalapäeva.</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Kinematograafilisi ja audiovisuaalseid teoseid levitavad ettevõtted peavad lisama subtiitrite, audiokirjelduse ja audionavigatsioonisüsteemid, eelistatavalt välismaistesse ja kodumaistesse filmidesse, millel on paremad kassahinnad või mis on saanud riiklikke või rahvusvahelisi auhindu, et teha need kättesaadavaks DVD-toe või nende funktsioonidega sarnaste süsteemide kaudu.</w:t>
      </w:r>
    </w:p>
    <w:p w14:paraId="0F3986EB" w14:textId="77777777" w:rsidR="003920DF" w:rsidRDefault="003920DF">
      <w:pPr>
        <w:rPr>
          <w:lang w:val="es-ES"/>
        </w:rPr>
      </w:pPr>
    </w:p>
    <w:p w14:paraId="44244122" w14:textId="3BAB5CCF" w:rsidR="00E526B5" w:rsidRDefault="00B670F2">
      <w:r>
        <w:rPr>
          <w:sz w:val="22"/>
        </w:rPr>
        <w:t xml:space="preserve">11. PEATÜKK:</w:t>
      </w:r>
      <w:r>
        <w:rPr>
          <w:sz w:val="22"/>
        </w:rPr>
        <w:t xml:space="preserve"> </w:t>
      </w:r>
      <w:r>
        <w:rPr>
          <w:sz w:val="22"/>
        </w:rPr>
        <w:t xml:space="preserve">Juurdepääsetavuse kvaliteedimärk</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Avalik konsultatsioon kvaliteedimärgiga asutuste, hoonete ja avalik-õiguslike üksustega peab olema võimalik vähemalt interneti kaudu, ilma et see piiraks muude sobivate vahendite kasutamist.</w:t>
      </w:r>
    </w:p>
    <w:p w14:paraId="6CBE5DDA" w14:textId="77777777" w:rsidR="00E526B5" w:rsidRDefault="00E526B5">
      <w:pPr>
        <w:rPr>
          <w:lang w:val="es-ES"/>
        </w:rPr>
      </w:pPr>
    </w:p>
    <w:p w14:paraId="3BFAD248" w14:textId="66A7955A" w:rsidR="00E526B5" w:rsidRDefault="00CF1E0D">
      <w:r>
        <w:rPr>
          <w:sz w:val="22"/>
        </w:rPr>
        <w:t xml:space="preserve">Lisa 5a.</w:t>
      </w:r>
      <w:r>
        <w:rPr>
          <w:sz w:val="22"/>
        </w:rPr>
        <w:t xml:space="preserve"> </w:t>
      </w:r>
      <w:r>
        <w:rPr>
          <w:sz w:val="22"/>
        </w:rPr>
        <w:t xml:space="preserve">Toote juurdepääsetavuse standardid</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Juurdepääsetavad veebilehed</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Suunised, mida tuleb veebisaidi kujundamisel ja loomisel järgida, ning veebisaidi juurdepääsetavuse tingimused on järgmised.</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Konfigureerige sisu nii, et seda saab kohandada erineva tarkvara, erisuguste seadmete ja tugitoodete jaoks, kaotamata teavet või struktuuri.</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Pakkuge tekstilisi alternatiive või kirjeldavat identifitseerimist mittetekstilisele sisule (pildid, graafika, multimeediasisu).</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Lisage subtiitrid ja audiokirjeldus multimeediasisu kohta, kui see on vajalik sõnumi nõuetekohaseks mõistmiseks.</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Pakkuge mehhanisme, mis võimaldavad helitugevust summutada ja reguleerida.</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Ärge kasutage värvi ainsa vahendina teabe edastamiseks, toimingu näitamiseks või elemendi eristamiseks.</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Tekst ja pildid peavad olema piisavalt kontrastsed taustaga ja suurusega, mis võimaldab neid mugavalt lugeda.</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Teksti suurust peab olema võimalik kohandada lehelt endast ilma toetavate toodeteta ning sisu või funktsionaalsust kaotamata.</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Võimaldage klaviatuuriga juurdepääs kõigile lehe funktsioonidele koos lahendusega, mis ei ole vastuolus ekraanilugejate ja suurendusseadmetega.</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Võimaldage kasutajal kontrollida teavet või objekte, mis automaatselt teisaldatakse või värskendatakse, saades neid peatada, peita või kontrollida sagedust.</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Hõlbustage navigeerimist, struktureerides sisu sidusas järjekorras ja pakkudes selgeid navigatsioonimehhanisme.</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Lisage juhendteave, et aidata kasutajatel mõista keerukaid elemente, ning luua mehhanismid kasutajate andmete sisestamisel esinevate vigade avastamiseks ja ennetamiseks.</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Tuvastage veebisaidi igas lõigus või dokumendis kasutatav keel, et ekraanilugejad ja häälsüntesaatorid saaksid keelt automaatselt tuvastada ja muuta.</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Kasutage selget ja arusaadavat keelt, et muuta sisu kergesti mõistetavaks, ning lisada kõige ebatavalisemate sõnade määratlus ning initsiaalide ja lühendite tähendus.</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Maksimeerige ühilduvust rakenduste, tarkvara ja seadmetega, mis kasutajatel võivad olla, sealhulgas tugitoodetega.</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Veenduge, et veebis avaldatud dokumendid oleks ekraanilugejatele kättesaadavad ja loetavad.</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Tagage sidekanalite olemasolu, mis on juurdepääsetavad muul viisil kui telefoni teel, e-posti, SMSi või vormide kaudu ning mille käsitlemise aeg ei ole telefonikõnega võrreldes diskrimineeriv.</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Vastake WCAG 2.1 suuniste kohastele kriteeriumidele ühel oma tasandil standardis UNE 139803:2012 või seda asendavas standardis sätestatud tingimustele, välja arvatud olukordades, kus käesolev koodeks nõuab kõrgemat taset.</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Juurdepääsetavad rakendused</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Mobiilsed rakendused peavad vastama standardis UNE 139803:2012 või seda asendavas standardis sätestatud tingimustele ja järgmistele üldkriteeriumidele.</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Kõik sõnumid, abisüsteemid ja tekstid peavad olema kirjutatud selges ja lihtsas keeles.</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Tekst peab olema arusaadav, sellise suuruse ja kirjatüübiga, mis hõlbustab lugemist.</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Taustaga elementide värvikontrast peab olema piisav.</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Juhtelemendid, objektid, ikoonid ja pildid peavad olema tuvastatavad, kergesti kasutatavad ning neil peab olema seotud alternatiivne tekst, mis näitab nende funktsiooni või tähendust.</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Hoiatustel peavad olema visuaalsed või vibratsioonilised alternatiivid.</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Teenusele juurdepääsemise protsess peab olema sujuv ja kiire.</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Rakendus peab ühilduma tugitoodetega, nagu ekraanilugejad, suurendusseadmed ja häälkäsklused.</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Rakendus peab ühilduma operatsioonisüsteemi juurdepääsetavuse vahenditega.</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Lisa 6b.</w:t>
      </w:r>
      <w:r>
        <w:rPr>
          <w:sz w:val="22"/>
        </w:rPr>
        <w:t xml:space="preserve"> </w:t>
      </w:r>
      <w:r>
        <w:rPr>
          <w:sz w:val="22"/>
        </w:rPr>
        <w:t xml:space="preserve">Olemasolevate teenuste komplekteerimistingimustele kohandamise tähtajad</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Vastavus muudele nõutavatele tingimustele</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Käesoleva lisa 6b tingimused ei piira kohustust täita olemasolevate elementide või ressursside muutmise korral kohustust täita nõutavaid juurdepääsetavuse tingimusi enne ettenähtud tähtaegu.</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Kataloonia avalik sektor, avalik-õiguslikud äriühingud ja avaliku teenuse osutajad</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Kataloonia avaliku sektori, avalik-õiguslike ettevõtete ja avalik-õiguslike asutuste veebisaitidele ja mobiilirakendustele, kes osutavad avalikke teenuseid kontsessiooni või avaliku haldusega lepingu alusel, on kehtestatud järgmised lõplikud tähtajad, et need oleksid juurdepääsetavad ja vastaksid artiklis 138 osutatud tingimustele.</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Üks aasta alates käesoleva seadustiku jõustumisest:</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Kataloonia avaliku sektori ja avalik-õiguslike ettevõtete veebisaidid.</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Kaks aastat pärast käesoleva seadustiku jõustumist:</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mobiilseadmete rakendused Kataloonia avalikus sektoris ja avalik-õiguslikes ettevõtetes.</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Kolm aastat pärast käesoleva seadustiku jõustumist:</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selliste üksuste või ettevõtete veebisaidid ja rakendused, kes osutavad avalikke teenuseid kontsessiooni või avaliku haldusega lepingu alusel.</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Nimetatud tähtajad ei piira nende kõige nõudlikumate nõuete täitmist, mida nõuavad teenuse omadused kooskõlas käesoleva lisa ülejäänud lõikudega või muude seda reguleerivate määrustega.</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Etenduskunsti, kino ja spordiüritustega seotud teenused</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Järgmised lõplikud tähtajad on kehtestatud nii, et ettevõtte veebisaidid ja elektroonilised piletimüügikanalid oleksid kättesaadavad ja vastaksid artiklis 133 sätestatud tingimustele.</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Kaks aastat pärast käesoleva seadustiku jõustumist:</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selliste ettevõtete veebisaidid ja mobiilirakendused, mille kogu piirkonnas on vähemalt 2000 istekohta.</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Internetipõhiste piletimüügiplatvormide veebisaidid ja mobiilirakendused, mis haldavad rohkem kui ühte ettevõtet, mille kogumaht on vähemalt 2000 istekohta.</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Kolm aastat pärast käesoleva seadustiku jõustumist:</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internetipõhiste piletimüügiplatvormide veebisaidid ja mobiilirakendused, mis haldavad rohkem kui ühte ettevõtet, mille kogumaht on alla 2000 istekoha.</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Neli aastat pärast käesoleva seadustiku jõustumist:</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alla 2000 istekohaga ettevõtete veebisaidid ja mobiilirakendused kogu piirkonnas.</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Kommertsteenused</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Järgmised lõplikud tähtajad on kehtestatud nii, et veebisaidid ja mobiilirakendused, mis pakuvad võimalust interneti teel oste teha, ning supermarketite kettide, samuti toidu- või segaettevõtetega äriühingute veebisaidid ja mobiilirakendused võivad olla juurdepääsetavad ja vastata artiklis 126 sätestatud tingimustele.</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Kaks aastat pärast käesoleva seadustiku jõustumist:</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selliste supermarketite kettide veebisaidid ja rakendused, millel on 10 või enam ettevõtet ja üle 500 m² kasulikku ruumi üldkasutatavaks kasutamiseks.</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Kolm aastat pärast käesoleva seadustiku jõustumist:</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mobiilseadmete veebisaidid ja rakendused supermarketite kettide jaoks, millel on 5–9 käitist ja üle 500 m² kasulikku ruumi avalikuks kasutamiseks.</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Neli aastat pärast käesoleva seadustiku jõustumist:</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mobiilseadmete veebisaidid ja rakendused supermarketite kettide ning toidu- või segaettevõtete jaoks, kus on üle 500 m² kasulikku pinda avalikuks kasutamiseks.</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Finants- ja kindlustusteenused</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Järgmised lõplikud tähtajad on kehtestatud nii, et mobiilseadmete veebisaidid ja rakendused, mis võimaldavad teha pangatoiminguid, sõlmida lepinguid, konsulteerida meditsiininõukogudega või mis tahes muud liiki juhtkonnaga või konsulteerida üksusega seoses tellitud toodetega, võivad olla juurdepääsetavad ja vastata artiklis 127 osutatud tingimustele.</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Üks aasta alates käesoleva seadustiku jõustumisest:</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veebilehed</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Kaks aastat pärast käesoleva seadustiku jõustumist:</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mobiilseadmete rakendused.</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Eratranspordiga seotud teenused</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Järgmised lõplikud tähtajad on kehtestatud nii, et ettevõtjad, kes pakuvad isejuhtivat autorenti rohkem kui 100 sõidukist koosneva sõidukipargiga, ja need, kes pakuvad autojuhiga autorenditeenust, mille sõidukipark on üle 50 sõiduki, võivad täita artiklis 128 sätestatud tingimusi.</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Üks aasta alates käesoleva seadustiku jõustumisest:</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Nad peavad olema varustatud sõidukitega, mis on võimelised vedama ratastooliga mittejuhitavaid sõidukeid, mis on vähemalt 1% nende hallatavast sõidukipargist.</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Neil peab olema piiratud liikumisvõimega juhtidele kohandatud sõidukite varu vähemalt 0,5% nende hallatavast sõidukipargist.</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Eelmistes punktides osutatud tarneid võib pakkuda nende enda sõidukitega või teiste ettevõtjatega sõlmitud kokkulepete kaudu, mis tagavad piisava kättesaadavuse.</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Kolm aastat pärast käesoleva seadustiku jõustumist:</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Vähemalt 0,5% oma sõidukipargi sõidukitest peab olema võimeline kandma ratastoolita sõitjaid.</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Kuus aastat pärast käesoleva seadustiku jõustumist:</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Vähemalt 2% oma sõidukipargi sõidukitest peab olema võimeline kandma ratastoolita sõitjaid.</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Vähemalt 0,5% oma sõidukipargi sõidukitest tuleb kohandada piiratud liikumisvõimega sõidukijuhtidele.</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Turismimajutusega seotud teenused</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Järgmised lõplikud tähtajad on kehtestatud nii, et rohkem kui 100 toa mahutavusega hotellikettide ja majutusasutuste veebisaidid ja mobiilirakendused, mis võimaldavad majutust ja veebiteenuseid broneerida, võivad olla juurdepääsetavad ja vastata artiklis 130 osutatud tingimustele.</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Kaks aastat pärast käesoleva seadustiku jõustumist:</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hotellikettide veebisaidid ja mobiilirakendused, millel on viis või enam majutusasutust ja mille ühine pakkumine on üle 500 toa.</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Kolm aastat pärast käesoleva seadustiku jõustumist:</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hotellikettide veebisaidid ja mobiilirakendused, millel on kuni 4 majutusasutust ja mille ühine pakkumine on üle 500 toa.</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500 või enama ruumiga ettevõtete veebisaidid ja mobiilirakendused.</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Neli aastat pärast käesoleva seadustiku jõustumist:</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hotellikettide veebisaidid ja mobiilirakendused, mille ühine pakkumine on 100–500 tuba</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50–500 ruumiga majutusasutuste veebisaidid ja rakendused mobiilseadmete jaoks.</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Haridusteenused</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Selleks et formaalharidust pakkuvate haridusasutuste veebisaidid ja mobiilirakendused oleksid kättesaadavad ja vastaksid artiklis 135 sätestatud tingimustele, on kehtestatud järgmised lõplikud tähtajad.</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Kaks aastat pärast käesoleva seadustiku jõustumist:</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mobiilseadmete veebilehed ja rakendused, mis võimaldavad otsida akadeemilisi dokumente, arvete haldamist või muid veebiprotsesse.</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Kolm aastat pärast käesoleva seadustiku jõustumist:</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mobiilseadmete veebisaidid ja rakendused, mis annavad teavet kooli, rajatiste ja haridusalaste pakkumiste kohta.</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Tervishoiuteenused</w:t>
      </w:r>
    </w:p>
    <w:p w14:paraId="62E28D59" w14:textId="77777777" w:rsidR="00E526B5" w:rsidRPr="000F0A63" w:rsidRDefault="00E526B5" w:rsidP="00E526B5">
      <w:pPr>
        <w:tabs>
          <w:tab w:val="left" w:pos="284"/>
        </w:tabs>
        <w:jc w:val="both"/>
        <w:rPr>
          <w:bCs/>
          <w:sz w:val="22"/>
          <w:szCs w:val="22"/>
          <w:rFonts w:cs="Arial"/>
        </w:rPr>
      </w:pPr>
      <w:r>
        <w:rPr>
          <w:sz w:val="22"/>
        </w:rPr>
        <w:t xml:space="preserve">Tervisekeskused, mille voodikohtade arv on võrdne või suurem kui 50, peavad vastama järgmistele tähtaegadele ja tingimustele.</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Kolm aastat pärast käesoleva seadustiku jõustumist:</w:t>
      </w:r>
    </w:p>
    <w:p w14:paraId="727C4E74" w14:textId="77777777" w:rsidR="00E526B5" w:rsidRPr="000F0A63" w:rsidRDefault="00E526B5" w:rsidP="00E526B5">
      <w:pPr>
        <w:tabs>
          <w:tab w:val="left" w:pos="284"/>
        </w:tabs>
        <w:jc w:val="both"/>
        <w:rPr>
          <w:sz w:val="22"/>
          <w:szCs w:val="22"/>
          <w:rFonts w:cs="Arial"/>
        </w:rPr>
      </w:pPr>
      <w:r>
        <w:rPr>
          <w:sz w:val="22"/>
        </w:rPr>
        <w:t xml:space="preserve">omama infrastruktuuri, mobiilseid seadmeid ja protokolle kurtide teenindamiseks katalaani viipekeele kaudu kaugtõlke tehnoloogia abil, mahuga vähemalt 2% vooditest.</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