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Proiect de decret regal</w:t>
      </w:r>
      <w:r>
        <w:rPr>
          <w:b/>
        </w:rPr>
        <w:tab/>
      </w:r>
      <w:r>
        <w:rPr>
          <w:b/>
        </w:rPr>
        <w:tab/>
        <w:t>din</w:t>
      </w:r>
      <w:r>
        <w:rPr>
          <w:b/>
        </w:rPr>
        <w:tab/>
      </w:r>
      <w:r>
        <w:rPr>
          <w:b/>
        </w:rPr>
        <w:tab/>
        <w:t>de modificare a Codului tehnic al construcțiilor, aprobat prin Decretul regal 314/2006 din 17 martie 2006</w:t>
      </w:r>
    </w:p>
    <w:p w14:paraId="42548872" w14:textId="172DDCC5" w:rsidR="005074AB" w:rsidRPr="003934E5" w:rsidRDefault="005074AB" w:rsidP="005074AB">
      <w:pPr>
        <w:jc w:val="both"/>
        <w:rPr>
          <w:rFonts w:cstheme="minorHAnsi"/>
        </w:rPr>
      </w:pPr>
      <w:r>
        <w:t>Legea 38/1999 din 5 noiembrie 1999 privind reglementările în domeniul construcțiilor definește Codul tehnic al construcțiilor (CTE) ca fiind cadrul de reglementare care stabilește cerințele de calitate de bază pentru clădiri și instalațiile acestora și care permite respectarea cerințelor de bază stabilite la articolul 3. Codul tehnic al construcțiilor (CTE) prevăzut de această lege a fost aprobat prin Decretul regal 314/2006 din 17 martie 2006. Documentele de bază care alcătuiesc partea a II-a a CTE stabilesc și, după caz, cuantifică cerințele de bază prevăzute în partea I prin stabilirea unor niveluri-țintă de performanță sau a unor limite sau a altor parametri. În special, documentul de bază DB-HE „economii energetice” specifică și cuantifică cerințele de eficiență energetică care trebuie îndeplinite de clădirile nou construite, precum și intervențiile asupra clădirilor existente.</w:t>
      </w:r>
    </w:p>
    <w:p w14:paraId="400360D8" w14:textId="77777777" w:rsidR="005074AB" w:rsidRPr="003934E5" w:rsidRDefault="005074AB" w:rsidP="005074AB">
      <w:pPr>
        <w:jc w:val="both"/>
        <w:rPr>
          <w:rFonts w:cstheme="minorHAnsi"/>
        </w:rPr>
      </w:pPr>
      <w:r>
        <w:t>La 30 mai 2018, a fost adoptată Directiva (UE) 2018/844 a Parlamentului European și a Consiliului de modificare a Directivei 2010/31/UE privind performanța energetică a clădirilor și a Directivei 2012/27/UE privind eficiența energetică.</w:t>
      </w:r>
    </w:p>
    <w:p w14:paraId="0B5B2276" w14:textId="142A5C6B" w:rsidR="005A6E61" w:rsidRPr="003934E5" w:rsidRDefault="005074AB" w:rsidP="005A6E61">
      <w:pPr>
        <w:jc w:val="both"/>
        <w:rPr>
          <w:rFonts w:cstheme="minorHAnsi"/>
        </w:rPr>
      </w:pPr>
      <w:r>
        <w:t>Această directivă stabilește condițiile pentru dezvoltarea infrastructurii minime necesare pentru încărcarea inteligentă a vehiculelor electrice în parcările clădirilor. Astfel, atât sectorul construcțiilor, cât și cel al mobilității sunt domenii strategice pentru decarbonizarea generală a economiei, cu un cadru de reglementare care vizează stimularea inovării, a durabilității și a eficienței energetice în aceste sectoare.</w:t>
      </w:r>
    </w:p>
    <w:p w14:paraId="4245C855" w14:textId="1828DE90" w:rsidR="005A6E61" w:rsidRPr="003934E5" w:rsidRDefault="005A6E61" w:rsidP="005A6E61">
      <w:pPr>
        <w:jc w:val="both"/>
        <w:rPr>
          <w:rFonts w:cstheme="minorHAnsi"/>
        </w:rPr>
      </w:pPr>
      <w:r>
        <w:t>La rândul său, dezvoltarea infrastructurii pentru încărcarea inteligentă a vehiculelor electrice va contribui la gestionarea și flexibilitatea energetică, la utilizarea energiilor din surse regenerabile și la îmbunătățirea calității aerului, iar performanța sa energetică va fi optimizată prin digitalizarea clădirilor și prin încorporarea noilor tehnologii în acest domeniu.</w:t>
      </w:r>
    </w:p>
    <w:p w14:paraId="45A016F5" w14:textId="74A214E6" w:rsidR="005A6E61" w:rsidRPr="003934E5" w:rsidRDefault="005A6E61" w:rsidP="005A6E61">
      <w:pPr>
        <w:jc w:val="both"/>
        <w:rPr>
          <w:rFonts w:cstheme="minorHAnsi"/>
        </w:rPr>
      </w:pPr>
      <w:r>
        <w:t xml:space="preserve">În ceea ce îl privește, Planul național integrat privind energia și clima 2021-2030 (PNIEC) prezentat de Spania Comisiei Europene prevede promovarea mobilității electrice ca măsură de reducere a consumului de energie și a emisiilor vehiculelor prin adaptarea normativă și încorporarea dreptului Uniunii Europene care să permită instalarea infrastructurii de încărcare a vehiculelor electrice în conformitate cu dezvoltarea electrificării parcului de vehicule, precum și prin alte mecanisme de încurajare și sprijin. </w:t>
      </w:r>
    </w:p>
    <w:p w14:paraId="3BF925DC" w14:textId="3FA9F544" w:rsidR="00A75681" w:rsidRPr="000E4F56" w:rsidRDefault="00C33374" w:rsidP="00A75681">
      <w:pPr>
        <w:jc w:val="both"/>
        <w:rPr>
          <w:rFonts w:cstheme="minorHAnsi"/>
        </w:rPr>
      </w:pPr>
      <w:r>
        <w:t>Pentru a atinge aceste obiective și pentru a transpune parțial directiva în acest sens, prezentul decret regal introduce în Codul tehnic al construcțiilor o nouă cerință de bază privind economiile de energie referitoare la alocările minime pentru infrastructura de încărcare a vehiculelor electrice, care este în curs de elaborare în noua secțiune HE 6 „Dotări minime pentru infrastructura încărcare a vehiculelor electrice” din documentul de bază privind economiile de energie. Pentru a asigura condiții de accesibilitate pentru punctele de încărcare din locurile de parcare accesibile, se modifică documentul de bază DB-SUA „Siguranța utilizării și accesibilitatea”.</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La rândul său, și în conformitate cu dispozițiile Legii 7/2021 din 20 mai 2021 privind schimbările climatice și tranziția energetică, o dispoziție suplimentară unică din Decretul regal 314/2006 din </w:t>
      </w:r>
      <w:r>
        <w:lastRenderedPageBreak/>
        <w:t xml:space="preserve">17 martie 2006, de aprobare a Codului tehnic al construcțiilor, stabilește următoarele cerințe: cerința privind dotările minime pentru infrastructura de încărcare a vehiculelor electrice în clădirile existente destinate altor utilizări decât cele rezidențiale private, care au o zonă de parcare cu mai mult de douăzeci de locuri de parcare, fie în interiorul, fie într-un spațiu exterior alocat, și care nu sunt incluse în domeniul de aplicare al secțiunii HE6 din Documentul de bază privind economisirea energiei. Legea nr. 7/2021 din 20 mai 2021 privind schimbările climatice și tranziția energetică stabilește obligația ca această dispoziție definită în Codul tehnic al construcțiilor să intre în vigoare înainte de 1 ianuarie 2023. </w:t>
      </w:r>
    </w:p>
    <w:p w14:paraId="1192FDEB" w14:textId="77777777" w:rsidR="005074AB" w:rsidRPr="009064BC" w:rsidRDefault="005074AB" w:rsidP="005074AB">
      <w:pPr>
        <w:jc w:val="both"/>
        <w:rPr>
          <w:rFonts w:cstheme="minorHAnsi"/>
        </w:rPr>
      </w:pPr>
      <w:r>
        <w:t>În ultimul rând, pentru a finaliza reglementarea infrastructurilor de încărcare a vehiculelor electrice, se modifică Instrucțiunea tehnică complementară (ITC) BT-52 din Regulamentul electrotehnic pentru joasă tensiune, aprobat prin Decretul regal 1053/2014 din 12 decembrie 2014, și se modifică alte instrucțiuni tehnice complementare din același regulament.</w:t>
      </w:r>
    </w:p>
    <w:p w14:paraId="53205125" w14:textId="62D4F2A6" w:rsidR="005A6E61" w:rsidRPr="009064BC" w:rsidRDefault="005074AB" w:rsidP="005A6E61">
      <w:pPr>
        <w:jc w:val="both"/>
        <w:rPr>
          <w:rFonts w:cstheme="minorHAnsi"/>
        </w:rPr>
      </w:pPr>
      <w:r>
        <w:t xml:space="preserve">În plus, ca măsură de promovare a energiilor din surse regenerabile, de îmbunătățire a competitivității sectoarelor de producție și de stimulare a implicării consumatorilor în gestionarea energiei lor, PNIEC prevede dezvoltarea autoconsumului cu energii din surse regenerabile și producția distribuită în zonele rezidențiale și de afaceri. </w:t>
      </w:r>
    </w:p>
    <w:p w14:paraId="4F23D1D3" w14:textId="56BE7436" w:rsidR="005074AB" w:rsidRPr="009064BC" w:rsidRDefault="005A6E61" w:rsidP="005074AB">
      <w:pPr>
        <w:jc w:val="both"/>
        <w:rPr>
          <w:rFonts w:cstheme="minorHAnsi"/>
        </w:rPr>
      </w:pPr>
      <w:r>
        <w:t xml:space="preserve">În acest sens, aprobarea Decretului regal 244/2019 din 5 aprilie 2019, care reglementează condițiile administrative, tehnice și economice pentru autoconsumul de energie electrică, a permis, printre altele, autoconsumul colectiv și, în același timp, a redus procedurile administrative de punere în aplicare a autoconsumului. Prin urmare, se consideră că actualul cadru juridic permite extinderea domeniului de aplicare al cerinței de bază HE 5 referitoare la producția minimă de energie electrică, atât prin aplicarea acesteia în clădirile destinate uzului rezidențial privat, cât și prin reducerea pragului suprafeței construite în clădiri pentru toate utilizările începând de la care se aplică cerința. </w:t>
      </w:r>
    </w:p>
    <w:p w14:paraId="2C3560FF" w14:textId="60FA6548" w:rsidR="005074AB" w:rsidRDefault="005074AB" w:rsidP="005074AB">
      <w:pPr>
        <w:jc w:val="both"/>
        <w:rPr>
          <w:rFonts w:cstheme="minorHAnsi"/>
        </w:rPr>
      </w:pPr>
      <w:r>
        <w:t>În plus, după ce s-au constatat erori și greșeli de tipar în Decretul regal 732/2019 din 20 decembrie 2019 de modificare a Codului tehnic al construcțiilor, aprobat prin Decretul regal 314/2006 din 17 martie 2006, publicat în „BOE” nr. 311 din 27 decembrie 2019, se efectuează rectificările corespunzătoare. La rândul său, pentru a clarifica modul de aplicare a documentului de bază DB-HE privind „economisirea energiei”, după actualizarea acestuia prin Decretul regal 732/2019 menționat anterior, se consideră necesară modificarea formulării anumitor alineate din secțiunea HE 1 privind condițiile de control al cererii de energie și a anexei A privind terminologia din documentul de bază menționat anterior.</w:t>
      </w:r>
    </w:p>
    <w:p w14:paraId="010C68C8" w14:textId="6D1CCB96" w:rsidR="00E26B23" w:rsidRDefault="00E26B23" w:rsidP="00B65F28">
      <w:pPr>
        <w:jc w:val="both"/>
        <w:rPr>
          <w:rFonts w:cstheme="minorHAnsi"/>
          <w:bCs/>
        </w:rPr>
      </w:pPr>
      <w:r>
        <w:t xml:space="preserve">Modificarea Codului tehnic cu privire la încorporarea noii secțiuni HE 6 „Dotări minime pentru infrastructura de încărcare a vehiculelor electrice” din documentul de bază privind economisirea energiei, precum și modificarea Decretului regal nr. 1053/2014 din 12 decembrie 2014, care aprobă o nouă Instrucțiune tehnică complementară (ITC) BT 52 inclusă în prima dispoziție finală și în dispoziția suplimentară unică la Decretul regal 314/2006 din 17 martie 2006, de aprobare a Codului tehnic al construcțiilor, fac parte din reformele juridice prevăzute în planul de redresare, transformare și reziliență (PRTR). În mod specific, componenta 1 a PRTR privind „Planul de șoc al mobilității durabile, sigure și conectate în medii urbane și metropolitane” angajează aprobarea acestui decret regal de punere în aplicare a reformelor juridice menționate anterior în cadrul reformei C1.R1, intitulat „Plan pentru instalarea infrastructurii de încărcare și promovarea vehiculelor electrice”.  Reforma C1.R1 este concepută ca un cadru statutar, de </w:t>
      </w:r>
      <w:r>
        <w:lastRenderedPageBreak/>
        <w:t xml:space="preserve">reglementare și strategic pentru a facilita implementarea infrastructurii de încărcare pentru promovarea vehiculelor electrice în Spania și are două etape. Prima dintre acestea este constituită prin Ordinul TMA/178/2020 din 19 februarie 2020 de modificare a Ordinului din 16 decembrie 1997, care reglementează căile de acces la drumurile de stat, drumurile de serviciu și construcția de infrastructuri de servicii, și prin Decretul-lege regal 23/2020 din 23 iunie 2020, care aprobă măsuri în domeniul energiei și în alte domenii de reactivare economică. A doua etapă a reformei C1.R1 include aprobarea prezentului decret regal de modificare a Codului tehnic al construcțiilor și a Decretului regal 1053/2014 din 12 decembrie 2014, de aprobare a unei noi instrucțiuni tehnice complementare (ITC) BT 52.  Reforma C1.R1. este legată de investiția C1.I2 „Planul de stimulare a instalării punctelor de încărcare, achiziționarea de vehicule electrice și de pile de combustie și inovarea în domeniul electromobilității, al încărcării și al hidrogenului verde”. Această investiție include liniile de ajutor pentru instalarea stațiilor de încărcare specificate în Decretul regal 266/2021 din 13 aprilie 2021 de aprobare a acordării directe a ajutorului pentru comunitățile autonome și orașele Ceuta și Melilla pentru punerea în aplicare a programelor de stimulare legate de mobilitatea electrică (MOVES III) în cadrul PRTR. </w:t>
      </w:r>
    </w:p>
    <w:p w14:paraId="65C24996" w14:textId="1073EF13" w:rsidR="003F7C25" w:rsidRPr="001C78CB" w:rsidRDefault="003F7C25" w:rsidP="005074AB">
      <w:pPr>
        <w:jc w:val="both"/>
        <w:rPr>
          <w:rFonts w:cstheme="minorHAnsi"/>
          <w:bCs/>
          <w:i/>
          <w:iCs/>
        </w:rPr>
      </w:pPr>
      <w:r>
        <w:t xml:space="preserve">Prezentul decret regal respectă [principiul de a nu prejudicia în mod semnificativ mediul (DNSH) și condițiile pentru etichetarea climatică și digitală, în conformitate cu dispozițiile PRTR, ale Regulamentului (UE) 2021/241 al Parlamentului European și al Consiliului din 12 februarie 2021 de instituire a mecanismului de reziliență și redresare, precum și ale legislației sale de punere în aplicare, în special Comunicarea Comisiei intitulată «Orientări tehnice privind aplicarea principiului de „a nu prejudicia în mod semnificativ” în temeiul Regulamentului privind Mecanismul de redresare și reziliență”», precum și cerințele Deciziei de punere în aplicare a Consiliului privind aprobarea evaluării planului de redresare, transformare și reziliență al Spaniei. Aceasta include respectarea condițiilor specifice prevăzute în componenta 1, precum și în reforma 1 în care este încadrat prezentul decret regal, atât în ceea ce privește principiul DNSH, cât și etichetarea climatică și digitală, în special cele prevăzute în secțiunile 3, 6 și 8 din documentul privind componenta PRTR. Investițiile PRTR C1.I2, asociate cu reforma C1.R1, respectă, de asemenea, principiul de a nu prejudicia în mod semnificativ mediul și condițiile climatice și etichetarea digitală. </w:t>
      </w:r>
    </w:p>
    <w:p w14:paraId="16D6EC35" w14:textId="6F02251C" w:rsidR="005074AB" w:rsidRPr="009064BC" w:rsidRDefault="005074AB" w:rsidP="005074AB">
      <w:pPr>
        <w:ind w:left="13"/>
        <w:jc w:val="both"/>
        <w:rPr>
          <w:rFonts w:cstheme="minorHAnsi"/>
        </w:rPr>
      </w:pPr>
      <w:r>
        <w:t>Prezentul decret regal respectă principiile necesității, eficacității, proporționalității, securității juridice, transparenței și eficienței stabilite la articolul 129 din Legea nr. 39/2015 din 1 octombrie 2015 privind procedura administrativă comună a administrațiilor publice. În ceea ce privește principiile necesității și eficacității, legea răspunde obligației de transpunere a directivelor europene în legislația națională și este în concordanță cu obiectivele de interes general, cum ar fi adaptarea infrastructurii de construcție pentru a promova mobilitatea durabilă și utilizarea energiei din surse regenerabile. Acest lucru va duce la bunăstare în societate și la protejarea mediului. Prezentul decret regal este, de asemenea, în conformitate cu principiul proporționalității, întrucât oferă mijloacele necesare și suficiente pentru punerea în aplicare a mandatului juridic prevăzut de directivă, dar nu impune o inovație care poate fi inutilă sau poate depăși cerințele legale și nici nu implică o restrângere a drepturilor cetățenilor. Prezentul regulament respectă principiul securității juridice, deoarece a fost elaborat în conformitate cu procedurile definite în Legea guvernamentală nr. 50/1997 din 27 noiembrie 1997 și cu principiul transparenței, deoarece identifică în mod clar scopul său, iar expunerea sa de motive accesibilă publicului explică integral conținutul său. În cele din urmă, acesta respectă, de asemenea, principiul eficienței, deoarece nu impune nicio sarcină administrativă.</w:t>
      </w:r>
    </w:p>
    <w:p w14:paraId="4E30715D" w14:textId="77777777" w:rsidR="005074AB" w:rsidRPr="009064BC" w:rsidRDefault="005074AB" w:rsidP="005074AB">
      <w:pPr>
        <w:jc w:val="both"/>
        <w:rPr>
          <w:rFonts w:cstheme="minorHAnsi"/>
        </w:rPr>
      </w:pPr>
      <w:r>
        <w:lastRenderedPageBreak/>
        <w:t>Această dispoziție generală a făcut obiectul procedurii de informare în domeniul reglementărilor tehnice și al normelor privind serviciile societății informaționale, prevăzută în Directiva (UE) 2015/1535 a Parlamentului European și a Consiliului din 9 septembrie 2015, precum și în Decretul regal 1337/1999 din 31 iulie 1999.</w:t>
      </w:r>
    </w:p>
    <w:p w14:paraId="533AAB8D" w14:textId="741A459B" w:rsidR="003C546E" w:rsidRDefault="003C546E" w:rsidP="003C546E">
      <w:pPr>
        <w:jc w:val="both"/>
        <w:rPr>
          <w:rFonts w:cstheme="minorHAnsi"/>
        </w:rPr>
      </w:pPr>
      <w:r>
        <w:t>În acest sens, la propunerea ministrului transporturilor, mobilității și agendei urbane și a celui de-al treilea viceprim-ministru al guvernului și a ministrului tranziției ecologice și al provocării demografice, în acord cu Consiliul de Stat și după deliberările Consiliului de Miniștri în cadrul reuniunii sale din data</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SE DISPUN URMĂTOARELE:</w:t>
      </w:r>
    </w:p>
    <w:p w14:paraId="29194849" w14:textId="17EA67F9" w:rsidR="005074AB" w:rsidRPr="0033081E" w:rsidRDefault="002A5A94" w:rsidP="005074AB">
      <w:pPr>
        <w:jc w:val="both"/>
        <w:rPr>
          <w:rFonts w:cstheme="minorHAnsi"/>
          <w:bCs/>
          <w:i/>
          <w:iCs/>
        </w:rPr>
      </w:pPr>
      <w:r>
        <w:t xml:space="preserve">Articol unic. </w:t>
      </w:r>
      <w:r>
        <w:rPr>
          <w:i/>
        </w:rPr>
        <w:t>Modificarea Codului tehnic al construcțiilor (CTC), aprobat prin Decretul regal 314/2006 din 17 martie 2006.</w:t>
      </w:r>
    </w:p>
    <w:p w14:paraId="49F6DB5C" w14:textId="77777777" w:rsidR="005074AB" w:rsidRPr="009064BC" w:rsidRDefault="005074AB" w:rsidP="005074AB">
      <w:pPr>
        <w:jc w:val="both"/>
        <w:rPr>
          <w:rFonts w:cstheme="minorHAnsi"/>
        </w:rPr>
      </w:pPr>
      <w:r>
        <w:t>Decretul regal 314/2006 din 17 martie 2006 de aprobare a Codului tehnic al construcțiilor (CTE) se modifică după cum urmează:</w:t>
      </w:r>
    </w:p>
    <w:p w14:paraId="1E4A23CD" w14:textId="3CA20F16" w:rsidR="005074AB" w:rsidRPr="009064BC" w:rsidRDefault="005074AB" w:rsidP="005074AB">
      <w:pPr>
        <w:ind w:left="567" w:hanging="567"/>
        <w:jc w:val="both"/>
        <w:rPr>
          <w:rFonts w:cstheme="minorHAnsi"/>
        </w:rPr>
      </w:pPr>
      <w:r>
        <w:t>1. Partea I din Codul tehnic al construcțiilor se modifică după cum urmează:</w:t>
      </w:r>
    </w:p>
    <w:p w14:paraId="7B36765A" w14:textId="6C7BF234" w:rsidR="006B44D8" w:rsidRPr="009064BC" w:rsidRDefault="006B44D8" w:rsidP="0033081E">
      <w:pPr>
        <w:ind w:left="142" w:hanging="142"/>
        <w:jc w:val="both"/>
        <w:rPr>
          <w:rFonts w:cstheme="minorHAnsi"/>
        </w:rPr>
      </w:pPr>
      <w:r>
        <w:t>— În cuprins, denumirea „15.6. Cerința de bază HE5: Producția minimă de energie electrică” are următoarea formulare:</w:t>
      </w:r>
    </w:p>
    <w:p w14:paraId="750B02FB" w14:textId="5E773080" w:rsidR="006B44D8" w:rsidRPr="009064BC" w:rsidRDefault="006B44D8" w:rsidP="00F11565">
      <w:pPr>
        <w:ind w:left="426"/>
        <w:jc w:val="both"/>
        <w:rPr>
          <w:rFonts w:cstheme="minorHAnsi"/>
        </w:rPr>
      </w:pPr>
      <w:r>
        <w:t>„15.6. Cerința de bază HE 5: Secțiunea HE5: Producția minimă de energie electrică din surse regenerabile.”</w:t>
      </w:r>
    </w:p>
    <w:p w14:paraId="0B75EAC4" w14:textId="77777777" w:rsidR="006B44D8" w:rsidRPr="009064BC" w:rsidRDefault="006B44D8" w:rsidP="006B44D8">
      <w:pPr>
        <w:numPr>
          <w:ilvl w:val="0"/>
          <w:numId w:val="9"/>
        </w:numPr>
        <w:ind w:left="142" w:hanging="142"/>
        <w:jc w:val="both"/>
        <w:rPr>
          <w:rFonts w:cstheme="minorHAnsi"/>
        </w:rPr>
      </w:pPr>
      <w:r>
        <w:t>În cuprins, la trimiterea la articolul 15 se introduce un punct suplimentar cu următoarea formulare:</w:t>
      </w:r>
    </w:p>
    <w:p w14:paraId="1C1AB680" w14:textId="1D8C7D23" w:rsidR="006B44D8" w:rsidRPr="009064BC" w:rsidRDefault="007E461E" w:rsidP="00F11565">
      <w:pPr>
        <w:ind w:left="426"/>
        <w:jc w:val="both"/>
        <w:rPr>
          <w:rFonts w:cstheme="minorHAnsi"/>
        </w:rPr>
      </w:pPr>
      <w:r>
        <w:t>„15.7. Cerința de bază HE6: Dotări minime pentru infrastructura de încărcare a vehiculelor electrice.”</w:t>
      </w:r>
    </w:p>
    <w:p w14:paraId="03B3513D" w14:textId="1133ED17" w:rsidR="001E31F3" w:rsidRPr="002C30D6" w:rsidRDefault="005074AB" w:rsidP="005074AB">
      <w:pPr>
        <w:numPr>
          <w:ilvl w:val="0"/>
          <w:numId w:val="9"/>
        </w:numPr>
        <w:ind w:left="142" w:hanging="142"/>
        <w:jc w:val="both"/>
        <w:rPr>
          <w:rFonts w:cstheme="minorHAnsi"/>
        </w:rPr>
      </w:pPr>
      <w:r>
        <w:t>La capitolul 3 articolul 15, punctul 15.6 se modifică și va avea următoarea formulare:</w:t>
      </w:r>
    </w:p>
    <w:p w14:paraId="1E36A006" w14:textId="3C6E29CB" w:rsidR="001E31F3" w:rsidRPr="009064BC" w:rsidRDefault="00F11565" w:rsidP="00F11565">
      <w:pPr>
        <w:pStyle w:val="ListParagraph"/>
        <w:ind w:left="426"/>
        <w:jc w:val="both"/>
        <w:rPr>
          <w:rFonts w:cstheme="minorHAnsi"/>
        </w:rPr>
      </w:pPr>
      <w:r>
        <w:t>„15.6 Cerința de bază HE 5: Producția minimă de energie electrică din surse regenerabile.</w:t>
      </w:r>
    </w:p>
    <w:p w14:paraId="4799EB9C" w14:textId="22AE3D4A" w:rsidR="001E31F3" w:rsidRPr="009064BC" w:rsidRDefault="001B0467" w:rsidP="00F11565">
      <w:pPr>
        <w:ind w:left="426"/>
        <w:jc w:val="both"/>
        <w:rPr>
          <w:rFonts w:cstheme="minorHAnsi"/>
        </w:rPr>
      </w:pPr>
      <w:r>
        <w:t>Clădirile trebuie să dispună de sisteme de producție a energiei electrice din surse regenerabile pentru uz propriu sau pentru alimentarea rețelei.”</w:t>
      </w:r>
    </w:p>
    <w:p w14:paraId="799517C6" w14:textId="6A449415" w:rsidR="005074AB" w:rsidRPr="009064BC" w:rsidRDefault="001E31F3" w:rsidP="005074AB">
      <w:pPr>
        <w:numPr>
          <w:ilvl w:val="0"/>
          <w:numId w:val="9"/>
        </w:numPr>
        <w:ind w:left="142" w:hanging="142"/>
        <w:jc w:val="both"/>
        <w:rPr>
          <w:rFonts w:cstheme="minorHAnsi"/>
        </w:rPr>
      </w:pPr>
      <w:r>
        <w:t>La sfârșitul articolului 15 se introduce următorul text:</w:t>
      </w:r>
    </w:p>
    <w:p w14:paraId="67BDEE2E" w14:textId="77777777" w:rsidR="005074AB" w:rsidRPr="009064BC" w:rsidRDefault="005074AB" w:rsidP="00F11565">
      <w:pPr>
        <w:ind w:left="426"/>
        <w:jc w:val="both"/>
        <w:rPr>
          <w:rFonts w:cstheme="minorHAnsi"/>
        </w:rPr>
      </w:pPr>
      <w:r>
        <w:t>„15.7 Cerința de bază HE 6: Dotări minime pentru infrastructura de încărcare a vehiculelor electrice.</w:t>
      </w:r>
    </w:p>
    <w:p w14:paraId="7C67403C" w14:textId="535BDE0B" w:rsidR="005074AB" w:rsidRDefault="005074AB" w:rsidP="00F11565">
      <w:pPr>
        <w:ind w:left="426"/>
        <w:jc w:val="both"/>
        <w:rPr>
          <w:rFonts w:cstheme="minorHAnsi"/>
        </w:rPr>
      </w:pPr>
      <w:r>
        <w:t>Clădirile trebuie să dispună de o infrastructură minimă care să permită încărcarea vehiculelor electrice.”</w:t>
      </w:r>
    </w:p>
    <w:p w14:paraId="6F674517" w14:textId="77777777" w:rsidR="002A5A94" w:rsidRPr="000E4F56" w:rsidRDefault="002A5A94" w:rsidP="002A5A94">
      <w:pPr>
        <w:pStyle w:val="ListParagraph"/>
        <w:numPr>
          <w:ilvl w:val="0"/>
          <w:numId w:val="9"/>
        </w:numPr>
        <w:ind w:left="142" w:hanging="142"/>
        <w:jc w:val="both"/>
        <w:rPr>
          <w:rFonts w:cstheme="minorHAnsi"/>
        </w:rPr>
      </w:pPr>
      <w:r>
        <w:t>Se introduce următoarea dispoziție suplimentară:</w:t>
      </w:r>
    </w:p>
    <w:p w14:paraId="2417D1DC" w14:textId="3DAEE52F" w:rsidR="002A5A94" w:rsidRPr="0033081E" w:rsidRDefault="002A5A94" w:rsidP="002A5A94">
      <w:pPr>
        <w:ind w:left="426"/>
        <w:jc w:val="both"/>
        <w:rPr>
          <w:rFonts w:cstheme="minorHAnsi"/>
          <w:bCs/>
          <w:i/>
          <w:iCs/>
        </w:rPr>
      </w:pPr>
      <w:r>
        <w:t xml:space="preserve">„Dispoziție suplimentară unică. </w:t>
      </w:r>
      <w:r>
        <w:rPr>
          <w:i/>
        </w:rPr>
        <w:t>Dotări minime pentru infrastructura de încărcare a vehiculelor electrice în clădiri destinate altor utilizări decât clădirile rezidențiale private cu mai mult de douăzeci de locuri de parcare.</w:t>
      </w:r>
    </w:p>
    <w:p w14:paraId="71CE31DD" w14:textId="72E1754E" w:rsidR="0067270E" w:rsidRPr="008F4D49" w:rsidRDefault="0067270E" w:rsidP="0067270E">
      <w:pPr>
        <w:ind w:left="426"/>
        <w:jc w:val="both"/>
      </w:pPr>
      <w:r>
        <w:lastRenderedPageBreak/>
        <w:t>În conformitate cu dispozițiile Legii 7/2021 din 20 mai 2021 privind schimbările climatice și tranziția energetică, înainte de 1 ianuarie 2023, toate clădirile destinate altor utilizări decât cele rezidențiale private, care au o zonă de parcare cu mai mult de douăzeci de locuri de parcare, fie în interiorul, fie într-un spațiu exterior desemnat, trebuie să dispună de următoarele dotări minime pentru infrastructura de încărcare a vehiculelor electrice:</w:t>
      </w:r>
    </w:p>
    <w:p w14:paraId="2339A7CE" w14:textId="2F683544" w:rsidR="0067270E" w:rsidRPr="00DC3EE9" w:rsidRDefault="0067270E" w:rsidP="00675D0E">
      <w:pPr>
        <w:ind w:left="426"/>
        <w:jc w:val="both"/>
        <w:rPr>
          <w:rFonts w:cstheme="minorHAnsi"/>
        </w:rPr>
      </w:pPr>
      <w:r>
        <w:t>— în general, se instalează o stație de încărcare pentru fiecare 40 de locuri de parcare sau echivalent până la 1 000 de locuri și o stație de încărcare suplimentară pentru fiecare 100 de locuri suplimentare sau echivalente. În mod alternativ, se solicită licența sau autorizația municipală pentru lucrările necesare pentru executarea acestei infrastructuri de încărcare sau, în cazul în care proprietarul clădirii intră sub incidența Legii nr. 9/2017 din 8 noiembrie 2017 privind contractele din sectorul public, care transpune în legislația spaniolă Directivele 2014/23/UE și 2014/24/UE ale Parlamentului European și ale Consiliului din 26 februarie 2014, oferta pentru lucrările respective sau proiectul sau documentul tehnic necesar pentru definirea acestora se inițiază prin intermediul unui anunț pe platforma de contractare corespunzătoare</w:t>
      </w:r>
      <w:bookmarkStart w:id="0" w:name="_Hlk74840570"/>
      <w:r>
        <w:t>. Lucrările efectuate oficial prin solicitarea unei licențe sau a unei autorizații municipale trebuie să înceapă în termenul maxim de eficacitate a licenței, în conformitate cu reglementările relevante și, în lipsa acesteia, în termen de șase luni de la data acordării licenței. Lucrările făcute oficiale la începutul licitației sau al licitației proiectului sau a documentului tehnic care le definește trebuie să înceapă în termenul maxim de valabilitate a licenței, a autorizației municipale sau a unui echivalent sau, în lipsa acesteia, în termen de șase luni de la data la care aceasta a fost acordată.</w:t>
      </w:r>
    </w:p>
    <w:bookmarkEnd w:id="0"/>
    <w:p w14:paraId="58AB7358" w14:textId="65977551" w:rsidR="00F90C96" w:rsidRPr="008F4D49" w:rsidRDefault="0067270E" w:rsidP="00EA32C0">
      <w:pPr>
        <w:ind w:left="426"/>
        <w:jc w:val="both"/>
        <w:rPr>
          <w:rFonts w:cstheme="minorHAnsi"/>
        </w:rPr>
      </w:pPr>
      <w:r>
        <w:t>— în clădirile aflate în proprietatea administrației generale a statului sau a organismelor publice legate de acesta sau care aparțin acesteia, se instalează o stație de încărcare pentru fiecare 20 de locuri de parcare sau echivalentul a până la 500 de locuri și o stație de încărcare suplimentară pentru fiecare 100 de spații suplimentare sau echivalent sau, alternativ, procedura de licitație pentru lucrări sau proiectul sau documentul tehnic necesar pentru definirea lucrărilor se inițiază printr-un anunț pe platforma de achiziție relevantă. Lucrările făcute oficiale la începutul licitației sau al licitației proiectului sau a documentului tehnic care le definește trebuie să înceapă în termenul maxim de valabilitate a licenței, a autorizației municipale sau a unui echivalent sau, în lipsa acesteia, în termen de șase luni de la data la care aceasta a fost acordată.</w:t>
      </w:r>
    </w:p>
    <w:p w14:paraId="354182C6" w14:textId="54A09FDC" w:rsidR="002A5A94" w:rsidRPr="00BA4C0D" w:rsidRDefault="002A5A94" w:rsidP="00210EA2">
      <w:pPr>
        <w:ind w:left="426"/>
        <w:jc w:val="both"/>
      </w:pPr>
      <w:r>
        <w:t>Clădirile protejate oficial sunt excluse de la aceste obligații deoarece fac parte dintr-un mediu declarat sau datorită valorii lor arhitecturale sau istorice specifice, în măsura în care respectarea cerinței ar putea modifica în mod nejustificat caracterul sau aspectul lor și autoritatea oficială de protecție este cea care determină elementele inalterabile.</w:t>
      </w:r>
    </w:p>
    <w:p w14:paraId="0662362C" w14:textId="0FC45639" w:rsidR="002A5A94" w:rsidRPr="0062182D" w:rsidRDefault="002A5A94" w:rsidP="0062182D">
      <w:pPr>
        <w:pStyle w:val="ListParagraph"/>
        <w:ind w:left="426"/>
        <w:jc w:val="both"/>
        <w:rPr>
          <w:rFonts w:cstheme="minorHAnsi"/>
        </w:rPr>
      </w:pPr>
      <w:r>
        <w:t>Această infrastructură de încărcare a vehiculelor electrice va respecta dispozițiile Decretului regal 842/2002 din 2 august 2002, care aprobă Regulamentul electrotehnic pentru joasă tensiune și Instrucțiunea tehnică complementară (ITC) BT 52 „Instalații cu scopuri speciale. Infrastructura pentru încărcarea vehiculelor electrice”, precum și dispozițiile secțiunilor 4. „Justificarea cerinței” și 5. „Construcția, întreținerea și conservarea” din secțiunea HE 6 „Dotări minime pentru infrastructura de încărcare a vehiculelor electrice” din documentul de bază DB-HE „Economii de energie”.</w:t>
      </w:r>
    </w:p>
    <w:p w14:paraId="0769E30E" w14:textId="6A51451B" w:rsidR="0033081E" w:rsidRPr="008F4D49" w:rsidRDefault="005074AB" w:rsidP="00D47CC2">
      <w:pPr>
        <w:jc w:val="both"/>
        <w:rPr>
          <w:rFonts w:cstheme="minorHAnsi"/>
        </w:rPr>
      </w:pPr>
      <w:r>
        <w:lastRenderedPageBreak/>
        <w:t xml:space="preserve">2. Documentul de bază DB-HE „Economii de energie” inclus în partea II a Codului tehnic al construcțiilor se modifică, incluzând secțiunea HE 6 „Dotări minime pentru infrastructura de încărcare a vehiculelor electrice”, care este inclusă în anexa I la prezentul decret regal. </w:t>
      </w:r>
    </w:p>
    <w:p w14:paraId="5DC46FAC" w14:textId="4A465EFF" w:rsidR="005074AB" w:rsidRPr="008F4D49" w:rsidRDefault="005074AB" w:rsidP="005074AB">
      <w:pPr>
        <w:spacing w:after="162"/>
        <w:ind w:left="13"/>
        <w:jc w:val="both"/>
        <w:rPr>
          <w:rFonts w:cstheme="minorHAnsi"/>
        </w:rPr>
      </w:pPr>
      <w:r>
        <w:t>De asemenea, se introduc în documentul de bază DB-HE următoarele modificări:</w:t>
      </w:r>
    </w:p>
    <w:p w14:paraId="53FD09BA" w14:textId="1FBEE4B0" w:rsidR="005074AB" w:rsidRPr="009064BC" w:rsidRDefault="005074AB" w:rsidP="006424FF">
      <w:pPr>
        <w:numPr>
          <w:ilvl w:val="0"/>
          <w:numId w:val="13"/>
        </w:numPr>
        <w:spacing w:after="162"/>
        <w:ind w:left="720" w:hanging="295"/>
        <w:jc w:val="both"/>
        <w:rPr>
          <w:rFonts w:cstheme="minorHAnsi"/>
        </w:rPr>
      </w:pPr>
      <w:r>
        <w:t>La primul paragraf din secțiunea „I Obiectul” din „Introducere”, în teza „Secțiunile din prezentul DB corespund cerințelor de bază HE 0-HE 5”, în loc de „HE 5” trebuie să figureze „HE 6”.</w:t>
      </w:r>
    </w:p>
    <w:p w14:paraId="7957EC48" w14:textId="441BEE49" w:rsidR="006F5E38" w:rsidRPr="009064BC" w:rsidRDefault="006F5E38" w:rsidP="006424FF">
      <w:pPr>
        <w:numPr>
          <w:ilvl w:val="0"/>
          <w:numId w:val="13"/>
        </w:numPr>
        <w:spacing w:after="162"/>
        <w:ind w:left="720" w:hanging="295"/>
        <w:jc w:val="both"/>
        <w:rPr>
          <w:rFonts w:cstheme="minorHAnsi"/>
        </w:rPr>
      </w:pPr>
      <w:r>
        <w:t>În secțiunea I „Obiectul” din „Introducere”, trimiterea la articolul 15.6 din partea I a CTE se modifică după cum urmează:</w:t>
      </w:r>
    </w:p>
    <w:p w14:paraId="5F1636DD" w14:textId="77777777" w:rsidR="006F5E38" w:rsidRPr="009064BC" w:rsidRDefault="006F5E38" w:rsidP="009064BC">
      <w:pPr>
        <w:pStyle w:val="ListParagraph"/>
        <w:ind w:left="709"/>
        <w:contextualSpacing w:val="0"/>
        <w:jc w:val="both"/>
        <w:rPr>
          <w:rFonts w:cstheme="minorHAnsi"/>
        </w:rPr>
      </w:pPr>
      <w:r>
        <w:t>„15.6 Cerința de bază HE 5: Producția minimă de energie electrică din surse regenerabile.</w:t>
      </w:r>
    </w:p>
    <w:p w14:paraId="6BB983CA" w14:textId="72439AD8" w:rsidR="006F5E38" w:rsidRPr="009064BC" w:rsidRDefault="006F5E38" w:rsidP="009064BC">
      <w:pPr>
        <w:pStyle w:val="ListParagraph"/>
        <w:spacing w:after="162"/>
        <w:ind w:left="709"/>
        <w:contextualSpacing w:val="0"/>
        <w:jc w:val="both"/>
        <w:rPr>
          <w:rFonts w:cstheme="minorHAnsi"/>
        </w:rPr>
      </w:pPr>
      <w:r>
        <w:t>Clădirile trebuie să dispună de sisteme de producție a energiei electrice din surse regenerabile pentru uz propriu sau pentru alimentarea rețelei.”</w:t>
      </w:r>
    </w:p>
    <w:p w14:paraId="2D6B0228" w14:textId="7AFD12CA" w:rsidR="005074AB" w:rsidRPr="009064BC" w:rsidRDefault="005074AB" w:rsidP="006424FF">
      <w:pPr>
        <w:numPr>
          <w:ilvl w:val="0"/>
          <w:numId w:val="13"/>
        </w:numPr>
        <w:spacing w:after="162"/>
        <w:ind w:left="720" w:hanging="295"/>
        <w:jc w:val="both"/>
        <w:rPr>
          <w:rFonts w:cstheme="minorHAnsi"/>
        </w:rPr>
      </w:pPr>
      <w:r>
        <w:t>În secțiunea I „Obiectul” din „Introducere”, se introduce un punct suplimentar în trimiterea la articolul 15 din partea I a CTE de la sfârșitul CTE, cu următoarea formulare:</w:t>
      </w:r>
    </w:p>
    <w:p w14:paraId="7D3E8D59" w14:textId="77777777" w:rsidR="005074AB" w:rsidRPr="009064BC" w:rsidRDefault="005074AB" w:rsidP="006424FF">
      <w:pPr>
        <w:ind w:left="709"/>
        <w:jc w:val="both"/>
        <w:rPr>
          <w:rFonts w:cstheme="minorHAnsi"/>
        </w:rPr>
      </w:pPr>
      <w:r>
        <w:t>„15.7. Cerința de bază HE 6: Dotări minime pentru infrastructura de încărcare a vehiculelor electrice.</w:t>
      </w:r>
    </w:p>
    <w:p w14:paraId="63C180D9" w14:textId="77777777" w:rsidR="005074AB" w:rsidRPr="009064BC" w:rsidRDefault="005074AB" w:rsidP="006424FF">
      <w:pPr>
        <w:ind w:left="709"/>
        <w:jc w:val="both"/>
        <w:rPr>
          <w:rFonts w:cstheme="minorHAnsi"/>
        </w:rPr>
      </w:pPr>
      <w:r>
        <w:t>Clădirile trebuie să dispună de o infrastructură minimă care să permită încărcarea vehiculelor electrice.”</w:t>
      </w:r>
    </w:p>
    <w:p w14:paraId="2CCB9F35" w14:textId="1C8D3E4F" w:rsidR="001B0467" w:rsidRPr="009064BC" w:rsidRDefault="001B0467" w:rsidP="006424FF">
      <w:pPr>
        <w:numPr>
          <w:ilvl w:val="0"/>
          <w:numId w:val="13"/>
        </w:numPr>
        <w:ind w:left="720" w:hanging="294"/>
        <w:jc w:val="both"/>
        <w:rPr>
          <w:rFonts w:cstheme="minorHAnsi"/>
        </w:rPr>
      </w:pPr>
      <w:r>
        <w:t>În cuprins, titlul secțiunii HE 5 se modifică după cum urmează:</w:t>
      </w:r>
    </w:p>
    <w:p w14:paraId="7DC0F11B" w14:textId="4E9858DC" w:rsidR="001B0467" w:rsidRPr="009064BC" w:rsidRDefault="001B0467" w:rsidP="001B0467">
      <w:pPr>
        <w:pStyle w:val="ListParagraph"/>
        <w:ind w:left="709"/>
        <w:jc w:val="both"/>
        <w:rPr>
          <w:rFonts w:cstheme="minorHAnsi"/>
        </w:rPr>
      </w:pPr>
      <w:r>
        <w:t>„Secțiunea HE 5 Producția minimă de energie electrică din surse regenerabile.”</w:t>
      </w:r>
    </w:p>
    <w:p w14:paraId="1178E5DE" w14:textId="4953BECD" w:rsidR="005074AB" w:rsidRPr="009064BC" w:rsidRDefault="005074AB" w:rsidP="006424FF">
      <w:pPr>
        <w:numPr>
          <w:ilvl w:val="0"/>
          <w:numId w:val="13"/>
        </w:numPr>
        <w:ind w:left="720" w:hanging="294"/>
        <w:jc w:val="both"/>
        <w:rPr>
          <w:rFonts w:cstheme="minorHAnsi"/>
        </w:rPr>
      </w:pPr>
      <w:r>
        <w:t>La trimiterea la articolul 15 din cuprins se introduce un punct suplimentar cu următoarea formulare:</w:t>
      </w:r>
    </w:p>
    <w:p w14:paraId="661731BD" w14:textId="50DD66A3" w:rsidR="005074AB" w:rsidRPr="009064BC" w:rsidRDefault="00982E58" w:rsidP="00982E58">
      <w:pPr>
        <w:tabs>
          <w:tab w:val="left" w:pos="7938"/>
        </w:tabs>
        <w:ind w:left="1134" w:hanging="425"/>
        <w:contextualSpacing/>
        <w:jc w:val="both"/>
        <w:rPr>
          <w:rFonts w:cstheme="minorHAnsi"/>
        </w:rPr>
      </w:pPr>
      <w:r>
        <w:t>„Secțiunea HE 6 Dotări minime pentru infrastructura de încărcare a vehiculelor electrice……………………………………………………………………………………..……………..</w:t>
      </w:r>
      <w:r>
        <w:tab/>
        <w:t>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Domeniul de aplicare..........................................................................................</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Descrierea cerinței……………………………………………………………………</w:t>
      </w:r>
      <w:r>
        <w:tab/>
        <w:t>34</w:t>
      </w:r>
    </w:p>
    <w:p w14:paraId="4D6A108B" w14:textId="59207892" w:rsidR="005074AB" w:rsidRPr="009064BC" w:rsidRDefault="005074AB" w:rsidP="00982E58">
      <w:pPr>
        <w:numPr>
          <w:ilvl w:val="0"/>
          <w:numId w:val="10"/>
        </w:numPr>
        <w:tabs>
          <w:tab w:val="left" w:pos="7938"/>
        </w:tabs>
        <w:ind w:left="1134" w:hanging="425"/>
        <w:contextualSpacing/>
        <w:jc w:val="both"/>
        <w:rPr>
          <w:rFonts w:cstheme="minorHAnsi"/>
        </w:rPr>
      </w:pPr>
      <w:r>
        <w:t>Cuantificarea cerinței………………………………………………………………..</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Justificarea cerinței……………………………………………………………………</w:t>
      </w:r>
      <w:r>
        <w:tab/>
        <w:t>34</w:t>
      </w:r>
    </w:p>
    <w:p w14:paraId="7CB375BD" w14:textId="338BA3F1" w:rsidR="005074AB" w:rsidRPr="009064BC" w:rsidRDefault="005074AB" w:rsidP="00982E58">
      <w:pPr>
        <w:numPr>
          <w:ilvl w:val="0"/>
          <w:numId w:val="10"/>
        </w:numPr>
        <w:tabs>
          <w:tab w:val="left" w:pos="7938"/>
        </w:tabs>
        <w:ind w:left="1134" w:hanging="425"/>
        <w:contextualSpacing/>
        <w:jc w:val="both"/>
        <w:rPr>
          <w:rFonts w:cstheme="minorHAnsi"/>
        </w:rPr>
      </w:pPr>
      <w:r>
        <w:t>Construcție, întreținere și conservare……………………………………………………....35</w:t>
      </w:r>
    </w:p>
    <w:p w14:paraId="0BB8C82D" w14:textId="09943AE3" w:rsidR="005074AB" w:rsidRPr="009064BC" w:rsidRDefault="006424FF" w:rsidP="00982E58">
      <w:pPr>
        <w:tabs>
          <w:tab w:val="left" w:pos="7938"/>
        </w:tabs>
        <w:ind w:left="1843" w:hanging="425"/>
        <w:contextualSpacing/>
        <w:jc w:val="both"/>
        <w:rPr>
          <w:rFonts w:cstheme="minorHAnsi"/>
        </w:rPr>
      </w:pPr>
      <w:r>
        <w:t>5.1</w:t>
      </w:r>
      <w:r>
        <w:tab/>
        <w:t>Executare……………………………………………………………………………………….</w:t>
      </w:r>
      <w:r>
        <w:tab/>
        <w:t>35</w:t>
      </w:r>
    </w:p>
    <w:p w14:paraId="4AE42B35" w14:textId="0F1D2EFE" w:rsidR="005074AB" w:rsidRPr="009064BC" w:rsidRDefault="005074AB" w:rsidP="00982E58">
      <w:pPr>
        <w:tabs>
          <w:tab w:val="left" w:pos="7938"/>
        </w:tabs>
        <w:ind w:left="1843" w:hanging="425"/>
        <w:contextualSpacing/>
        <w:jc w:val="both"/>
        <w:rPr>
          <w:rFonts w:cstheme="minorHAnsi"/>
        </w:rPr>
      </w:pPr>
      <w:r>
        <w:t>5.2</w:t>
      </w:r>
      <w:r>
        <w:tab/>
        <w:t>Monitorizarea executării lucrărilor…………………………………………………..35</w:t>
      </w:r>
    </w:p>
    <w:p w14:paraId="2E5A6752" w14:textId="5AE20D60" w:rsidR="005074AB" w:rsidRPr="009064BC" w:rsidRDefault="005074AB" w:rsidP="00982E58">
      <w:pPr>
        <w:tabs>
          <w:tab w:val="left" w:pos="7938"/>
        </w:tabs>
        <w:ind w:left="1843" w:hanging="436"/>
        <w:contextualSpacing/>
        <w:jc w:val="both"/>
        <w:rPr>
          <w:rFonts w:cstheme="minorHAnsi"/>
        </w:rPr>
      </w:pPr>
      <w:r>
        <w:t>5.3</w:t>
      </w:r>
      <w:r>
        <w:tab/>
        <w:t>Verificarea lucrărilor finalizate………………………………………………………….</w:t>
      </w:r>
      <w:r>
        <w:tab/>
        <w:t>35</w:t>
      </w:r>
    </w:p>
    <w:p w14:paraId="5D3A912D" w14:textId="60EA40E7" w:rsidR="005074AB" w:rsidRPr="009064BC" w:rsidRDefault="005074AB" w:rsidP="00982E58">
      <w:pPr>
        <w:tabs>
          <w:tab w:val="left" w:pos="7938"/>
        </w:tabs>
        <w:ind w:left="1843" w:hanging="425"/>
        <w:contextualSpacing/>
        <w:jc w:val="both"/>
        <w:rPr>
          <w:rFonts w:cstheme="minorHAnsi"/>
        </w:rPr>
      </w:pPr>
      <w:r>
        <w:t>5.4</w:t>
      </w:r>
      <w:r>
        <w:tab/>
        <w:t>Întreținerea și conservarea clădirii………………………..…………..</w:t>
      </w:r>
      <w:r w:rsidR="00930F87">
        <w:rPr>
          <w:lang w:val="el-GR"/>
        </w:rPr>
        <w:t>...............</w:t>
      </w:r>
      <w:r>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În secțiunea HE 0 „Limitarea consumului energetic”, în secțiunea 4.1 „Procedura de calcul”, la punctul 9, cuvintele „Document recunoscut” se înlocuiesc cu cuvintele „Document recunoscut de certificare energetică a clădirilor”.</w:t>
      </w:r>
    </w:p>
    <w:p w14:paraId="3222E360" w14:textId="2F90CB7E" w:rsidR="0067340E" w:rsidRPr="0067340E" w:rsidRDefault="006C16B4" w:rsidP="0026457E">
      <w:pPr>
        <w:numPr>
          <w:ilvl w:val="0"/>
          <w:numId w:val="13"/>
        </w:numPr>
        <w:ind w:left="720" w:hanging="295"/>
        <w:jc w:val="both"/>
        <w:rPr>
          <w:rFonts w:cstheme="minorHAnsi"/>
        </w:rPr>
      </w:pPr>
      <w:r>
        <w:lastRenderedPageBreak/>
        <w:t>În secțiunea HE 0 „Limitarea consumului energetic”, în secțiunea 4.1 „Procedura de calcul”, punctul 9 devine punctul 11 și se adaugă următoarele puncte:</w:t>
      </w:r>
    </w:p>
    <w:p w14:paraId="3392DEB4" w14:textId="73112890" w:rsidR="0067340E" w:rsidRDefault="0067340E" w:rsidP="0067340E">
      <w:pPr>
        <w:ind w:left="1134" w:hanging="425"/>
        <w:contextualSpacing/>
        <w:jc w:val="both"/>
        <w:rPr>
          <w:rFonts w:cstheme="minorHAnsi"/>
        </w:rPr>
      </w:pPr>
      <w:r>
        <w:t>9.</w:t>
      </w:r>
      <w:r>
        <w:tab/>
        <w:t>Calculul bilanțului energetic necesar pentru verificarea cerințelor prezentei BD se efectuează în conformitate cu standardul UNE-EN ISO 52000-1:2019: Evaluarea globală a performanței energetice a clădirilor. Partea 1: cadrul general și procedurile, utilizând un factor de export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În scopul repartizării diferitelor servicii, distribuția energiei electrice produse la fața locului, în fiecare interval de timp, se calculează proporțional cu consumul de energie electrică al consumului în cauză (încălzire, răcire, ventilație, ACS și în uz terțiar, în plus, iluminat).”</w:t>
      </w:r>
    </w:p>
    <w:p w14:paraId="78947690" w14:textId="66930B3C" w:rsidR="005074AB" w:rsidRPr="009064BC" w:rsidRDefault="005074AB" w:rsidP="0026457E">
      <w:pPr>
        <w:numPr>
          <w:ilvl w:val="0"/>
          <w:numId w:val="13"/>
        </w:numPr>
        <w:ind w:left="720" w:hanging="294"/>
        <w:jc w:val="both"/>
        <w:rPr>
          <w:rFonts w:cstheme="minorHAnsi"/>
        </w:rPr>
      </w:pPr>
      <w:r>
        <w:t>În secțiunea HE 1 „Condiții de control al cererii de energie”, în secțiunea 3.1.1 „Transmitanța învelișului termic”, se adaugă următorul punct:</w:t>
      </w:r>
    </w:p>
    <w:p w14:paraId="729573A3" w14:textId="05413AE2" w:rsidR="005074AB" w:rsidRPr="009064BC" w:rsidRDefault="005074AB" w:rsidP="006424FF">
      <w:pPr>
        <w:ind w:left="1134" w:hanging="425"/>
        <w:jc w:val="both"/>
        <w:rPr>
          <w:rFonts w:cstheme="minorHAnsi"/>
        </w:rPr>
      </w:pPr>
      <w:r>
        <w:t>„6.</w:t>
      </w:r>
      <w:r>
        <w:tab/>
        <w:t>Alternativ, clădirile sau, în cazul intervențiilor parțiale asupra clădirilor existente, părțile clădirilor pe care se efectuează intervenții, ale căror cerințe de încălzire și răcire sunt mai mici, în ambele cazuri, de 15 kWh/m</w:t>
      </w:r>
      <w:r>
        <w:rPr>
          <w:vertAlign w:val="superscript"/>
        </w:rPr>
        <w:t>2</w:t>
      </w:r>
      <w:r>
        <w:t xml:space="preserve"> pot fi excluse de la respectarea </w:t>
      </w:r>
      <w:r>
        <w:rPr>
          <w:i/>
        </w:rPr>
        <w:t>coeficientului global de transfer de căldură prin învelișul termic (K)</w:t>
      </w:r>
      <w:r>
        <w:t>.”</w:t>
      </w:r>
    </w:p>
    <w:p w14:paraId="49941342" w14:textId="77777777" w:rsidR="00802B87" w:rsidRDefault="005074AB" w:rsidP="00802B87">
      <w:pPr>
        <w:numPr>
          <w:ilvl w:val="0"/>
          <w:numId w:val="13"/>
        </w:numPr>
        <w:ind w:left="709" w:hanging="283"/>
        <w:contextualSpacing/>
        <w:jc w:val="both"/>
        <w:rPr>
          <w:rFonts w:cstheme="minorHAnsi"/>
        </w:rPr>
      </w:pPr>
      <w:r>
        <w:t>În secțiunea HE 1 „Condiții de control al cererii de energie”, în secțiunea 3.1.3 „Permeabilitatea la aer a învelișului termic”, se adaugă următorul punct 3 nou:</w:t>
      </w:r>
    </w:p>
    <w:p w14:paraId="1D58DEB1" w14:textId="0D8F3294" w:rsidR="005074AB" w:rsidRPr="00802B87" w:rsidRDefault="005074AB" w:rsidP="00802B87">
      <w:pPr>
        <w:ind w:left="709"/>
        <w:contextualSpacing/>
        <w:jc w:val="both"/>
        <w:rPr>
          <w:rFonts w:cstheme="minorHAnsi"/>
        </w:rPr>
      </w:pPr>
      <w:r>
        <w:t xml:space="preserve">„În cazul modificărilor, tabelul 3.1.3.a-HE1 de mai sus se aplică numai acelor elemente ale </w:t>
      </w:r>
      <w:r>
        <w:rPr>
          <w:i/>
        </w:rPr>
        <w:t>învelișului termic</w:t>
      </w:r>
      <w:r>
        <w:t xml:space="preserve"> care sunt înlocuite, încorporate sau modificate substanțial;”</w:t>
      </w:r>
    </w:p>
    <w:p w14:paraId="7563FEDE" w14:textId="74826D79" w:rsidR="005074AB" w:rsidRDefault="005074AB" w:rsidP="00836E07">
      <w:pPr>
        <w:ind w:left="709"/>
        <w:jc w:val="both"/>
        <w:rPr>
          <w:rFonts w:cstheme="minorHAnsi"/>
        </w:rPr>
      </w:pPr>
      <w:r>
        <w:t>Numerotarea punctelor 3 și 4 actuale din secțiunea 3.1.3 „Permeabilitatea la aer a învelișului termic” se înlocuiește cu 4 și, respectiv, 5.</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În secțiunea HE 3 Condiții pentru instalațiile de iluminat, în tabelul 3.1-HE3 Valoarea limită a eficienței instalației (VEEI</w:t>
      </w:r>
      <w:r>
        <w:rPr>
          <w:vertAlign w:val="subscript"/>
        </w:rPr>
        <w:t>lim</w:t>
      </w:r>
      <w:r>
        <w:t xml:space="preserve">), textul „Depozite și magazine mici” se înlocuiește cu textul „Depozite și magazine mici </w:t>
      </w:r>
      <w:r>
        <w:rPr>
          <w:rFonts w:ascii="Calibri" w:hAnsi="Calibri"/>
          <w:vertAlign w:val="subscript"/>
        </w:rPr>
        <w:t>(10)</w:t>
      </w:r>
      <w:r>
        <w:t>” și se adaugă următoarea notă de subsol:</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Termenul «magazin» se referă atât la mici magazine independente, cât și la partea pentru uz comercial care nu este utilizată în mod obișnuit în centrele comerciale.”</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În secțiunea HE 4 Contribuția minimă a energiei din surse regenerabile la satisfacerea cererii de apă caldă menajeră, secțiunea 2 „Descrierea cerinței”, articolul 1 are următoarea formulare:</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Clădirile trebuie să răspundă nevoilor lor de ACS și de încălzire a apei pentru piscinele interioare încălzite, utilizând în mare măsură procesele de cogenerare din surse regenerabile; fie generate în clădirea propriu-zisă, fie prin conectarea la un sistem de termoficare.”</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În secțiunea HE 5 Producția minimă de energie electrică, titlul devine:</w:t>
      </w:r>
    </w:p>
    <w:p w14:paraId="1835914C" w14:textId="7892C477" w:rsidR="005074AB" w:rsidRPr="009064BC" w:rsidRDefault="00836E07" w:rsidP="006F5E38">
      <w:pPr>
        <w:pStyle w:val="ListParagraph"/>
        <w:ind w:left="709"/>
        <w:contextualSpacing w:val="0"/>
        <w:jc w:val="both"/>
        <w:rPr>
          <w:rFonts w:cstheme="minorHAnsi"/>
        </w:rPr>
      </w:pPr>
      <w:r>
        <w:t>„Secțiunea HE 5 Producția minimă de energie electrică din surse regenerabile.”</w:t>
      </w:r>
    </w:p>
    <w:p w14:paraId="5A13D3D2" w14:textId="6E7AA8ED" w:rsidR="005074AB" w:rsidRPr="009064BC" w:rsidRDefault="005074AB" w:rsidP="00CC005A">
      <w:pPr>
        <w:numPr>
          <w:ilvl w:val="0"/>
          <w:numId w:val="13"/>
        </w:numPr>
        <w:ind w:left="720" w:hanging="294"/>
        <w:jc w:val="both"/>
        <w:rPr>
          <w:rFonts w:cstheme="minorHAnsi"/>
        </w:rPr>
      </w:pPr>
      <w:r>
        <w:t xml:space="preserve">În secțiunea HE 5 Producția minimă de energie electrică, secțiunea 1, „Domeniul de aplicare”, are următoarea formulare: </w:t>
      </w:r>
    </w:p>
    <w:p w14:paraId="45B1F681" w14:textId="77777777" w:rsidR="005074AB" w:rsidRPr="009064BC" w:rsidRDefault="005074AB" w:rsidP="00CC005A">
      <w:pPr>
        <w:ind w:left="1134" w:hanging="425"/>
        <w:jc w:val="both"/>
        <w:rPr>
          <w:rFonts w:cstheme="minorHAnsi"/>
        </w:rPr>
      </w:pPr>
      <w:r>
        <w:t>1.</w:t>
      </w:r>
      <w:r>
        <w:tab/>
        <w:t xml:space="preserve">Prezenta secțiune se aplică în următoarele cazuri: </w:t>
      </w:r>
    </w:p>
    <w:p w14:paraId="10C39280" w14:textId="4335D1B7" w:rsidR="002F2BD0" w:rsidRPr="003934E5" w:rsidRDefault="005074AB" w:rsidP="002F2BD0">
      <w:pPr>
        <w:numPr>
          <w:ilvl w:val="0"/>
          <w:numId w:val="8"/>
        </w:numPr>
        <w:ind w:left="1418" w:hanging="284"/>
        <w:contextualSpacing/>
        <w:jc w:val="both"/>
        <w:rPr>
          <w:rFonts w:cstheme="minorHAnsi"/>
        </w:rPr>
      </w:pPr>
      <w:r>
        <w:lastRenderedPageBreak/>
        <w:t>clădiri nou construite atunci când acestea depășesc 1 000 m</w:t>
      </w:r>
      <w:r>
        <w:rPr>
          <w:vertAlign w:val="superscript"/>
        </w:rPr>
        <w:t>2</w:t>
      </w:r>
      <w:r>
        <w:t xml:space="preserve"> construiți;</w:t>
      </w:r>
    </w:p>
    <w:p w14:paraId="288E1AFC" w14:textId="6CE90E6C" w:rsidR="002F2BD0" w:rsidRPr="003934E5" w:rsidRDefault="002F2BD0" w:rsidP="002F2BD0">
      <w:pPr>
        <w:numPr>
          <w:ilvl w:val="0"/>
          <w:numId w:val="8"/>
        </w:numPr>
        <w:ind w:left="1418" w:hanging="284"/>
        <w:contextualSpacing/>
        <w:jc w:val="both"/>
        <w:rPr>
          <w:rFonts w:cstheme="minorHAnsi"/>
        </w:rPr>
      </w:pPr>
      <w:r>
        <w:t>extinderi ale clădirilor existente, atunci când suprafața construită este mărită cu mai mult de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clădiri existente care sunt complet renovate sau, în cazul în care există o schimbare de utilizare caracteristică a acestora, atunci când acestea depășesc 1 000 m</w:t>
      </w:r>
      <w:r>
        <w:rPr>
          <w:vertAlign w:val="superscript"/>
        </w:rPr>
        <w:t>2</w:t>
      </w:r>
      <w:r>
        <w:t xml:space="preserve"> de suprafață construită.</w:t>
      </w:r>
    </w:p>
    <w:p w14:paraId="2BDE8293" w14:textId="74B0ACD8" w:rsidR="001B0467" w:rsidRPr="003934E5" w:rsidRDefault="00D76296" w:rsidP="001B0467">
      <w:pPr>
        <w:ind w:left="1134"/>
        <w:jc w:val="both"/>
        <w:rPr>
          <w:rFonts w:cstheme="minorHAnsi"/>
        </w:rPr>
      </w:pPr>
      <w:r>
        <w:t xml:space="preserve">Se consideră că zona construită include suprafața locurilor de parcare din interiorul clădirii și exclude zonele comune în aer liber.”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În secțiunea HE 5 „Producția minimă de energie electrică”, punctul 1 din secțiunea 2 „Caracterizarea cerinței” are următoarea formulare:</w:t>
      </w:r>
    </w:p>
    <w:p w14:paraId="477CF5F6" w14:textId="719B0DCE" w:rsidR="001B0467" w:rsidRPr="003934E5" w:rsidRDefault="003934E5" w:rsidP="003934E5">
      <w:pPr>
        <w:pStyle w:val="ListParagraph"/>
        <w:ind w:left="1134" w:hanging="425"/>
        <w:contextualSpacing w:val="0"/>
        <w:jc w:val="both"/>
        <w:rPr>
          <w:rFonts w:cstheme="minorHAnsi"/>
        </w:rPr>
      </w:pPr>
      <w:r>
        <w:t>1.</w:t>
      </w:r>
      <w:r>
        <w:tab/>
        <w:t>Clădirile trebuie să dispună de sisteme de producție a energiei electrice din surse regenerabile pentru uz propriu sau pentru alimentarea rețelei.”</w:t>
      </w:r>
    </w:p>
    <w:p w14:paraId="6586AED4" w14:textId="66518836" w:rsidR="005074AB" w:rsidRPr="003934E5" w:rsidRDefault="005074AB" w:rsidP="00262992">
      <w:pPr>
        <w:pStyle w:val="ListParagraph"/>
        <w:numPr>
          <w:ilvl w:val="0"/>
          <w:numId w:val="13"/>
        </w:numPr>
        <w:ind w:left="709" w:hanging="283"/>
        <w:jc w:val="both"/>
        <w:rPr>
          <w:rFonts w:cstheme="minorHAnsi"/>
        </w:rPr>
      </w:pPr>
      <w:r>
        <w:t>În secțiunea HE 5 „Producția minimă de energie electrică”, secțiunea 3 „Cuantificarea cerinței” are următoarea formulare:</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r>
      <w:r>
        <w:rPr>
          <w:i/>
        </w:rPr>
        <w:t>Puterea de instalare</w:t>
      </w:r>
      <w:r>
        <w:t xml:space="preserve"> minimă P</w:t>
      </w:r>
      <w:r>
        <w:rPr>
          <w:vertAlign w:val="subscript"/>
        </w:rPr>
        <w:t>min</w:t>
      </w:r>
      <w:r>
        <w:t xml:space="preserve"> este cea mai mică dintre rezultatele obținute din următoarele două ecuații: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xml:space="preserve"> ·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 (0,5 · S</w:t>
      </w:r>
      <w:r>
        <w:rPr>
          <w:vertAlign w:val="subscript"/>
        </w:rPr>
        <w:t>c</w:t>
      </w:r>
      <w:r>
        <w:t xml:space="preserve"> - S</w:t>
      </w:r>
      <w:r>
        <w:rPr>
          <w:vertAlign w:val="subscript"/>
        </w:rPr>
        <w:t>oc</w:t>
      </w:r>
      <w:r>
        <w:t xml:space="preserve"> )</w:t>
      </w:r>
    </w:p>
    <w:p w14:paraId="33F1DF55" w14:textId="77777777" w:rsidR="005074AB" w:rsidRPr="00C249FB" w:rsidRDefault="005074AB" w:rsidP="005074AB">
      <w:pPr>
        <w:spacing w:before="60"/>
        <w:ind w:left="1134"/>
        <w:jc w:val="both"/>
        <w:rPr>
          <w:rFonts w:eastAsia="Arial" w:cstheme="minorHAnsi"/>
          <w:kern w:val="2"/>
          <w:szCs w:val="24"/>
        </w:rPr>
      </w:pPr>
      <w:r>
        <w:t>unde:</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 xml:space="preserve">puterea de instalare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ab/>
        <w:t>factor de producție a energiei, care are o valoare de 0,005 pentru uz rezidențial privat și 0,010 pentru alte utilizări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suprafața construită a clădirii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 xml:space="preserve"> suprafața acoperișului netranzitabil sau accesibil numai pentru întreținere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suprafața acoperișului netranzitabil sau accesibil pentru întreținere ocupat numai de colectoare solare termice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În clădirile în care, din motive urbane sau arhitecturale sau pentru că sunt clădiri protejate în mod oficial, în cazul cărora autoritatea care acordă protecția oficială este cea care determină elementele inalterabile, </w:t>
      </w:r>
      <w:r>
        <w:rPr>
          <w:i/>
        </w:rPr>
        <w:t>puterea de instalare</w:t>
      </w:r>
      <w:r>
        <w:t xml:space="preserve"> minimă nu poate fi atinsă, această imposibilitate se justifică prin analizarea diferitelor alternative și se adoptă soluția care atinge puterea maximă instalată posibilă.”</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În secțiunea HE 5 „Producția minimă de energie electrică”, la secțiunea 4 „Justificarea cerinței” se adaugă următorul text:</w:t>
      </w:r>
    </w:p>
    <w:p w14:paraId="1F522FCD" w14:textId="0464CEFA" w:rsidR="005074AB" w:rsidRPr="003934E5" w:rsidRDefault="00CC005A" w:rsidP="00982E58">
      <w:pPr>
        <w:ind w:left="1134" w:hanging="425"/>
        <w:jc w:val="both"/>
        <w:rPr>
          <w:rFonts w:cstheme="minorHAnsi"/>
        </w:rPr>
      </w:pPr>
      <w:r>
        <w:t>(c)</w:t>
      </w:r>
      <w:r>
        <w:tab/>
        <w:t xml:space="preserve">dacă este cazul, motive care împiedică atingerea </w:t>
      </w:r>
      <w:r>
        <w:rPr>
          <w:i/>
        </w:rPr>
        <w:t>puterii de instalare</w:t>
      </w:r>
      <w:r>
        <w:t xml:space="preserve"> minime exigibile, analiza alternativelor și soluția adoptată pentru a atinge puterea maximă instalată posibilă.”</w:t>
      </w:r>
    </w:p>
    <w:p w14:paraId="2F009607" w14:textId="478B8572" w:rsidR="005074AB" w:rsidRPr="003934E5" w:rsidRDefault="005074AB" w:rsidP="009064BC">
      <w:pPr>
        <w:pStyle w:val="ListParagraph"/>
        <w:numPr>
          <w:ilvl w:val="0"/>
          <w:numId w:val="13"/>
        </w:numPr>
        <w:ind w:left="709" w:hanging="283"/>
        <w:jc w:val="both"/>
        <w:rPr>
          <w:rFonts w:cstheme="minorHAnsi"/>
        </w:rPr>
      </w:pPr>
      <w:r>
        <w:t>Se aduc următoarele modificări anexei A „Terminologie”:</w:t>
      </w:r>
    </w:p>
    <w:p w14:paraId="44885A1E" w14:textId="0F9B0783" w:rsidR="005074AB" w:rsidRPr="009064BC" w:rsidRDefault="005074AB" w:rsidP="005074AB">
      <w:pPr>
        <w:ind w:left="709" w:hanging="142"/>
        <w:jc w:val="both"/>
        <w:rPr>
          <w:rFonts w:cstheme="minorHAnsi"/>
        </w:rPr>
      </w:pPr>
      <w:r>
        <w:lastRenderedPageBreak/>
        <w:t>— În definiția termenului „Control solar (q</w:t>
      </w:r>
      <w:r>
        <w:rPr>
          <w:vertAlign w:val="subscript"/>
        </w:rPr>
        <w:t>sol;jul</w:t>
      </w:r>
      <w:r>
        <w:t>)”, punctul de la sfârșitul definiției componentei formulei „H</w:t>
      </w:r>
      <w:r>
        <w:rPr>
          <w:vertAlign w:val="subscript"/>
        </w:rPr>
        <w:t>sol;jul</w:t>
      </w:r>
      <w:r>
        <w:t>” se înlocuiește cu punct și virgulă, iar definiția unui alt component al formulei se adaugă după cum urmează:</w:t>
      </w:r>
    </w:p>
    <w:p w14:paraId="3DF606FE" w14:textId="65F10CC5" w:rsidR="005074AB" w:rsidRPr="009064BC" w:rsidRDefault="005074AB" w:rsidP="00A5780E">
      <w:pPr>
        <w:ind w:left="709"/>
        <w:jc w:val="both"/>
        <w:rPr>
          <w:rFonts w:cstheme="minorHAnsi"/>
        </w:rPr>
      </w:pPr>
      <w:r>
        <w:t>„A</w:t>
      </w:r>
      <w:r>
        <w:rPr>
          <w:vertAlign w:val="subscript"/>
        </w:rPr>
        <w:t>util</w:t>
      </w:r>
      <w:r>
        <w:t>zonă considerată a fi în conformitate cu secțiunea 4.6 din HE 0.”</w:t>
      </w:r>
    </w:p>
    <w:p w14:paraId="22770CCD" w14:textId="56BB680A" w:rsidR="005074AB" w:rsidRPr="009064BC" w:rsidRDefault="005074AB" w:rsidP="005074AB">
      <w:pPr>
        <w:ind w:left="709" w:hanging="142"/>
        <w:jc w:val="both"/>
        <w:rPr>
          <w:rFonts w:cstheme="minorHAnsi"/>
        </w:rPr>
      </w:pPr>
      <w:r>
        <w:t>— În definiția termenului „energie finală”, teza „Este cea care este achiziționată de consumatori, sub formă de energie electrică, combustibili sau alți combustibili utilizați direct” se înlocuiește cu teza „Este cea furnizată sistemelor clădirii pentru a furniza serviciile. Această furnizare este realizată în mod normal prin intermediul combustibililor, al producției la fața locului sau al rețelelor specifice (electricitate, gaz, termoficare sau răcire etc.)”.</w:t>
      </w:r>
    </w:p>
    <w:p w14:paraId="4C32D5BC" w14:textId="77777777" w:rsidR="005074AB" w:rsidRPr="009064BC" w:rsidRDefault="005074AB" w:rsidP="005074AB">
      <w:pPr>
        <w:ind w:left="709" w:hanging="142"/>
        <w:jc w:val="both"/>
        <w:rPr>
          <w:rFonts w:cstheme="minorHAnsi"/>
        </w:rPr>
      </w:pPr>
      <w:r>
        <w:t>— În definiția termenului „Transmitanță termică (U)”, la sfârșitul definiției se adaugă următoarea teză:</w:t>
      </w:r>
    </w:p>
    <w:p w14:paraId="553E6F27" w14:textId="77777777" w:rsidR="005074AB" w:rsidRPr="009064BC" w:rsidRDefault="005074AB" w:rsidP="00A5780E">
      <w:pPr>
        <w:ind w:left="709"/>
        <w:jc w:val="both"/>
        <w:rPr>
          <w:rFonts w:cstheme="minorHAnsi"/>
        </w:rPr>
      </w:pPr>
      <w:r>
        <w:t>„Se exprimă în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Următorii termeni sunt încorporați în anexa A „Terminologie”:</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Echipamente auxiliare</w:t>
      </w:r>
      <w:r>
        <w:t xml:space="preserve"> înseamnă echipamente electrice sau electronice asociate cu lumina, diferite pentru fiecare tip de</w:t>
      </w:r>
      <w:r>
        <w:rPr>
          <w:i/>
        </w:rPr>
        <w:t xml:space="preserve"> lumină</w:t>
      </w:r>
      <w:r>
        <w:t>, a căror funcție este aprinderea și controlul condițiilor de funcționare. Aceste echipamente auxiliare, cu excepția cazului în care sunt electronice, sunt formate dintr-o combinație de demaror, balast și condensator.”</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Stație de încărcare</w:t>
      </w:r>
      <w:r>
        <w:t xml:space="preserve"> înseamnă set de elemente necesare pentru a conecta </w:t>
      </w:r>
      <w:r>
        <w:rPr>
          <w:i/>
        </w:rPr>
        <w:t>vehiculul electric</w:t>
      </w:r>
      <w:r>
        <w:t xml:space="preserve"> la instalația electrică fixă necesară pentru încărcare. </w:t>
      </w:r>
      <w:r>
        <w:rPr>
          <w:i/>
        </w:rPr>
        <w:t>Stațiile de încărcare</w:t>
      </w:r>
      <w:r>
        <w:t xml:space="preserve"> sunt clasificate ca:</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Puncte de încărcare simplu, compuse din protecțiile necesare, una sau mai multe prize care nu sunt specifice </w:t>
      </w:r>
      <w:r>
        <w:rPr>
          <w:i/>
        </w:rPr>
        <w:t>vehiculului electric</w:t>
      </w:r>
      <w:r>
        <w:t xml:space="preserve"> și, după caz, învelișului.</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Punct de reîncărcare de tip SAVE</w:t>
      </w:r>
      <w:r>
        <w:rPr>
          <w:i/>
        </w:rPr>
        <w:t xml:space="preserve"> (Sistem de alimentare specific pentru vehicule electrice)</w:t>
      </w:r>
      <w:r>
        <w:t>.”</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Infrastructură de încărcare pentru vehicule electrice</w:t>
      </w:r>
      <w:r>
        <w:t xml:space="preserve"> înseamnă un set de dispozitive fizice și logice destinate încărcării </w:t>
      </w:r>
      <w:r>
        <w:rPr>
          <w:i/>
        </w:rPr>
        <w:t>vehiculelor electrice</w:t>
      </w:r>
      <w:r>
        <w:t xml:space="preserve"> care îndeplinesc cerințele de siguranță și disponibilitate prevăzute pentru fiecare caz de Regulamentul electrotehnic pentru joasă tensiune, capabile să furnizeze un serviciu de încărcare complet și cuprinzător. Acesta include </w:t>
      </w:r>
      <w:r>
        <w:rPr>
          <w:i/>
        </w:rPr>
        <w:t>stații de încărcare</w:t>
      </w:r>
      <w:r>
        <w:t>, sistemul de control, conductele electrice, panourile electrice de comandă și protecție și echipamentele de măsurare, atunci când acestea sunt destinate exclusiv încărcării vehiculelor electrice.”</w:t>
      </w:r>
    </w:p>
    <w:p w14:paraId="5C699291" w14:textId="5BE34863" w:rsidR="005074AB" w:rsidRPr="003934E5" w:rsidRDefault="00547307" w:rsidP="00547307">
      <w:pPr>
        <w:spacing w:before="200" w:after="100" w:line="240" w:lineRule="auto"/>
        <w:ind w:left="709"/>
        <w:jc w:val="both"/>
        <w:rPr>
          <w:rFonts w:eastAsia="Arial" w:cstheme="minorHAnsi"/>
          <w:kern w:val="2"/>
        </w:rPr>
      </w:pPr>
      <w:r>
        <w:rPr>
          <w:b/>
          <w:i/>
        </w:rPr>
        <w:t>Sistem de alimentare specific pentru vehicule electrice (SAVE)</w:t>
      </w:r>
      <w:r>
        <w:t xml:space="preserve"> înseamnă un set de echipamente asamblate pentru alimentarea cu energie electrică pentru încărcarea unui </w:t>
      </w:r>
      <w:r>
        <w:rPr>
          <w:i/>
        </w:rPr>
        <w:t>vehicul electric</w:t>
      </w:r>
      <w:r>
        <w:t xml:space="preserve"> inclusiv protecția stației de încărcare, cablul de conectare (cu conductoare de fază, neutre și de protecție) baza prizei sau conectorul și, după caz, un convertizor alternativ-continuu. Dacă este cazul, acest sistem permite comunicarea între </w:t>
      </w:r>
      <w:r>
        <w:rPr>
          <w:i/>
        </w:rPr>
        <w:t>vehiculul electric</w:t>
      </w:r>
      <w:r>
        <w:t xml:space="preserve"> și instalația fixă.”</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lastRenderedPageBreak/>
        <w:t>„</w:t>
      </w:r>
      <w:r>
        <w:rPr>
          <w:b/>
          <w:i/>
        </w:rPr>
        <w:t>Utilizare rezidențială privată</w:t>
      </w:r>
      <w:r>
        <w:t xml:space="preserve"> înseamnă o clădire sau o suprafață destinată reședinței permanente, indiferent de tipul de clădire: locuință unifamilială, bloc de apartamente etc., atât pentru dezvoltarea publică, cât și pentru cea privată.”</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Vehicul electric</w:t>
      </w:r>
      <w:r>
        <w:t xml:space="preserve"> înseamnă un autovehicul echipat cu un grup propulsor cu cel puțin un mecanism electric neperiferic care funcționează ca convertizor de energie și echipat cu un sistem reîncărcabil de stocare a energiei electrice, care poate fi reîncărcat din exterior.”</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În anexa D punctul 4, textul „Document recunoscut” se înlocuiește cu „Document recunoscut pentru certificarea energetică a clădirilor”.</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În anexa H Determinarea permeabilității la aer a clădirii, după titlul secțiunii, se introduce teza „Determinarea permeabilității la aer a clădirii trebuie să se efectueze prin una dintre următoarele metode.” și, în secțiunea 1 Determinarea prin încercare, se introduce teza „Valoarea raportului de schimbare a aerului la 50 Pa, n50, poate fi obținută prin încercare în conformitate cu metoda B din UNE-EN 13829:2002 Determinarea etanșeității la aer în clădiri. Metoda de presurizare cu ajutorul unui ventilator.” se înlocuiește cu: „Valoarea raportului de schimbare a aerului la 50 Pa, n50 prin încercări se obține prin metoda 1 sau 2 din UNE-EN ISO 9972: 2019 Performanța termică a clădirilor. Determinarea permeabilității la aer a clădirilor. Metoda de presurizare cu ventilator.”.</w:t>
      </w:r>
    </w:p>
    <w:p w14:paraId="153946FB" w14:textId="274D0F0F" w:rsidR="001E0B70" w:rsidRPr="003934E5" w:rsidRDefault="001E0B70" w:rsidP="005074AB">
      <w:pPr>
        <w:ind w:left="13"/>
        <w:jc w:val="both"/>
        <w:rPr>
          <w:rFonts w:cstheme="minorHAnsi"/>
        </w:rPr>
      </w:pPr>
      <w:r>
        <w:t>3.</w:t>
      </w:r>
      <w:r>
        <w:rPr>
          <w:b/>
        </w:rPr>
        <w:t xml:space="preserve"> </w:t>
      </w:r>
      <w:r>
        <w:t xml:space="preserve">Următoarele modificări sunt introduse în documentul de bază DB-SUA „Siguranța în utilizare și accesibilitate” inclus în partea II a Codului tehnic al construcțiilor: </w:t>
      </w:r>
    </w:p>
    <w:p w14:paraId="05134A28" w14:textId="08B7B404" w:rsidR="00A5780E" w:rsidRDefault="001E0B70" w:rsidP="00D722CA">
      <w:pPr>
        <w:ind w:left="13"/>
        <w:jc w:val="both"/>
        <w:rPr>
          <w:rFonts w:cstheme="minorHAnsi"/>
        </w:rPr>
      </w:pPr>
      <w:r>
        <w:t>În secțiunea SUA 9 „Accesibilitatea”, în anexa A „Terminologie”, definiția „locului de parcare accesibil” include acum o liniuță cu formularea:</w:t>
      </w:r>
    </w:p>
    <w:p w14:paraId="791B9B63" w14:textId="2AEB4586" w:rsidR="00D722CA" w:rsidRPr="009064BC" w:rsidRDefault="0078611E" w:rsidP="0078611E">
      <w:pPr>
        <w:ind w:left="709"/>
        <w:jc w:val="both"/>
        <w:rPr>
          <w:rFonts w:cstheme="minorHAnsi"/>
        </w:rPr>
      </w:pPr>
      <w:r>
        <w:t>„- În cazul în care locul de parcare accesibil are o stație de încărcare a vehiculelor electrice, itinerarul accesibil acoperă, de asemenea, această stație de încărcare. Prizele de putere și conectorii acestor stații de încărcare trebuie să fie contrastați cromatic cu mediul, amplasați la o înălțime cuprinsă între 80 și 120 cm, iar distanța de la colțuri trebuie să fie de cel puțin 35 cm.”</w:t>
      </w:r>
    </w:p>
    <w:p w14:paraId="09F57FB9" w14:textId="78225EA3" w:rsidR="005074AB" w:rsidRPr="009064BC" w:rsidRDefault="00DF5914" w:rsidP="005074AB">
      <w:pPr>
        <w:ind w:left="13"/>
        <w:jc w:val="both"/>
        <w:rPr>
          <w:rFonts w:cstheme="minorHAnsi"/>
        </w:rPr>
      </w:pPr>
      <w:r>
        <w:t>4. Următoarea modificare este introdusă în documentul de bază DB-HS „Sănătate”, inclus în partea II a Codului tehnic al construcțiilor:</w:t>
      </w:r>
    </w:p>
    <w:p w14:paraId="6B818CBA" w14:textId="77777777" w:rsidR="002E7342" w:rsidRDefault="005074AB" w:rsidP="002E7342">
      <w:pPr>
        <w:pStyle w:val="ListParagraph"/>
        <w:numPr>
          <w:ilvl w:val="0"/>
          <w:numId w:val="22"/>
        </w:numPr>
        <w:jc w:val="both"/>
        <w:rPr>
          <w:rFonts w:cstheme="minorHAnsi"/>
        </w:rPr>
      </w:pPr>
      <w:r>
        <w:t>În secțiunea SA 4 „Alimentarea cu apă”, în secțiunea 3.2.2.1 de la punctul 2, teza „contribuția minimă a energiei solare la producția de apă caldă menajeră” se înlocuiește cu teza „contribuția minimă a energiei din surse regenerabile la acoperirea cererii de apă caldă menajeră”.</w:t>
      </w:r>
    </w:p>
    <w:p w14:paraId="49ACE665" w14:textId="4B95E48B" w:rsidR="005074AB" w:rsidRPr="003934E5" w:rsidRDefault="002F25C7" w:rsidP="009064BC">
      <w:pPr>
        <w:jc w:val="both"/>
        <w:rPr>
          <w:rFonts w:eastAsia="Arial" w:cstheme="minorHAnsi"/>
          <w:kern w:val="2"/>
        </w:rPr>
      </w:pPr>
      <w:r>
        <w:t>5. Se efectuează următoarele rectificări ale erorilor și erate notate în documentul de bază DB-HE „Economii de energie” inclus în partea II a Codului tehnic al construcțiilor:</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În secțiunea HE 0, secțiunea 1 Domeniul de aplicare, punctul 1 , care are următoarea formulare: „...în cazul în care suprafața utilă extinsă totală depășește 50 m</w:t>
      </w:r>
      <w:r>
        <w:rPr>
          <w:vertAlign w:val="superscript"/>
        </w:rPr>
        <w:t>2</w:t>
      </w:r>
      <w:r>
        <w:t>;”, se va citi „...în cazul în care suprafața utilă extinsă depășește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În secțiunea HE 0, secțiunea 3 Cuantificarea cerinței, secțiunea 3.1 Consumul de energie primară neregenerabilă, punctul 2, care are următoarea formulare: „... C</w:t>
      </w:r>
      <w:r>
        <w:rPr>
          <w:vertAlign w:val="subscript"/>
        </w:rPr>
        <w:t>ep’nren,lim</w:t>
      </w:r>
      <w:r>
        <w:t>...”, se va citi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lastRenderedPageBreak/>
        <w:t>În secțiunea HE 0, secțiunea 3 Cuantificarea cerinței, secțiunea 3.2 Consumul total de energie primară, punctul 1, care are următoarea formulare: „... C</w:t>
      </w:r>
      <w:r>
        <w:rPr>
          <w:vertAlign w:val="subscript"/>
        </w:rPr>
        <w:t>ep’tot</w:t>
      </w:r>
      <w:r>
        <w:t>...”, se va citi: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În secțiunea HE 0, secțiunea 3 Cuantificarea cerinței, secțiunea 3.2 Consumul total de energie primară, punctul 2, care are următoarea formulare: „... C</w:t>
      </w:r>
      <w:r>
        <w:rPr>
          <w:vertAlign w:val="subscript"/>
        </w:rPr>
        <w:t>ep,tot</w:t>
      </w:r>
      <w:r>
        <w:t>...”, se va citi: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În secțiunea HE 0, tabelele 3.1.a-HE0 și 3.2.a-HE0 au termenul „</w:t>
      </w:r>
      <w:r>
        <w:rPr>
          <w:i/>
        </w:rPr>
        <w:t>utilizare rezidențială privată</w:t>
      </w:r>
      <w:r>
        <w:t>” cu caractere cursive. În secțiunile 3.1 Consumul de energie primară neregenerabilă, secțiunea 2 și 3.2 Consumul total de energie primară, secțiunea 2, termenul „</w:t>
      </w:r>
      <w:r>
        <w:rPr>
          <w:i/>
        </w:rPr>
        <w:t>utilizare rezidențială privată</w:t>
      </w:r>
      <w:r>
        <w:t>” ar trebui să fie cu caractere cursive.</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În secțiunea HE 0, secțiunea 4.3 Cereri interne și condiții operaționale, secțiunea 2, termenul „</w:t>
      </w:r>
      <w:r>
        <w:rPr>
          <w:i/>
        </w:rPr>
        <w:t>utilizare rezidențială privată</w:t>
      </w:r>
      <w:r>
        <w:t>” ar trebui să fie cu caractere cursive.</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În secțiunea HE 0, secțiunea 4.5 Sisteme de referință pentru uz rezidențial privat, termenul „</w:t>
      </w:r>
      <w:r>
        <w:rPr>
          <w:i/>
        </w:rPr>
        <w:t>utilizare rezidențială privată</w:t>
      </w:r>
      <w:r>
        <w:t>” ar trebui să fie scris cu litere cursive atât în titlu, cât și la punctul 1.</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În secțiunea HE 1, secțiunea 3 Cuantificarea cerinței, secțiunea 3.11. Transmitanța învelișului termic, termenul „compacitate” din tabelele 3.1.1.b-HE1 și tabelele 3.1.1.c-HE1, trebuie să fie cu caractere cursive.</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În secțiunea HE 1, secțiunea 3 Cuantificarea cerinței, secțiunea 3.11. Transmitanța învelișului termic, termenul „compacitate” din notele de subsol 3.1.1.b-HE1 și tabelele 3.1.1.c-HE1, precum și termenul „compacitate” din nota de subsol din tabelul 3.1.1.c-HE1 ar trebui să fie cu caractere cursive.</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În secțiunea HE 1, secțiunea 3 Cuantificarea cerinței, secțiunea 3.1.1. Transmitanța învelișului termic, secțiunea 3, termenul „</w:t>
      </w:r>
      <w:r>
        <w:rPr>
          <w:i/>
        </w:rPr>
        <w:t>utilizare rezidențială privată</w:t>
      </w:r>
      <w:r>
        <w:t>” ar trebui să fie cu caractere cursive atât la punctul 3, cât și în tabelul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În secțiunea HE 1, secțiunea 3 Cuantificarea cerinței, secțiunea 3.1.1. Transmitanța învelișului termic, termenul „înveliș termic” din tabelul 3.1.1.c-HE1, ar trebui să fie cu caractere cursive.</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În secțiunea HE 1, secțiunea 3, „Cuantificarea cerinței”, secțiunea 3.1.2 Controlul solar al învelișului termic, care are următoarea formulare: „Tabelul 3.1.2-HE1 Valoarea limită a parametrului de control solar qsol;jul,lim [KWh/m</w:t>
      </w:r>
      <w:r>
        <w:rPr>
          <w:vertAlign w:val="superscript"/>
        </w:rPr>
        <w:t>2</w:t>
      </w:r>
      <w:r>
        <w:t>·mes]”, se va citi, cu mențiunea „sun;jul,lim” ca subindice: „Tabelul 3.1.2-HE1 Valoarea limită a parametrului de control solar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În secțiunea HE 1, secțiunea 3 Cuantificarea cerinței, secțiunea 3.1.3 Permeabilitatea la aer a învelișului termic, termenul „înveliș termic” ar trebui să fie cu caractere cursive.</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În secțiunea HE 1, secțiunea 3 Cuantificarea cerinței, secțiunea 3.1.3 Permeabilitatea la aer a învelișului termic, termenul „compacitate” din tabelul 3.1.3.b-HE1, termenul „compactitate” din tabelul din tabelul 3.1.3.b-HE1 și termenul „utilizare rezidențială privată” de la punctul 3 ar trebui să fie cu caractere cursive.</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lastRenderedPageBreak/>
        <w:t>În secțiunea HE 1, secțiunea 4 Justificarea cerinței, termenul „compactitate” din secțiunea 4.1.b) și termenul „utilizare rezidențială privată” din secțiunea 4.1.g) ar trebui să fie cu caractere cursive.</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În secțiunea HE 4, secțiunea 3 Cuantificarea cerinței, secțiunea 3.1 Contribuția minimă din surse regenerabile pentru DHW și/sau încălzirea pentru piscină, punctul 4, care are următoarea formulare: „...mai mult de 2,5 atunci când este acționat electric și mai mare de 1,15 atunci când funcționează cu energie termică...” se va citi „... egal sau mai mare de 2,5 atunci când este acționat electric și mai mare sau egal cu 1,15 atunci când este acționat cu energie termică...”.</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În secțiunea HE 4, secțiunea 3 Cuantificarea cerinței, secțiunea 3.1 Contribuția minimă din surse regenerabile pentru DHW și/sau încălzirea pentru piscine, punctul 5, care are următoarea formulare: „... clădiri rezidențiale...” se va citi „... clădiri de utilizare rezidențială privată...”</w:t>
      </w:r>
    </w:p>
    <w:p w14:paraId="198A06EA" w14:textId="307304FC" w:rsidR="005074AB" w:rsidRPr="009064BC" w:rsidRDefault="003E1EAB" w:rsidP="00547307">
      <w:pPr>
        <w:numPr>
          <w:ilvl w:val="0"/>
          <w:numId w:val="15"/>
        </w:numPr>
        <w:ind w:left="714" w:hanging="357"/>
        <w:jc w:val="both"/>
        <w:rPr>
          <w:rFonts w:cstheme="minorHAnsi"/>
        </w:rPr>
      </w:pPr>
      <w:r>
        <w:t xml:space="preserve">În secțiunea HE 4, înainte de secțiunea „5.1. Executare” se introduce fraza: „5. Construcție, întreținere și conservare” ca titlu.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La pagina 140553, anexa A Terminologie, în definiția „coeficientului total de transfer al căldurii (prin învelișul termic al clădirii) (K)”, care are următoarea formulare: „... K = X Hx/Aint...” se va citi, cu „x”, „x” și „int” ca subindice: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În anexa A Terminologie, în definiția „compactității”, cuvântul „compactitate” de la punctul 2 ar trebui să fie scris cu caractere cursive.</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În anexa A Terminologie, în definiția „condițiilor de funcționare”, termenul „utilizare rezidențială privată” ar trebui să fie cu caractere cursive.</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În anexa A Terminologie, în definiția „consumului primar de energie neregenerabilă”, care are următoarea formulare: „... Consumul de energie primară neregenerabilă...” se va citi, cu mențiunea „ep,nren” ca subindice: „... Consumul de energie primară neregenerabilă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În anexa A Terminologie, în definiția „consumului total de energie primară”, care are următoarea formulare: „... Consumul total de energie primară...” se va citi, cu mențiunea „ep,tot” ca subindice: „... Consumul total de energie primară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În anexa A Terminologie, în definiția „controlului solar (q</w:t>
      </w:r>
      <w:r>
        <w:rPr>
          <w:vertAlign w:val="subscript"/>
        </w:rPr>
        <w:t>sol;ju</w:t>
      </w:r>
      <w:r>
        <w:t>)”, care are următoarea formulare: „... suprafața utilă a spațiilor...” se va citi: „... suprafața utilă a spațiilor de locuit...”.</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În anexa A Terminologie, în definiția „spațiului de locuit condiționat”, termenul „utilizare rezidențială privată” ar trebui să fie cu caractere cursive.</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În anexa A Terminologie, în definiția „perioadei de utilizare”, termenul „utilizare rezidențială privată” de la punctul 2 ar trebui să fie cu caractere cursive.</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În anexa A Terminologie, în definiția „valorii de eficiență energetică a instalației (VEEI)”, termenul „utilizare rezidențială privată” ar trebui să fie cu caractere cursive.</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În anexa C Considerații pentru definirea învelișului termic, termenul „înveliș termic” din titlu ar trebui să fie cu caractere cursive.</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lastRenderedPageBreak/>
        <w:t>În anexa D Condițiile operaționale și profilurile de utilizare, în titlu, termenii „Condiții operaționale” și „Profiluri de utilizare” trebuie să fie cu caractere cursive în titlu, la punctul 2, precum și în tabelele din tabelul a-Anexa D, tabelul b din anexa D și tabelul c-anexa D.</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În anexa E Valori orientative ale transmisiei, termenul „utilizare rezidențială privată” din secțiunea 1 trebuie să fie cu caractere cursive.</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În anexa F cererea de referință ACS, termenul „utilizare rezidențială privată” ar trebui să fie cu caractere cursive atât în secțiunea 1, cât și în tabelul a-anexa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În anexa H Determinarea permeabilității la aer a clădirii, în secțiunea 2 Determinarea prin valori de referință, care are următoarea formulare: „... 2. Valoarea raportului variației aerului la 50 Pa, n50, poate fi calculată din următoarea ecuație:” se va citi: „... 1. Valoarea raportului dintre variația aerului la 50 Pa, n50 și valorile de referință se obține pornind de la următoarea expresie:” care are următoarea formulare: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 se va citi: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care are următoarea formulare: „V este volumul intern al învelișului termic, în [m</w:t>
      </w:r>
      <w:r>
        <w:rPr>
          <w:vertAlign w:val="superscript"/>
        </w:rPr>
        <w:t>3</w:t>
      </w:r>
      <w:r>
        <w:t>]” se va citi: „V</w:t>
      </w:r>
      <w:r>
        <w:rPr>
          <w:vertAlign w:val="subscript"/>
        </w:rPr>
        <w:t>int</w:t>
      </w:r>
      <w:r>
        <w:t xml:space="preserve"> este volumul intern de aer al </w:t>
      </w:r>
      <w:r>
        <w:rPr>
          <w:i/>
        </w:rPr>
        <w:t>învelișului termic</w:t>
      </w:r>
      <w:r>
        <w:t>, în [m</w:t>
      </w:r>
      <w:r>
        <w:rPr>
          <w:vertAlign w:val="superscript"/>
        </w:rPr>
        <w:t>3</w:t>
      </w:r>
      <w:r>
        <w:t>]”, și care are următoarea formulare: „A</w:t>
      </w:r>
      <w:r>
        <w:rPr>
          <w:vertAlign w:val="subscript"/>
        </w:rPr>
        <w:t>o</w:t>
      </w:r>
      <w:r>
        <w:t xml:space="preserve"> este suprafața părții opace a învelișului termic, în [m</w:t>
      </w:r>
      <w:r>
        <w:rPr>
          <w:vertAlign w:val="superscript"/>
        </w:rPr>
        <w:t>2</w:t>
      </w:r>
      <w:r>
        <w:t>]” se va citi: „A</w:t>
      </w:r>
      <w:r>
        <w:rPr>
          <w:vertAlign w:val="subscript"/>
        </w:rPr>
        <w:t>o</w:t>
      </w:r>
      <w:r>
        <w:t xml:space="preserve"> este suprafața părții opace a </w:t>
      </w:r>
      <w:r>
        <w:rPr>
          <w:i/>
        </w:rPr>
        <w:t>învelișului termic</w:t>
      </w:r>
      <w:r>
        <w:t xml:space="preserve"> în contact cu aerul exterior, la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În anexa H Determinarea permeabilității la aer a clădirii, termenul „învelișul termic” ar trebui să fie cu caractere cursive în descrierea termenilor V</w:t>
      </w:r>
      <w:r>
        <w:rPr>
          <w:vertAlign w:val="subscript"/>
        </w:rPr>
        <w:t>int</w:t>
      </w:r>
      <w:r>
        <w:t>, C</w:t>
      </w:r>
      <w:r>
        <w:rPr>
          <w:vertAlign w:val="subscript"/>
        </w:rPr>
        <w:t>o</w:t>
      </w:r>
      <w:r>
        <w:t>, C</w:t>
      </w:r>
      <w:r>
        <w:rPr>
          <w:vertAlign w:val="subscript"/>
        </w:rPr>
        <w:t>h</w:t>
      </w:r>
      <w:r>
        <w:t>, A</w:t>
      </w:r>
      <w:r>
        <w:rPr>
          <w:vertAlign w:val="subscript"/>
        </w:rPr>
        <w:t>h</w:t>
      </w:r>
      <w:r>
        <w:t xml:space="preserve"> și în tabelul a-anexa H</w:t>
      </w:r>
    </w:p>
    <w:p w14:paraId="7A548AE7" w14:textId="77777777" w:rsidR="0024794E" w:rsidRDefault="002F25C7" w:rsidP="0024794E">
      <w:pPr>
        <w:spacing w:before="200" w:after="100" w:line="240" w:lineRule="auto"/>
        <w:jc w:val="both"/>
        <w:rPr>
          <w:rFonts w:eastAsia="Arial" w:cstheme="minorHAnsi"/>
          <w:kern w:val="2"/>
          <w:szCs w:val="24"/>
        </w:rPr>
      </w:pPr>
      <w:r>
        <w:t xml:space="preserve">6. Rectificarea erorilor și greșelilor observate se efectuează după cum urmează: Documentul de bază DB-HS „Salubritate” inclus în partea II a Codului tehnic al construcțiilor: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În secțiunea 4 din „Furnizarea apei”, în secțiunea 6.2 litera „(e) tuburi din policlorură de vinil (PVC-C) în conformitate cu UNE-EN ISO 15874-1:2013, UNE-EN ISO 15874-2:2013 și UNE-EN ISO 15874-3:2013;” se înlocuiește cu litera „(e) tuburi din clorură de vinil policlorurat (PVC-C), în conformitate cu UNE-EN ISO 15877-1:2009 (+UNE-EN ISO 15877-1:2009/A1): 2011), UNE-EN ISO 15877-2:2009 (+UNE-EN ISO 15877-2:2009/A1: 2011) și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În secțiunea HS 4 „Furnizarea apei”, în secțiunea 6.2 litera „(h) țevi din polibutilenă (PB) în conformitate cu UNE-EN ISO 15876-1:2017, UNE-EN ISO 15876-2:2017 și UNE-EN ISO 15876-3:2017;” se înlocuiește cu litera „(h) țevi din polibutenă (PB) în conformitate cu UNE-EN ISO 15876-1:2017, UNE-EN ISO 15876-2:2017 și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În apendicele C. Standarde de referință, care are următoarea formulare: „Sisteme de conducte din plastic pentru instalații de apă caldă și rece. Polibutilenă (PB). Partea 1: Dispoziții generale” se va citi: „Sisteme de conducte din plastic pentru instalații de apă caldă și rece. Polibutenă (PB). Partea 1: Dispoziții generale</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În apendicele C. Standarde de referință, care are următoarea formulare: „Sisteme de conducte din plastic pentru instalații de apă caldă și rece. Polibutilenă (PB). Partea 2: Conducte” se va citi: „Sisteme de conducte din plastic pentru instalații de apă caldă și rece. Polibutenă (PB). Partea 2: Conducte.</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În apendicele C. Standarde de referință, care are următoarea formulare: „Sisteme de conducte din plastic pentru instalații de apă caldă și rece. Polibutilenă (PB). Partea 3: Accesorii” se va citi: „Sisteme de conducte din plastic pentru instalații de apă caldă și rece. Polibutenă (PB). Partea 3: Accesorii.</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lastRenderedPageBreak/>
        <w:t>În apendicele C. Standarde de referință, după trimiterea la standardul „UNE-EN ISO 15876-3”: 2017</w:t>
      </w:r>
      <w:r>
        <w:tab/>
        <w:t>Sisteme de conducte din plastic pentru instalații de apă caldă și rece. Polibutenă (PB). Partea 3: Accesorii” se introduc următoarele standarde:</w:t>
      </w:r>
    </w:p>
    <w:p w14:paraId="5A496CEC" w14:textId="6500843E" w:rsidR="00AD074F" w:rsidRDefault="00AD074F" w:rsidP="0024794E">
      <w:pPr>
        <w:pStyle w:val="ListParagraph"/>
        <w:spacing w:after="120"/>
        <w:ind w:left="709"/>
        <w:jc w:val="both"/>
      </w:pPr>
      <w:r>
        <w:t xml:space="preserve">„UNE-EN ISO 15877-1:2009 Sisteme de conducte din plastic pentru instalații de apă caldă și rece. Poli (clorură de vinil) clorată (PVC-C). Partea 1: Dispoziții generale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Sisteme de conducte din plastic pentru instalații de apă caldă și rece. Poli (clorură de vinil) clorată (PVC-C). Partea 2: Conducte.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Sisteme de conducte din plastic pentru instalații de apă caldă și rece. Poli (clorură de vinil) clorată (PVC-C). Partea 3: Accesorii. (+UNE-EN ISO 15877-3:2009/A1:2011)</w:t>
      </w:r>
    </w:p>
    <w:p w14:paraId="30F2E766" w14:textId="038A7758" w:rsidR="005074AB" w:rsidRPr="00431D05" w:rsidRDefault="005074AB" w:rsidP="005074AB">
      <w:pPr>
        <w:jc w:val="both"/>
        <w:rPr>
          <w:rFonts w:cstheme="minorHAnsi"/>
          <w:bCs/>
          <w:i/>
          <w:iCs/>
        </w:rPr>
      </w:pPr>
      <w:r>
        <w:t xml:space="preserve">Prima dispoziție tranzitorie. </w:t>
      </w:r>
      <w:r>
        <w:rPr>
          <w:i/>
        </w:rPr>
        <w:t>Clădiri exceptate de la dispozițiile prezentului decret regal.</w:t>
      </w:r>
    </w:p>
    <w:p w14:paraId="71A41130" w14:textId="7184244B" w:rsidR="005074AB" w:rsidRPr="009064BC" w:rsidRDefault="005074AB" w:rsidP="005074AB">
      <w:pPr>
        <w:jc w:val="both"/>
        <w:rPr>
          <w:rFonts w:cstheme="minorHAnsi"/>
        </w:rPr>
      </w:pPr>
      <w:r>
        <w:t xml:space="preserve">Modificările aduse Codului tehnic al construcțiilor (CTE) adoptate prin prezentul decret regal nu se aplică clădirilor noi sau lucrărilor asupra clădirilor existente care, în ambele cazuri, au solicitat deja o autorizație de lucrări municipale la data intrării în vigoare a prezentului decret regal. </w:t>
      </w:r>
    </w:p>
    <w:p w14:paraId="6E353956" w14:textId="262DE845" w:rsidR="007B11B1" w:rsidRDefault="005074AB" w:rsidP="005074AB">
      <w:pPr>
        <w:jc w:val="both"/>
        <w:rPr>
          <w:rFonts w:cstheme="minorHAnsi"/>
        </w:rPr>
      </w:pPr>
      <w:r>
        <w:t>Aceste lucrări încep în termenul maxim de eficiență al autorizației menționate, în conformitate cu normele sale de reglementare sau, în lipsa acestuia, în termen de șase luni de la acordarea autorizației respective. În caz contrar, proiectele trebuie adaptate la modificările aduse CTE aprobate prin prezentul decret regal.</w:t>
      </w:r>
    </w:p>
    <w:p w14:paraId="78DABA03" w14:textId="77777777" w:rsidR="005074AB" w:rsidRPr="00D47CC2" w:rsidRDefault="005074AB" w:rsidP="005074AB">
      <w:pPr>
        <w:jc w:val="both"/>
        <w:rPr>
          <w:rFonts w:cstheme="minorHAnsi"/>
          <w:bCs/>
          <w:i/>
          <w:iCs/>
        </w:rPr>
      </w:pPr>
      <w:r>
        <w:t xml:space="preserve">A doua dispoziție tranzitorie. </w:t>
      </w:r>
      <w:r>
        <w:rPr>
          <w:i/>
        </w:rPr>
        <w:t>Clădirile pentru care aplicarea dispozițiilor prezentului decret regal este voluntară.</w:t>
      </w:r>
    </w:p>
    <w:p w14:paraId="047CBC16" w14:textId="1E288EF7" w:rsidR="00CA5D2D" w:rsidRPr="00B24946" w:rsidRDefault="005074AB" w:rsidP="005074AB">
      <w:pPr>
        <w:jc w:val="both"/>
        <w:rPr>
          <w:rFonts w:cstheme="minorHAnsi"/>
        </w:rPr>
      </w:pPr>
      <w:r>
        <w:t xml:space="preserve">Modificările Codului tehnic al construcțiilor aprobate prin prezentul decret regal se aplică în mod voluntar lucrărilor de construcție noi și lucrărilor asupra clădirilor existente pentru care, în ambele cazuri, se solicită o autorizație de lucrări municipale în termen de șase luni de la intrarea în vigoare a prezentului decret regal. </w:t>
      </w:r>
    </w:p>
    <w:p w14:paraId="0F321A96" w14:textId="5FE37BEE" w:rsidR="00CA5D2D" w:rsidRDefault="00CA5D2D" w:rsidP="00CA5D2D">
      <w:pPr>
        <w:jc w:val="both"/>
        <w:rPr>
          <w:rFonts w:cstheme="minorHAnsi"/>
        </w:rPr>
      </w:pPr>
      <w:r>
        <w:t>Aceste lucrări încep în termenul maxim de eficiență al autorizației menționate, în conformitate cu normele sale de reglementare sau, în lipsa acestuia, în termen de șase luni de la acordarea autorizației respective. În caz contrar, proiectele trebuie adaptate la modificările aduse CTE aprobate prin prezentul decret regal.</w:t>
      </w:r>
    </w:p>
    <w:p w14:paraId="1B48DE1E" w14:textId="77777777" w:rsidR="005074AB" w:rsidRPr="00D47CC2" w:rsidRDefault="005074AB" w:rsidP="005074AB">
      <w:pPr>
        <w:jc w:val="both"/>
        <w:rPr>
          <w:rFonts w:cstheme="minorHAnsi"/>
          <w:bCs/>
          <w:i/>
          <w:iCs/>
        </w:rPr>
      </w:pPr>
      <w:r>
        <w:t xml:space="preserve">A treia dispoziție tranzitorie. </w:t>
      </w:r>
      <w:r>
        <w:rPr>
          <w:i/>
        </w:rPr>
        <w:t>Clădirile pentru care aplicarea dispozițiilor prezentului decret regal este obligatorie.</w:t>
      </w:r>
    </w:p>
    <w:p w14:paraId="557DDCCB" w14:textId="624E2145" w:rsidR="005074AB" w:rsidRDefault="005074AB" w:rsidP="005074AB">
      <w:pPr>
        <w:jc w:val="both"/>
        <w:rPr>
          <w:rFonts w:cstheme="minorHAnsi"/>
        </w:rPr>
      </w:pPr>
      <w:r>
        <w:t>Aplicarea modificărilor aduse Codului tehnic al construcțiilor (CTE) adoptate prin prezentul decret regal este obligatorie pentru clădirile noi sau pentru lucrările asupra clădirilor existente care solicită o autorizație de lucrări municipale la mai mult de nouă luni de la intrarea în vigoare a prezentei dispoziții.</w:t>
      </w:r>
    </w:p>
    <w:p w14:paraId="588C44EA" w14:textId="52803F33" w:rsidR="005074AB" w:rsidRPr="00D47CC2" w:rsidRDefault="005074AB" w:rsidP="005074AB">
      <w:pPr>
        <w:jc w:val="both"/>
        <w:rPr>
          <w:rFonts w:cstheme="minorHAnsi"/>
          <w:bCs/>
          <w:i/>
          <w:iCs/>
        </w:rPr>
      </w:pPr>
      <w:r>
        <w:t xml:space="preserve">Prima dispoziție finală. </w:t>
      </w:r>
      <w:r>
        <w:rPr>
          <w:i/>
        </w:rPr>
        <w:t xml:space="preserve">Modificarea Decretului regal 1053/2014 din 12 decembrie 2014 de aprobare a unei noi instrucțiuni tehnice complementare (ITC) BT 52 „Instalații cu scop special. Infrastructura pentru reîncărcarea vehiculelor electrice”, din regulamentele electrotehnice </w:t>
      </w:r>
      <w:r>
        <w:rPr>
          <w:i/>
        </w:rPr>
        <w:lastRenderedPageBreak/>
        <w:t>pentru joasă tensiune, aprobate prin Decretul regal 842/2002 din 2 august 2002, precum și din alte instrucțiuni tehnice complementare.</w:t>
      </w:r>
    </w:p>
    <w:p w14:paraId="183CB7CD" w14:textId="78A1B469" w:rsidR="005074AB" w:rsidRPr="009064BC" w:rsidRDefault="005074AB" w:rsidP="005074AB">
      <w:pPr>
        <w:jc w:val="both"/>
        <w:rPr>
          <w:rFonts w:cstheme="minorHAnsi"/>
        </w:rPr>
      </w:pPr>
      <w:r>
        <w:t>1. Prima dispoziție suplimentară din Decretul regal 1053/2014 din 12 decembrie 2014 de aprobare a unei noi instrucțiuni tehnice complementare (ITC) BT 52 se modifică și are următoarea formulare:</w:t>
      </w:r>
    </w:p>
    <w:p w14:paraId="6C63F170" w14:textId="77777777" w:rsidR="005074AB" w:rsidRPr="009064BC" w:rsidRDefault="005074AB" w:rsidP="005074AB">
      <w:pPr>
        <w:ind w:left="567"/>
        <w:jc w:val="both"/>
        <w:rPr>
          <w:rFonts w:cstheme="minorHAnsi"/>
        </w:rPr>
      </w:pPr>
      <w:r>
        <w:t>„Prima dispoziție suplimentară. Facilități structurale minime pentru încărcarea vehiculelor electrice în parcări care nu sunt alocate clădirilor, nou construite sau care fac obiectul unor renovări majore, precum și pe drumurile publice.</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În parcările nou construite sau în cele care fac obiectul unor renovări majore care nu sunt situate într-o clădire sau adiacente acesteia și, prin urmare, în afara domeniului de aplicare al Documentului de bază privind economiile de energie (DB HE) din Codul tehnic al construcțiilor, trebuie instalată cel puțin o stație de încărcare pentru fiecare 40 de locuri de parcare. O parcare este considerată a fi nou construită atunci când proiectul de construcție este prezentat administrației publice competente pentru prelucrare după intrarea în vigoare a prezentului decret regal. </w:t>
      </w:r>
    </w:p>
    <w:p w14:paraId="0C99327A" w14:textId="0AD5DDFE" w:rsidR="005074AB" w:rsidRPr="009064BC" w:rsidRDefault="005074AB" w:rsidP="002F659F">
      <w:pPr>
        <w:numPr>
          <w:ilvl w:val="0"/>
          <w:numId w:val="11"/>
        </w:numPr>
        <w:ind w:left="1418" w:hanging="284"/>
        <w:contextualSpacing/>
        <w:jc w:val="both"/>
        <w:rPr>
          <w:rFonts w:cstheme="minorHAnsi"/>
        </w:rPr>
      </w:pPr>
      <w:r>
        <w:t>Trebuie garantate instalațiile necesare pentru alimentarea stațiilor de încărcare situate în locurile pentru vehiculele electrice de pe drumurile publice prevăzute în planurile de mobilitate durabilă supramunicipale sau municipale.”</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2. Secțiunea 3.2 din INSTRUCCIÓN TÉCNICA COMPLEMENTARIA (ITC) BT-52 se modifică după cum urmează:</w:t>
      </w:r>
    </w:p>
    <w:p w14:paraId="6A13CA56" w14:textId="2BC47FB2" w:rsidR="005074AB" w:rsidRPr="009064BC" w:rsidRDefault="005074AB" w:rsidP="005074AB">
      <w:pPr>
        <w:ind w:left="567"/>
        <w:jc w:val="both"/>
        <w:rPr>
          <w:rFonts w:cstheme="minorHAnsi"/>
        </w:rPr>
      </w:pPr>
      <w:r>
        <w:t xml:space="preserve">„3.2 Instalarea în parcări sau locuri de parcare colective adiacente clădirilor sau complexelor de clădiri. </w:t>
      </w:r>
    </w:p>
    <w:p w14:paraId="14463364" w14:textId="6F4941EA" w:rsidR="005074AB" w:rsidRPr="003934E5" w:rsidRDefault="005074AB" w:rsidP="005074AB">
      <w:pPr>
        <w:ind w:left="567"/>
        <w:jc w:val="both"/>
        <w:rPr>
          <w:rFonts w:cstheme="minorHAnsi"/>
        </w:rPr>
      </w:pPr>
      <w:r>
        <w:t xml:space="preserve">Instalațiile electrice pentru încărcarea </w:t>
      </w:r>
      <w:r>
        <w:rPr>
          <w:i/>
        </w:rPr>
        <w:t>vehiculelor electrice</w:t>
      </w:r>
      <w:r>
        <w:t xml:space="preserve"> situate în parcări sau parcări în interiorul sau adiacente clădirilor sau locuințelor trebuie să respecte oricare dintre schemele descrise mai sus.</w:t>
      </w:r>
      <w:r>
        <w:rPr>
          <w:color w:val="000000" w:themeColor="text1"/>
        </w:rPr>
        <w:t xml:space="preserve"> </w:t>
      </w:r>
      <w:r>
        <w:t>În aceeași clădire se pot utiliza diagrame diferite, cu condiția ca toate cerințele prevăzute în prezenta (ITC) BT-52 să fie îndeplinite.</w:t>
      </w:r>
    </w:p>
    <w:p w14:paraId="642E3740" w14:textId="7634F88A" w:rsidR="005074AB" w:rsidRPr="009064BC" w:rsidRDefault="005074AB" w:rsidP="005074AB">
      <w:pPr>
        <w:ind w:left="567"/>
        <w:jc w:val="both"/>
        <w:rPr>
          <w:rFonts w:cstheme="minorHAnsi"/>
        </w:rPr>
      </w:pPr>
      <w:r>
        <w:t>În schema 4a, circuitul de încărcare trebuie să respecte condițiile de instalare descrise în (ITC) BT-15, utilizând cabluri și sisteme de conducție de aceleași tipuri și caracteristici ca pentru o șuntare individuală, iar secțiunea cablului se calculează în conformitate cu cerințele generale din secțiunea 5 din prezenta ITC. Nu este necesar să se prevadă o extindere a secțiunii cablurilor pentru a determina diametrul sau dimensiunile transversale ale sistemului de conducție care urmează să fie utilizat.</w:t>
      </w:r>
    </w:p>
    <w:p w14:paraId="5C0A8DBB" w14:textId="77777777" w:rsidR="005074AB" w:rsidRPr="009064BC" w:rsidRDefault="005074AB" w:rsidP="005074AB">
      <w:pPr>
        <w:ind w:left="567"/>
        <w:jc w:val="both"/>
        <w:rPr>
          <w:rFonts w:cstheme="minorHAnsi"/>
        </w:rPr>
      </w:pPr>
      <w:r>
        <w:t>Schema 4b se utilizează atunci când alimentarea stațiilor de încărcare este proiectată ca parte integrantă sau ca extensie a instalației electrice care deservește serviciile generale ale garajelor.</w:t>
      </w:r>
    </w:p>
    <w:p w14:paraId="1BEC25F6" w14:textId="7E6AD67A" w:rsidR="005074AB" w:rsidRPr="009064BC" w:rsidRDefault="00D676D8" w:rsidP="005074AB">
      <w:pPr>
        <w:ind w:left="567"/>
        <w:jc w:val="both"/>
        <w:rPr>
          <w:rFonts w:cstheme="minorHAnsi"/>
        </w:rPr>
      </w:pPr>
      <w:r>
        <w:t>Atât în instalațiile existente, cât și în cele noi și pentru a facilita utilizarea schemei electrice selectate, tabelele care conțin protecții generale și alte dispozitive de încărcare a vehiculelor electrice pot fi amplasate în încăperile desemnate în acest scop sau în zonele comune.</w:t>
      </w:r>
    </w:p>
    <w:p w14:paraId="3AA0FB18" w14:textId="5CA8F82A" w:rsidR="005074AB" w:rsidRPr="009064BC" w:rsidRDefault="005074AB" w:rsidP="00904550">
      <w:pPr>
        <w:ind w:left="567"/>
        <w:jc w:val="both"/>
        <w:rPr>
          <w:rFonts w:cstheme="minorHAnsi"/>
        </w:rPr>
      </w:pPr>
      <w:r>
        <w:lastRenderedPageBreak/>
        <w:t xml:space="preserve">Preinstalarea electrică pentru încărcarea vehiculelor electrice în parcările situate sau adiacente clădirilor sau complexelor de clădiri facilitează utilizarea ulterioară a oricăruia dintre posibilele scheme de instalare. Aceasta include următoarele elemente: </w:t>
      </w:r>
    </w:p>
    <w:p w14:paraId="4CCD8B27" w14:textId="732EDA20" w:rsidR="005074AB" w:rsidRPr="009064BC" w:rsidRDefault="005074AB" w:rsidP="005074AB">
      <w:pPr>
        <w:numPr>
          <w:ilvl w:val="0"/>
          <w:numId w:val="12"/>
        </w:numPr>
        <w:ind w:left="1418" w:hanging="284"/>
        <w:jc w:val="both"/>
        <w:rPr>
          <w:rFonts w:cstheme="minorHAnsi"/>
        </w:rPr>
      </w:pPr>
      <w:r>
        <w:t>Instalarea sistemelor de conducere prin cablu de la centralizarea contoarelor și de pe drumurile principale ale parcărilor pentru a putea alimenta ulterior stațiile de încărcare care pot fi amplasate în spațiile de parcare individuale sau în parcările auto. În cazul în care preinstalarea este planificată pentru 100 % din spații, sistemele de conducție a cablurilor trebuie să ajungă la fiecare dintre spații. În cazul în care preinstalarea nu este planificată pentru 100 % din spații, trebuie definite spațiile avute în vedere pentru conformitatea cu dispoziția de reglementare a sistemelor de conducere a cablurilor, iar aceste sisteme trebuie să ajungă la fiecare dintre aceste spații.</w:t>
      </w:r>
    </w:p>
    <w:p w14:paraId="0460434B" w14:textId="6073EA36" w:rsidR="005074AB" w:rsidRPr="009064BC" w:rsidRDefault="005074AB" w:rsidP="00281B93">
      <w:pPr>
        <w:numPr>
          <w:ilvl w:val="0"/>
          <w:numId w:val="12"/>
        </w:numPr>
        <w:jc w:val="both"/>
        <w:rPr>
          <w:rFonts w:cstheme="minorHAnsi"/>
        </w:rPr>
      </w:pPr>
      <w:r>
        <w:t>Centralizarea contoarelor trebuie dimensionată în conformitate cu schema electrică aleasă pentru încărcarea vehiculului electric și astfel cum este stabilită în (ITC) BT-16. Modulele de rezervă trebuie instalate pentru cel puțin 20 % din spațiile de garaj care nu sunt asociate unei locuințe și chiar dacă toate spațiile sunt asociate cu locuințele, cel puțin un modul de rezervă. Aceste module de rezervă trebuie să aibă capacitatea de a găzdui contorul principal și dispozitivele de protecție la supracurent asociate contorului, fie cu siguranțe, fie cu întrerupătoare de circuit.</w:t>
      </w:r>
    </w:p>
    <w:p w14:paraId="7C024BD7" w14:textId="5A6D76AB" w:rsidR="005074AB" w:rsidRPr="009064BC" w:rsidRDefault="005074AB" w:rsidP="005074AB">
      <w:pPr>
        <w:ind w:left="1416"/>
        <w:jc w:val="both"/>
        <w:rPr>
          <w:rFonts w:cstheme="minorHAnsi"/>
        </w:rPr>
      </w:pPr>
      <w:r>
        <w:t>Prizele sau conectorii instalați în stația de încărcare și întrerupătoarele sale automate de protecție trebuie să respecte una dintre opțiunile indicate la punctul 5.4.”</w:t>
      </w:r>
    </w:p>
    <w:p w14:paraId="3C2EF0D1" w14:textId="7C25EDED" w:rsidR="00324D93" w:rsidRPr="009064BC" w:rsidRDefault="00441D3E" w:rsidP="00CA5D2D">
      <w:pPr>
        <w:jc w:val="both"/>
        <w:rPr>
          <w:rFonts w:cstheme="minorHAnsi"/>
        </w:rPr>
      </w:pPr>
      <w:r>
        <w:t>3. Punctul 5.4. primul paragraf din INSTRUCȚIA TEHNICĂ SUPLIMENTARĂ (ITC) BT-52 se modifică și are următoarea formulare:</w:t>
      </w:r>
    </w:p>
    <w:p w14:paraId="1D0AA4C9" w14:textId="6013C719" w:rsidR="00527DF1" w:rsidRDefault="00324D93" w:rsidP="00CA5D2D">
      <w:pPr>
        <w:jc w:val="both"/>
        <w:rPr>
          <w:color w:val="FF0000"/>
        </w:rPr>
      </w:pPr>
      <w:r>
        <w:t xml:space="preserve">„5.4 Punctul de conectare. </w:t>
      </w:r>
      <w:bookmarkStart w:id="1" w:name="_Hlk81468651"/>
      <w:r>
        <w:t xml:space="preserve">Punctul de conectare trebuie să fie amplasat lângă pătratul care urmează să fie furnizat și să fie instalat permanent într-o incintă. </w:t>
      </w:r>
    </w:p>
    <w:bookmarkEnd w:id="1"/>
    <w:p w14:paraId="346E72DC" w14:textId="2F609E5D" w:rsidR="00441D3E" w:rsidRPr="00527DF1" w:rsidRDefault="00527DF1" w:rsidP="00CA5D2D">
      <w:pPr>
        <w:jc w:val="both"/>
        <w:rPr>
          <w:color w:val="FF0000"/>
        </w:rPr>
      </w:pPr>
      <w:r>
        <w:t xml:space="preserve">Înălțimea minimă de instalare pentru prize și conectori trebuie să fie la 60 cm deasupra nivelului solului. </w:t>
      </w:r>
      <w:bookmarkStart w:id="2" w:name="_Hlk81468224"/>
      <w:r>
        <w:t>În cazul în care stația de încărcare este destinată uzului public, înălțimea maximă trebuie să fie de 120 cm. În locurile de parcare accesibile, prizele și conectorii trebuie să aibă un contrast cromatic cu împrejurimile, trebuie să fie amplasate la o înălțime cuprinsă între 80 și 120 cm, iar distanța până la joncțiunile de colț trebuie să fie de cel puțin 35 cm.”</w:t>
      </w:r>
      <w:bookmarkEnd w:id="2"/>
    </w:p>
    <w:p w14:paraId="33BA3231" w14:textId="6E4F1E78" w:rsidR="005074AB" w:rsidRPr="00D47CC2" w:rsidRDefault="005074AB" w:rsidP="00CA5D2D">
      <w:pPr>
        <w:jc w:val="both"/>
        <w:rPr>
          <w:rFonts w:cstheme="minorHAnsi"/>
          <w:bCs/>
          <w:i/>
          <w:iCs/>
        </w:rPr>
      </w:pPr>
      <w:r>
        <w:t xml:space="preserve">A doua dispoziție finală. </w:t>
      </w:r>
      <w:r>
        <w:rPr>
          <w:i/>
        </w:rPr>
        <w:t>Transpunerea în dreptul Uniunii Europene.</w:t>
      </w:r>
    </w:p>
    <w:p w14:paraId="09244551" w14:textId="77777777" w:rsidR="005074AB" w:rsidRPr="009064BC" w:rsidRDefault="005074AB" w:rsidP="00CA5D2D">
      <w:pPr>
        <w:jc w:val="both"/>
        <w:rPr>
          <w:rFonts w:cstheme="minorHAnsi"/>
        </w:rPr>
      </w:pPr>
      <w:r>
        <w:t>Prezentul decret regal transpune în legislația spaniolă articolele 8.2, 8.3 și 8.5 din DIRECTIVA (UE) 2018/844 A PARLAMENTULUI EUROPEAN ȘI A CONSILIULUI din 30 mai 2018 de modificare a Directivei 2010/31/UE privind performanța energetică a clădirilor și a Directivei 2012/27/UE privind eficiența energetică.</w:t>
      </w:r>
    </w:p>
    <w:p w14:paraId="106D513A" w14:textId="7AD1ED46" w:rsidR="005074AB" w:rsidRPr="00C760C9" w:rsidRDefault="005074AB" w:rsidP="005074AB">
      <w:pPr>
        <w:jc w:val="both"/>
        <w:rPr>
          <w:rFonts w:cstheme="minorHAnsi"/>
          <w:bCs/>
          <w:i/>
          <w:iCs/>
        </w:rPr>
      </w:pPr>
      <w:r>
        <w:t xml:space="preserve">A treia dispoziție finală. </w:t>
      </w:r>
      <w:r>
        <w:rPr>
          <w:i/>
        </w:rPr>
        <w:t>Intrare în vigoare.</w:t>
      </w:r>
    </w:p>
    <w:p w14:paraId="74B6AB2B" w14:textId="74C92419" w:rsidR="001035FC" w:rsidRDefault="005074AB" w:rsidP="000A2592">
      <w:pPr>
        <w:jc w:val="both"/>
        <w:rPr>
          <w:rFonts w:cstheme="minorHAnsi"/>
          <w:color w:val="FF0000"/>
        </w:rPr>
      </w:pPr>
      <w:r>
        <w:t>Prezentul decret regal intră în vigoare la data publicării sale în Monitorul Oficial al Statului.</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lastRenderedPageBreak/>
        <w:t xml:space="preserve">Madrid, la                          </w:t>
      </w:r>
    </w:p>
    <w:p w14:paraId="28C0A3AF" w14:textId="7E6F82AF" w:rsidR="007F6E00" w:rsidRPr="00243027" w:rsidRDefault="00D47CC2" w:rsidP="00726501">
      <w:pPr>
        <w:jc w:val="center"/>
        <w:rPr>
          <w:rFonts w:cstheme="minorHAnsi"/>
          <w:sz w:val="24"/>
          <w:szCs w:val="24"/>
        </w:rPr>
      </w:pPr>
      <w:r>
        <w:rPr>
          <w:sz w:val="24"/>
        </w:rPr>
        <w:t>MINISTRUL TRANSPORTURILOR, MOBILITĂȚII ȘI AGENDEI URBANE</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AL TREILEA VICEPRIM-MINISTRU AL GUVERNULUI ȘI MINISTRUL TRANZIȚIEI ECOLOGICE ȘI PROVOCĂRII DEMOGRAFICE</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8F6D" w14:textId="77777777" w:rsidR="007600A2" w:rsidRDefault="007600A2" w:rsidP="003B5AE7">
      <w:pPr>
        <w:spacing w:after="0" w:line="240" w:lineRule="auto"/>
      </w:pPr>
      <w:r>
        <w:separator/>
      </w:r>
    </w:p>
  </w:endnote>
  <w:endnote w:type="continuationSeparator" w:id="0">
    <w:p w14:paraId="44F9FD8F" w14:textId="77777777" w:rsidR="007600A2" w:rsidRDefault="007600A2"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Proiect de decret regal de modificare a Codului tehnic al construcțiilor, aprobat prin Decretul regal 314/2006 din 17 martie 2006.</w:t>
    </w:r>
  </w:p>
  <w:p w14:paraId="53C3F409" w14:textId="5B87674E" w:rsidR="00251439" w:rsidRPr="00C864A9" w:rsidRDefault="00251439" w:rsidP="00D214B0">
    <w:pPr>
      <w:pStyle w:val="Footer"/>
      <w:rPr>
        <w:i/>
        <w:sz w:val="15"/>
        <w:szCs w:val="15"/>
      </w:rPr>
    </w:pPr>
    <w:r>
      <w:rPr>
        <w:i/>
        <w:sz w:val="15"/>
      </w:rPr>
      <w:t>Versiune pentru informare publică europeană. Octombrie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F57C" w14:textId="77777777" w:rsidR="007600A2" w:rsidRDefault="007600A2" w:rsidP="003B5AE7">
      <w:pPr>
        <w:spacing w:after="0" w:line="240" w:lineRule="auto"/>
      </w:pPr>
      <w:r>
        <w:separator/>
      </w:r>
    </w:p>
  </w:footnote>
  <w:footnote w:type="continuationSeparator" w:id="0">
    <w:p w14:paraId="4FF9253B" w14:textId="77777777" w:rsidR="007600A2" w:rsidRDefault="007600A2"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MINISTERUL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DEZVOLTĂRII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0A2"/>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0F8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7467</Words>
  <Characters>42563</Characters>
  <Application>Microsoft Office Word</Application>
  <DocSecurity>0</DocSecurity>
  <Lines>354</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2021-11-03T08:27:00Z</dcterms:modified>
</cp:coreProperties>
</file>