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Osnutek kraljeve uredbe z dne [...] o spremembi Tehničnega gradbenega zakonika, odobrenega s Kraljevo uredbo št. 314/2006 z dne 17. marca</w:t>
      </w:r>
    </w:p>
    <w:p w14:paraId="42548872" w14:textId="172DDCC5" w:rsidR="005074AB" w:rsidRPr="003934E5" w:rsidRDefault="005074AB" w:rsidP="005074AB">
      <w:pPr>
        <w:jc w:val="both"/>
        <w:rPr>
          <w:rFonts w:cstheme="minorHAnsi"/>
        </w:rPr>
      </w:pPr>
      <w:r>
        <w:t>V Zakonu št. 38/1999 z dne 5. novembra o gradbenih predpisih je Tehnični gradbeni zakonik opredeljen kot regulativni okvir, ki določa osnovne zahteve glede kakovosti stavb in njihovih naprav ter omogoča izpolnjevanje osnovnih zahtev iz člena 3. Tehnični gradbeni zakonik, omenjen v navedenem zakonu, je bil odobren s Kraljevo uredbo št. 314/2006 z dne 17. marca. V osnovnih dokumentih, ki sestavljajo del II Tehničnega gradbenega zakonika, so določene in, kjer je ustrezno, količinsko opredeljene osnovne zahteve iz dela I, in sicer z določitvijo ciljnih ravni ali mejnih vrednosti v zvezi z učinkovitostjo ali drugimi parametri. V osnovnem dokumentu DB-HE o varčevanju z energijo so določene in količinsko opredeljene zahteve glede energetske učinkovitosti, ki jih morajo izpolnjevati novozgrajene stavbe in dela na obstoječih stavbah.</w:t>
      </w:r>
    </w:p>
    <w:p w14:paraId="400360D8" w14:textId="77777777" w:rsidR="005074AB" w:rsidRPr="003934E5" w:rsidRDefault="005074AB" w:rsidP="005074AB">
      <w:pPr>
        <w:jc w:val="both"/>
        <w:rPr>
          <w:rFonts w:cstheme="minorHAnsi"/>
        </w:rPr>
      </w:pPr>
      <w:r>
        <w:t>30. maja 2018 je bila sprejeta Direktiva (EU) 2018/844 Evropskega parlamenta in Sveta o spremembi Direktive 2010/31/EU o energetski učinkovitosti stavb in Direktive 2012/27/EU o energetski učinkovitosti.</w:t>
      </w:r>
    </w:p>
    <w:p w14:paraId="0B5B2276" w14:textId="142A5C6B" w:rsidR="005A6E61" w:rsidRPr="003934E5" w:rsidRDefault="005074AB" w:rsidP="005A6E61">
      <w:pPr>
        <w:jc w:val="both"/>
        <w:rPr>
          <w:rFonts w:cstheme="minorHAnsi"/>
        </w:rPr>
      </w:pPr>
      <w:r>
        <w:t>V navedeni direktivi do določeni pogoji za razvoj minimalne infrastrukture, potrebne za pametno polnjenje električnih vozil na parkiriščih znotraj stavb. Gradbeni sektor in sektor mobilnosti sta za razogljičenje gospodarstva strateškega pomena, pri čemer je treba vzpostaviti regulativni okvir, namenjen spodbujanju inovacij, trajnostnosti in energetske učinkovitosti v teh sektorjih.</w:t>
      </w:r>
    </w:p>
    <w:p w14:paraId="4245C855" w14:textId="1828DE90" w:rsidR="005A6E61" w:rsidRPr="003934E5" w:rsidRDefault="005A6E61" w:rsidP="005A6E61">
      <w:pPr>
        <w:jc w:val="both"/>
        <w:rPr>
          <w:rFonts w:cstheme="minorHAnsi"/>
        </w:rPr>
      </w:pPr>
      <w:r>
        <w:t>Razvoj infrastrukture za pametno polnjenje električnih vozil bo prispeval k upravljanju energije in prožnosti, uporabi energije iz obnovljivih virov in izboljšanju kakovosti zraka, energetska učinkovitost te infrastrukture pa bo optimizirana z zagotovitvijo višje ravni digitalizacije stavb in vključevanjem novih tehnologij na to področje.</w:t>
      </w:r>
    </w:p>
    <w:p w14:paraId="45A016F5" w14:textId="74A214E6" w:rsidR="005A6E61" w:rsidRPr="003934E5" w:rsidRDefault="005A6E61" w:rsidP="005A6E61">
      <w:pPr>
        <w:jc w:val="both"/>
        <w:rPr>
          <w:rFonts w:cstheme="minorHAnsi"/>
        </w:rPr>
      </w:pPr>
      <w:r>
        <w:t xml:space="preserve">V celovitem nacionalnem energetskem in podnebnem načrtu za obdobje 2021–2030, ki ga je Španija predložila Evropski komisiji, je predvideno spodbujanje električne mobilnosti kot ukrepa za zmanjšanje porabe energije in emisij vozil, in sicer s prilagoditvijo predpisov in prenosom zakonodaje Evropske unije z namenom uvedbe infrastrukture za polnjenje električnih vozil v skladu z razvojem elektrifikacije voznega parka, pa tudi z drugimi vrstami spodbud in podpore. </w:t>
      </w:r>
    </w:p>
    <w:p w14:paraId="3BF925DC" w14:textId="3FA9F544" w:rsidR="00A75681" w:rsidRPr="000E4F56" w:rsidRDefault="00C33374" w:rsidP="00A75681">
      <w:pPr>
        <w:jc w:val="both"/>
        <w:rPr>
          <w:rFonts w:cstheme="minorHAnsi"/>
        </w:rPr>
      </w:pPr>
      <w:r>
        <w:t>Da bi dosegli te cilje in delno prenesli navedeno direktivo, se na podlagi te kraljeve uredbe v Tehnični gradbeni zakonik uvaja nova osnovna zahteva glede varčevanja z energijo, ki zajema minimalne zmogljivosti v zvezi z infrastrukturo za polnjenje električnih vozil, in sicer v novem oddelku HE 6 – Minimalne zmogljivosti v zvezi z infrastrukturo za polnjenje električnih vozil – osnovnega dokumenta o varčevanju z energijo. Z namenom zagotovitve dostopnosti polnilnih mest na dostopnih parkirnih mestih se spremeni osnovni dokument DB-SUA o varnosti uporabe in dostopnosti.</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V skladu z določbami Zakona št. 7/2021 z dne 20. maja o podnebnih spremembah in energetskem prehodu je v edini dodatni določbi Kraljeve uredbe št. 314/2006 z dne 17. marca o odobritvi Tehničnega gradbenega zakonika določeno, da je treba določiti minimalne zmogljivosti v zvezi z infrastrukturo za polnjenje električnih vozil v obstoječih stavbah, ki se ne uporabljajo kot zasebne stanovanjske stavbe in imajo v notranjosti ali na namenski zunanji površini več kot dvajset parkirnih mest ter ne spadajo na področje uporabe oddelka HE 6 osnovnega dokumenta </w:t>
      </w:r>
      <w:r>
        <w:lastRenderedPageBreak/>
        <w:t xml:space="preserve">o varčevanju z energijo. Zakon št. 7/2021 z dne 20. maja o podnebnih spremembah in energetskem prehodu je določeno, da se morajo te zahteve, ki se opredelijo v Tehničnem gradbenem zakoniku, začeti uporabljati pred 1. januarjem 2023. </w:t>
      </w:r>
    </w:p>
    <w:p w14:paraId="1192FDEB" w14:textId="77777777" w:rsidR="005074AB" w:rsidRPr="009064BC" w:rsidRDefault="005074AB" w:rsidP="005074AB">
      <w:pPr>
        <w:jc w:val="both"/>
        <w:rPr>
          <w:rFonts w:cstheme="minorHAnsi"/>
        </w:rPr>
      </w:pPr>
      <w:r>
        <w:t>Z namenom dokončne ureditve področja infrastrukture za polnjenje električnih vozil se spremeni dopolnilno tehnično navodilo BT-52 iz Predpisov o nizkonapetostnih elektrotehničnih napravah, ki so bili odobreni s Kraljevo uredbo št. 1053/2014 z dne 12. decembra, spremenijo pa se tudi druga dopolnilna tehnična navodila iz navedenih predpisov.</w:t>
      </w:r>
    </w:p>
    <w:p w14:paraId="53205125" w14:textId="62D4F2A6" w:rsidR="005A6E61" w:rsidRPr="009064BC" w:rsidRDefault="005074AB" w:rsidP="005A6E61">
      <w:pPr>
        <w:jc w:val="both"/>
        <w:rPr>
          <w:rFonts w:cstheme="minorHAnsi"/>
        </w:rPr>
      </w:pPr>
      <w:r>
        <w:t xml:space="preserve">Poleg tega je v celovitem nacionalnem energetskem in podnebnem načrtu kot ukrep za spodbujanje uporabe energije iz obnovljivih virov, izboljšanje konkurenčnosti proizvodnih sektorjev in spodbujanje potrošnikov k večjemu vključevanju v upravljanje energije predvideno doseganje samooskrbe z energijo iz obnovljivih virov in porazdeljene proizvodnje na stanovanjskih in poslovnih področjih. </w:t>
      </w:r>
    </w:p>
    <w:p w14:paraId="4F23D1D3" w14:textId="56BE7436" w:rsidR="005074AB" w:rsidRPr="009064BC" w:rsidRDefault="005A6E61" w:rsidP="005074AB">
      <w:pPr>
        <w:jc w:val="both"/>
        <w:rPr>
          <w:rFonts w:cstheme="minorHAnsi"/>
        </w:rPr>
      </w:pPr>
      <w:r>
        <w:t xml:space="preserve">V zvezi s tem je odobritev Kraljeve uredbe št. 244/2019 z dne 5. aprila, ki ureja upravne, tehnične in gospodarske pogoje glede samooskrbe z električno energijo, med drugim omogočila kolektivno samooskrbo in zmanjšala upravno breme v zvezi z zagotavljanjem samooskrbe. Sedanji pravni okvir torej omogoča razširitev področja uporabe osnovne zahteve HE 5, ki se nanaša na minimalno proizvodnjo električne energije zasebnih stanovanjskih stavb ter na zmanjšanje mejne vrednosti v zvezi z grajenimi površinami vseh vrst stavb, za katere se zadevna zahteva uporablja. </w:t>
      </w:r>
    </w:p>
    <w:p w14:paraId="2C3560FF" w14:textId="60FA6548" w:rsidR="005074AB" w:rsidRDefault="005074AB" w:rsidP="005074AB">
      <w:pPr>
        <w:jc w:val="both"/>
        <w:rPr>
          <w:rFonts w:cstheme="minorHAnsi"/>
        </w:rPr>
      </w:pPr>
      <w:r>
        <w:t>Poleg tega se zaradi odkritja tiskarskih in drugih napak v Kraljevi uredbi št. 732/2019 z dne 20. decembra o spremembi Tehničnega gradbenega zakonika, odobrenega s Kraljevo uredbo št. 314/2006 z dne 17. marca (Uradni list št. 311, 27.12.2019), izvedejo ustrezni popravki. Da bi pojasnili uporabo osnovnega dokumenta DB-HE o varčevanju z energijo po posodobitvi s Kraljevo uredbo št. 732/2019, je treba spremeniti besedilo nekaterih delov oddelka HE 1 o pogojih za nadzor povpraševanja po energiji in Priloge A o terminologiji iz navedenega osnovnega dokumenta.</w:t>
      </w:r>
    </w:p>
    <w:p w14:paraId="010C68C8" w14:textId="6D1CCB96" w:rsidR="00E26B23" w:rsidRDefault="00E26B23" w:rsidP="00B65F28">
      <w:pPr>
        <w:jc w:val="both"/>
        <w:rPr>
          <w:rFonts w:cstheme="minorHAnsi"/>
          <w:bCs/>
        </w:rPr>
      </w:pPr>
      <w:r>
        <w:t xml:space="preserve">Sprememba Tehničnega zakonika v zvezi z vključitvijo novega oddelka HE 6 – Minimalne zmogljivosti v zvezi z infrastrukturo za polnjenje električnih vozil – osnovnega dokumenta o varčevanju z energijo in sprememba Kraljeve uredbe št. 1053/2014 z dne 12. decembra o odobritvi novega dopolnilnega tehničnega navodila BT 52, vključenega v prvo končno določbo in edino dodatno določbo Kraljeve uredbe št. 314/2006 z dne 17. marca o odobritvi Tehničnega gradbenega zakonika, sta del pravnih reform, predvidenih v načrtu za obnovo, preoblikovanje in odpornost. Zlasti komponenta 1 načrta za obnovo, preoblikovanje in odpornost, ki zajema načrt za trajnostno, varno in povezano mobilnost v mestnih in metropolitanskih okoljih, terja odobritev te kraljeve uredbe, na podlagi katere se bodo navedene pravne reforme izvajale v okviru reforme C1.R1, ki zajema načrt za vzpostavitev polnilne infrastrukture in spodbujanje uporabe električnih vozil.  Reforma C1.R1 je zasnovana kot zakonski, regulativni in strateški okvir za olajšanje vzpostavitve polnilne infrastrukture z namenom spodbujanja uporabe električnih vozil v Španiji ter temelji na dveh ključnih elementih. Prvega predstavljata Odredba TMA/178/2020 z dne 19. februarja o spremembi Odredbe z dne 16. decembra 1997 o ureditvi dostopa do državnih cest in servisnih poti ter gradnji servisnih objektov ter Kraljeva uredba z zakonsko močjo št. 23/2020 z dne 23. junija o odobritvi ukrepov na področju energije in drugih področij za ponovno oživitev gospodarstva. Drug ključni element reforme C1.R1. </w:t>
      </w:r>
      <w:r>
        <w:lastRenderedPageBreak/>
        <w:t xml:space="preserve">zajema odobritev te kraljeve uredbe o spremembi Tehničnega gradbenega zakonika in Kraljevo uredbo št. 1053/2014 z dne 12. decembra o odobritvi novega dopolnilnega tehničnega navodila BT 52.  Reforma C1.R1 je povezana z naložbo C1.I2, ki se nanaša na načrt spodbud za nameščanje polnilnih mest, nakup električnih vozil in vozil s pogonom na gorivne celice ter inovacije na področju električne mobilnosti, polnilne infrastrukture in zelenega vodika. Ta naložba vključuje mehanizme za zagotavljanje pomoči pri nameščanju polnilnih postaj, določene v Kraljevi uredbi št. 266/2021 z dne 13. aprila o odobritvi neposredne dodelitve pomoči avtonomnim skupnostim ter mestoma Ceuta in Melilla za izvajanje programov spodbud, povezanih z električno mobilnostjo (MOVES III), v okviru načrta za obnovo, preoblikovanje in odpornost. </w:t>
      </w:r>
    </w:p>
    <w:p w14:paraId="65C24996" w14:textId="1073EF13" w:rsidR="003F7C25" w:rsidRPr="001C78CB" w:rsidRDefault="003F7C25" w:rsidP="005074AB">
      <w:pPr>
        <w:jc w:val="both"/>
        <w:rPr>
          <w:rFonts w:cstheme="minorHAnsi"/>
          <w:bCs/>
          <w:i/>
          <w:iCs/>
        </w:rPr>
      </w:pPr>
      <w:r>
        <w:t xml:space="preserve">Ta kraljeva uredba izpolnjuje načelo, da se ne škoduje bistveno, ter pogoje glede podnebnega in digitalnega označevanja v skladu z načrtom za obnovo, preoblikovanje in odpornost, Uredbo (EU) 2021/241 Evropskega parlamenta in Sveta z dne 12. februarja 2021 o vzpostavitvi Mehanizma za okrevanje in odpornost ter njeno izvedbeno zakonodajo, zlasti obvestilom Komisije z naslovom Tehnične smernice za uporabo „načela, da se ne škoduje bistveno“ v skladu z uredbo o vzpostavitvi mehanizma za okrevanje in odpornost ter zahtevami iz Izvedbenega sklepa Sveta o odobritvi ocene načrta za okrevanje, preoblikovanje in odpornost za Španijo. To vključuje skladnost s posebnimi pogoji, določenimi v komponenti 1 in reformi 1, v katero je ta kraljeva uredba vključena, tako v zvezi z načelom, da se ne škoduje bistveno, kot v zvezi s podnebnim in digitalnim označevanjem, zlasti pogoji iz oddelkov 3, 6 in 8 dokumenta o načrtu za obnovo, preoblikovanje in odpornost. Naložbe C1.I2 iz načrta za obnovo, preoblikovanje in odpornost, povezane z reformo C1.R1, so prav tako v skladu z načelom, da se okolju ne škoduje bistveno, ter pogoji glede podnebnega in digitalnega označevanja. </w:t>
      </w:r>
    </w:p>
    <w:p w14:paraId="16D6EC35" w14:textId="6F02251C" w:rsidR="005074AB" w:rsidRPr="009064BC" w:rsidRDefault="005074AB" w:rsidP="005074AB">
      <w:pPr>
        <w:ind w:left="13"/>
        <w:jc w:val="both"/>
        <w:rPr>
          <w:rFonts w:cstheme="minorHAnsi"/>
        </w:rPr>
      </w:pPr>
      <w:r>
        <w:t>Ta kraljeva uredba je v skladu z načeli nujnosti, smotrnosti, sorazmernosti, pravne varnosti, preglednosti in učinkovitosti iz člena 129 Zakona št. 39/2015 z dne 1. oktobra o splošnem upravnem postopku javnih uprav. Kar zadeva načeli nujnosti in smotrnosti, zakon ustreza obveznosti prenosa evropskih direktiv v nacionalno zakonodajo in je v skladu s cilji splošnega interesa, kot je prilagoditev stavbne infrastrukture z namenom spodbujanja trajnostne mobilnosti in uporabe energije iz obnovljivih virov. To bo prispevalo k družbeni blaginji in varstvu okolja. Ta kraljeva uredba je v skladu z načelom sorazmernosti, saj zagotavlja potrebna in zadostna sredstva za izvajanje pravnih pooblastil, določenih v direktivi, ne zahteva pa novosti, ki bi bila lahko nepotrebna ali bi lahko presegala zakonske zahteve, ter ne omejuje pravic državljanov. Ta uredba je v skladu z načelom pravne varnosti, ker je bila pripravljena v skladu s postopki iz Vladnega zakona št. 50/1997 z dne 27. novembra 1997, in načelom preglednosti, saj je njen namen jasno opredeljen, njena vsebina pa je v celoti pojasnjena v javno dostopnih pojasnjevalnih opombah. Uredba nazadnje izpolnjuje tudi načelo učinkovitosti, saj ne prinaša nikakršnega upravnega bremena.</w:t>
      </w:r>
    </w:p>
    <w:p w14:paraId="4E30715D" w14:textId="77777777" w:rsidR="005074AB" w:rsidRPr="009064BC" w:rsidRDefault="005074AB" w:rsidP="005074AB">
      <w:pPr>
        <w:jc w:val="both"/>
        <w:rPr>
          <w:rFonts w:cstheme="minorHAnsi"/>
        </w:rPr>
      </w:pPr>
      <w:r>
        <w:t>Ta splošni ukrep je bil podvržen postopku za zbiranje informacij na področju tehničnih predpisov in pravil za storitve informacijske družbe iz Direktive (EU) 2015/1535 Evropskega parlamenta in Sveta z dne 9. septembra 2015 ter Kraljeve uredbe št. 1337/1999 z dne 31. julija 1999.</w:t>
      </w:r>
    </w:p>
    <w:p w14:paraId="533AAB8D" w14:textId="741A459B" w:rsidR="003C546E" w:rsidRDefault="003C546E" w:rsidP="003C546E">
      <w:pPr>
        <w:jc w:val="both"/>
        <w:rPr>
          <w:rFonts w:cstheme="minorHAnsi"/>
        </w:rPr>
      </w:pPr>
      <w:r>
        <w:t>Na podlagi tega se v skladu s predlogom ministrice za promet, mobilnost in agendo za mesta ter tretje namestnice predsednika Vlade in ministrice za ekološki prehod in demografske izzive v dogovoru z Državnim svetom in na podlagi razprave Sveta ministrov na seji z dne [...]</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lastRenderedPageBreak/>
        <w:t>ODREJA:</w:t>
      </w:r>
    </w:p>
    <w:p w14:paraId="29194849" w14:textId="17EA67F9" w:rsidR="005074AB" w:rsidRPr="0033081E" w:rsidRDefault="002A5A94" w:rsidP="005074AB">
      <w:pPr>
        <w:jc w:val="both"/>
        <w:rPr>
          <w:rFonts w:cstheme="minorHAnsi"/>
          <w:bCs/>
          <w:i/>
          <w:iCs/>
        </w:rPr>
      </w:pPr>
      <w:r>
        <w:t xml:space="preserve">Edini člen. </w:t>
      </w:r>
      <w:r>
        <w:rPr>
          <w:i/>
        </w:rPr>
        <w:t>Sprememba Tehničnega gradbenega zakonika, odobrenega s Kraljevo uredbo št. 314/2006 z dne 17. marca 2006.</w:t>
      </w:r>
    </w:p>
    <w:p w14:paraId="49F6DB5C" w14:textId="77777777" w:rsidR="005074AB" w:rsidRPr="009064BC" w:rsidRDefault="005074AB" w:rsidP="005074AB">
      <w:pPr>
        <w:jc w:val="both"/>
        <w:rPr>
          <w:rFonts w:cstheme="minorHAnsi"/>
        </w:rPr>
      </w:pPr>
      <w:r>
        <w:t>Kraljeva uredba št. 314/2006 z dne 17. marca 2006 o odobritvi Tehničnega gradbenega zakonika se spremeni, kot je določeno v nadaljevanju.</w:t>
      </w:r>
    </w:p>
    <w:p w14:paraId="1E4A23CD" w14:textId="3CA20F16" w:rsidR="005074AB" w:rsidRPr="009064BC" w:rsidRDefault="005074AB" w:rsidP="005074AB">
      <w:pPr>
        <w:ind w:left="567" w:hanging="567"/>
        <w:jc w:val="both"/>
        <w:rPr>
          <w:rFonts w:cstheme="minorHAnsi"/>
        </w:rPr>
      </w:pPr>
      <w:r>
        <w:t>Prvič. Del I Tehničnega gradbenega zakonika se spremeni:</w:t>
      </w:r>
    </w:p>
    <w:p w14:paraId="7B36765A" w14:textId="6C7BF234" w:rsidR="006B44D8" w:rsidRPr="009064BC" w:rsidRDefault="006B44D8" w:rsidP="0033081E">
      <w:pPr>
        <w:ind w:left="142" w:hanging="142"/>
        <w:jc w:val="both"/>
        <w:rPr>
          <w:rFonts w:cstheme="minorHAnsi"/>
        </w:rPr>
      </w:pPr>
      <w:r>
        <w:t>– v kazalu se besedilo „15.6. Osnovna zahteva HE 5: minimalna proizvodnja električne energije“ nadomesti z besedilom</w:t>
      </w:r>
    </w:p>
    <w:p w14:paraId="750B02FB" w14:textId="5E773080" w:rsidR="006B44D8" w:rsidRPr="009064BC" w:rsidRDefault="006B44D8" w:rsidP="00F11565">
      <w:pPr>
        <w:ind w:left="426"/>
        <w:jc w:val="both"/>
        <w:rPr>
          <w:rFonts w:cstheme="minorHAnsi"/>
        </w:rPr>
      </w:pPr>
      <w:r>
        <w:t>„15.6. Osnovna zahteva HE 5: oddelek HE 5 – Minimalna proizvodnja električne energije iz obnovljivih virov“.</w:t>
      </w:r>
    </w:p>
    <w:p w14:paraId="0B75EAC4" w14:textId="77777777" w:rsidR="006B44D8" w:rsidRPr="009064BC" w:rsidRDefault="006B44D8" w:rsidP="006B44D8">
      <w:pPr>
        <w:numPr>
          <w:ilvl w:val="0"/>
          <w:numId w:val="9"/>
        </w:numPr>
        <w:ind w:left="142" w:hanging="142"/>
        <w:jc w:val="both"/>
        <w:rPr>
          <w:rFonts w:cstheme="minorHAnsi"/>
        </w:rPr>
      </w:pPr>
      <w:r>
        <w:t>V kazalu se v sklic na člen 15 vstavi dodatna točka, ki se glasi:</w:t>
      </w:r>
    </w:p>
    <w:p w14:paraId="1C1AB680" w14:textId="1D8C7D23" w:rsidR="006B44D8" w:rsidRPr="009064BC" w:rsidRDefault="007E461E" w:rsidP="00F11565">
      <w:pPr>
        <w:ind w:left="426"/>
        <w:jc w:val="both"/>
        <w:rPr>
          <w:rFonts w:cstheme="minorHAnsi"/>
        </w:rPr>
      </w:pPr>
      <w:r>
        <w:t>„15.7. Osnovna zahteva HE 6: minimalne zmogljivosti v zvezi z infrastrukturo za polnjenje električnih vozil“.</w:t>
      </w:r>
    </w:p>
    <w:p w14:paraId="03B3513D" w14:textId="1133ED17" w:rsidR="001E31F3" w:rsidRPr="002C30D6" w:rsidRDefault="005074AB" w:rsidP="005074AB">
      <w:pPr>
        <w:numPr>
          <w:ilvl w:val="0"/>
          <w:numId w:val="9"/>
        </w:numPr>
        <w:ind w:left="142" w:hanging="142"/>
        <w:jc w:val="both"/>
        <w:rPr>
          <w:rFonts w:cstheme="minorHAnsi"/>
        </w:rPr>
      </w:pPr>
      <w:r>
        <w:t>V poglavju 3 se točka 15.6 člena 15 spremeni in se glasi:</w:t>
      </w:r>
    </w:p>
    <w:p w14:paraId="1E36A006" w14:textId="3C6E29CB" w:rsidR="001E31F3" w:rsidRPr="009064BC" w:rsidRDefault="00F11565" w:rsidP="00F11565">
      <w:pPr>
        <w:pStyle w:val="ListParagraph"/>
        <w:ind w:left="426"/>
        <w:jc w:val="both"/>
        <w:rPr>
          <w:rFonts w:cstheme="minorHAnsi"/>
        </w:rPr>
      </w:pPr>
      <w:r>
        <w:t>„15.6 Osnovna zahteva HE 5: minimalna proizvodnja električne energije iz obnovljivih virov.</w:t>
      </w:r>
    </w:p>
    <w:p w14:paraId="4799EB9C" w14:textId="22AE3D4A" w:rsidR="001E31F3" w:rsidRPr="009064BC" w:rsidRDefault="001B0467" w:rsidP="00F11565">
      <w:pPr>
        <w:ind w:left="426"/>
        <w:jc w:val="both"/>
        <w:rPr>
          <w:rFonts w:cstheme="minorHAnsi"/>
        </w:rPr>
      </w:pPr>
      <w:r>
        <w:t>Stavbe so opremljene s sistemi za proizvodnjo električne energije iz obnovljivih virov za lasten odjem ali vrnitev energije v omrežje.“</w:t>
      </w:r>
    </w:p>
    <w:p w14:paraId="799517C6" w14:textId="6A449415" w:rsidR="005074AB" w:rsidRPr="009064BC" w:rsidRDefault="001E31F3" w:rsidP="005074AB">
      <w:pPr>
        <w:numPr>
          <w:ilvl w:val="0"/>
          <w:numId w:val="9"/>
        </w:numPr>
        <w:ind w:left="142" w:hanging="142"/>
        <w:jc w:val="both"/>
        <w:rPr>
          <w:rFonts w:cstheme="minorHAnsi"/>
        </w:rPr>
      </w:pPr>
      <w:r>
        <w:t>Na koncu člena 15 se vstavi naslednje besedilo:</w:t>
      </w:r>
    </w:p>
    <w:p w14:paraId="67BDEE2E" w14:textId="77777777" w:rsidR="005074AB" w:rsidRPr="009064BC" w:rsidRDefault="005074AB" w:rsidP="00F11565">
      <w:pPr>
        <w:ind w:left="426"/>
        <w:jc w:val="both"/>
        <w:rPr>
          <w:rFonts w:cstheme="minorHAnsi"/>
        </w:rPr>
      </w:pPr>
      <w:r>
        <w:t>„15.7 Osnovna zahteva HE 6: minimalne zmogljivosti v zvezi z infrastrukturo za polnjenje električnih vozil.</w:t>
      </w:r>
    </w:p>
    <w:p w14:paraId="7C67403C" w14:textId="535BDE0B" w:rsidR="005074AB" w:rsidRDefault="005074AB" w:rsidP="00F11565">
      <w:pPr>
        <w:ind w:left="426"/>
        <w:jc w:val="both"/>
        <w:rPr>
          <w:rFonts w:cstheme="minorHAnsi"/>
        </w:rPr>
      </w:pPr>
      <w:r>
        <w:t>Stavbe so opremljene z minimalno infrastrukturo, ki omogoča polnjenje električnih vozil.“</w:t>
      </w:r>
    </w:p>
    <w:p w14:paraId="6F674517" w14:textId="77777777" w:rsidR="002A5A94" w:rsidRPr="000E4F56" w:rsidRDefault="002A5A94" w:rsidP="002A5A94">
      <w:pPr>
        <w:pStyle w:val="ListParagraph"/>
        <w:numPr>
          <w:ilvl w:val="0"/>
          <w:numId w:val="9"/>
        </w:numPr>
        <w:ind w:left="142" w:hanging="142"/>
        <w:jc w:val="both"/>
        <w:rPr>
          <w:rFonts w:cstheme="minorHAnsi"/>
        </w:rPr>
      </w:pPr>
      <w:r>
        <w:t>Vstavi se naslednja dodatna določba:</w:t>
      </w:r>
    </w:p>
    <w:p w14:paraId="2417D1DC" w14:textId="3DAEE52F" w:rsidR="002A5A94" w:rsidRPr="0033081E" w:rsidRDefault="002A5A94" w:rsidP="002A5A94">
      <w:pPr>
        <w:ind w:left="426"/>
        <w:jc w:val="both"/>
        <w:rPr>
          <w:rFonts w:cstheme="minorHAnsi"/>
          <w:bCs/>
          <w:i/>
          <w:iCs/>
        </w:rPr>
      </w:pPr>
      <w:r>
        <w:t xml:space="preserve">„Edina dodatna določba. </w:t>
      </w:r>
      <w:r>
        <w:rPr>
          <w:i/>
        </w:rPr>
        <w:t>Minimalna infrastruktura za polnjenje električnih vozil v stavbah, ki niso zasebne stanovanjske stavbe in imajo več kot dvajset parkirnih mest.</w:t>
      </w:r>
    </w:p>
    <w:p w14:paraId="71CE31DD" w14:textId="72E1754E" w:rsidR="0067270E" w:rsidRPr="008F4D49" w:rsidRDefault="0067270E" w:rsidP="0067270E">
      <w:pPr>
        <w:ind w:left="426"/>
        <w:jc w:val="both"/>
      </w:pPr>
      <w:r>
        <w:t>V skladu z določbami Zakona št. 7/2021 z dne 20. maja o podnebnih spremembah in energetskem prehodu morajo imeti pred 1. januarjem 2023 vse stavbe, ki niso zasebne stanovanjske stavbe in imajo več kot dvajset parkirnih mest, bodisi v svoji notranjosti bodisi na namenski zunanji površini naslednje minimalne zmogljivosti v zvezi z infrastrukturo za polnjenje električnih vozil:</w:t>
      </w:r>
    </w:p>
    <w:p w14:paraId="2339A7CE" w14:textId="2F683544" w:rsidR="0067270E" w:rsidRPr="00DC3EE9" w:rsidRDefault="0067270E" w:rsidP="00675D0E">
      <w:pPr>
        <w:ind w:left="426"/>
        <w:jc w:val="both"/>
        <w:rPr>
          <w:rFonts w:cstheme="minorHAnsi"/>
        </w:rPr>
      </w:pPr>
      <w:r>
        <w:t xml:space="preserve">– na splošno se za vsakih 40 parkirnih mest ali enakovrednih enot namesti ena polnilna postaja, pri čemer se nad 1 000 mesti namesti ena dodatna polnilna postaja za vsakih dodatnih 100 mest ali enakovrednih enot. Druga možnost je, da se zahteva občinsko dovoljenje ali pooblastilo za izvedbo del, potrebnih za namestitev te polnilne infrastrukture, ali da se v primeru, da se za lastnika stavbe uporablja Zakon št. 9/2017 z dne 8. novembra o javnih naročilih, s katerim sta bili v špansko zakonodajo preneseni direktivi Evropskega parlamenta in Sveta 2014/23/EU in 2014/24/EU z dne 26. februarja 2014, na ustrezni razpisni platformi objavi razpis za dela ali projekt ali tehnični dokument, ki vključuje </w:t>
      </w:r>
      <w:r>
        <w:lastRenderedPageBreak/>
        <w:t>opredelitev zadevnih del ali projekta</w:t>
      </w:r>
      <w:bookmarkStart w:id="0" w:name="_Hlk74840570"/>
      <w:r>
        <w:t>. Dela, ki se uradno potrdijo na podlagi vložitve vloge za izdajo občinskega dovoljenja ali pooblastila, se morajo začeti v obdobju veljavnosti dovoljenja v skladu z ustreznimi predpisi, če to ni mogoče, pa v šestih mesecih od datuma izdaje dovoljenja. Dela, ki se uradno potrdijo s sprožitvijo razpisnega postopka ali objavo tehničnega dokumenta v zvezi z deli ali projektom, se morajo začeti v obdobju veljavnosti dovoljenja, občinskega dovoljenja ali enakovrednega dokumenta, če to ni mogoče, pa v šestih mesecih od datuma izdaje zadevnega dokumenta;</w:t>
      </w:r>
    </w:p>
    <w:bookmarkEnd w:id="0"/>
    <w:p w14:paraId="58AB7358" w14:textId="65977551" w:rsidR="00F90C96" w:rsidRPr="008F4D49" w:rsidRDefault="0067270E" w:rsidP="00EA32C0">
      <w:pPr>
        <w:ind w:left="426"/>
        <w:jc w:val="both"/>
        <w:rPr>
          <w:rFonts w:cstheme="minorHAnsi"/>
        </w:rPr>
      </w:pPr>
      <w:r>
        <w:t>– v stavbah, ki so v lasti splošne državne uprave ali javnih organov, ki so z njo povezani ali ji pripadajo, se za vsakih 20 parkirnih mest ali enakovrednih enot namesti ena polnilna postaja, pri čemer se nad 500 mesti namesti ena dodatna polnilna postaja za vsakih dodatnih 100 mest ali enakovrednih enot ali pa se na ustrezni razpisni platformi objavi razpis za dela ali projekt ali tehnični dokument, ki vključuje opredelitev zadevnih del ali projekta. Dela, ki se uradno potrdijo s sprožitvijo razpisnega postopka ali objavo tehničnega dokumenta v zvezi z deli ali projektom, se morajo začeti v obdobju veljavnosti dovoljenja, občinskega dovoljenja ali enakovrednega dokumenta, če to ni mogoče, pa v šestih mesecih od datuma izdaje zadevnega dokumenta.</w:t>
      </w:r>
    </w:p>
    <w:p w14:paraId="354182C6" w14:textId="54A09FDC" w:rsidR="002A5A94" w:rsidRPr="00BA4C0D" w:rsidRDefault="002A5A94" w:rsidP="00210EA2">
      <w:pPr>
        <w:ind w:left="426"/>
        <w:jc w:val="both"/>
      </w:pPr>
      <w:r>
        <w:t>Za stavbe, ki so uradno zaščitene kot del zaščitenega okolja ali zaradi svojega posebnega arhitekturnega ali zgodovinskega pomena, se te zahteve ne uporabljajo, če bi izpolnjevanje zahtev nesprejemljivo spremenilo njihov značaj ali videz, pri čemer uradni organ za zaščito opredeli nespremenljive elemente.</w:t>
      </w:r>
    </w:p>
    <w:p w14:paraId="0662362C" w14:textId="0FC45639" w:rsidR="002A5A94" w:rsidRPr="0062182D" w:rsidRDefault="002A5A94" w:rsidP="0062182D">
      <w:pPr>
        <w:pStyle w:val="ListParagraph"/>
        <w:ind w:left="426"/>
        <w:jc w:val="both"/>
        <w:rPr>
          <w:rFonts w:cstheme="minorHAnsi"/>
        </w:rPr>
      </w:pPr>
      <w:r>
        <w:t>Infrastruktura za polnjenje električnih vozil mora biti v skladu z določbami Kraljeve uredbe št. 842/2002 z dne 2. avgusta o odobritvi Pravilnika o nizkonapetostnih elektrotehničnih napravah in njegovega dopolnilnega tehničnega navodila BT 52 (naprave za posebne namene – infrastruktura za polnjenje električnih vozil) ter z določbami pododdelkov 4 (utemeljitev zahteve) in 5 (gradnja, vzdrževanje in ohranjanje) oddelka HE 6 – minimalne zmogljivosti v zvezi z infrastrukturo za polnjenje električnih vozil – osnovnega dokumenta DB-HE o varčevanju z energijo.“</w:t>
      </w:r>
    </w:p>
    <w:p w14:paraId="0769E30E" w14:textId="6A51451B" w:rsidR="0033081E" w:rsidRPr="008F4D49" w:rsidRDefault="005074AB" w:rsidP="00D47CC2">
      <w:pPr>
        <w:jc w:val="both"/>
        <w:rPr>
          <w:rFonts w:cstheme="minorHAnsi"/>
        </w:rPr>
      </w:pPr>
      <w:r>
        <w:t xml:space="preserve">Drugič. V osnovni dokument DB-HE o varčevanju z energijo, vključen v del II Tehničnega gradbenega zakonika, se vstavi oddelek HE 6 – minimalne zmogljivosti v zvezi z infrastrukturo za polnjenje električnih vozil –, ki je vključen kot Priloga I k tej kraljevi uredbi. </w:t>
      </w:r>
    </w:p>
    <w:p w14:paraId="5DC46FAC" w14:textId="4A465EFF" w:rsidR="005074AB" w:rsidRPr="008F4D49" w:rsidRDefault="005074AB" w:rsidP="005074AB">
      <w:pPr>
        <w:spacing w:after="162"/>
        <w:ind w:left="13"/>
        <w:jc w:val="both"/>
        <w:rPr>
          <w:rFonts w:cstheme="minorHAnsi"/>
        </w:rPr>
      </w:pPr>
      <w:r>
        <w:t>Osnovni dokument DB-HE se poleg tega spremeni, kot je določeno v nadaljevanju.</w:t>
      </w:r>
    </w:p>
    <w:p w14:paraId="53FD09BA" w14:textId="1FBEE4B0" w:rsidR="005074AB" w:rsidRPr="009064BC" w:rsidRDefault="005074AB" w:rsidP="006424FF">
      <w:pPr>
        <w:numPr>
          <w:ilvl w:val="0"/>
          <w:numId w:val="13"/>
        </w:numPr>
        <w:spacing w:after="162"/>
        <w:ind w:left="720" w:hanging="295"/>
        <w:jc w:val="both"/>
        <w:rPr>
          <w:rFonts w:cstheme="minorHAnsi"/>
        </w:rPr>
      </w:pPr>
      <w:r>
        <w:t>V prvem pododstavku oddelka I (predmet) se v uvodnem delu v stavku „Oddelki tega osnovnega dokumenta ustrezajo osnovnim zahtevam HE 0 do HE 5“ besedilo „HE 5“ nadomesti z besedilom „HE 6“.</w:t>
      </w:r>
    </w:p>
    <w:p w14:paraId="7957EC48" w14:textId="441BEE49" w:rsidR="006F5E38" w:rsidRPr="009064BC" w:rsidRDefault="006F5E38" w:rsidP="006424FF">
      <w:pPr>
        <w:numPr>
          <w:ilvl w:val="0"/>
          <w:numId w:val="13"/>
        </w:numPr>
        <w:spacing w:after="162"/>
        <w:ind w:left="720" w:hanging="295"/>
        <w:jc w:val="both"/>
        <w:rPr>
          <w:rFonts w:cstheme="minorHAnsi"/>
        </w:rPr>
      </w:pPr>
      <w:r>
        <w:t>V oddelku I (predmet) uvodnega dela se sklic na člen 15.6 dela I Tehničnega gradbenega zakonika spremeni in se glasi:</w:t>
      </w:r>
    </w:p>
    <w:p w14:paraId="5F1636DD" w14:textId="77777777" w:rsidR="006F5E38" w:rsidRPr="009064BC" w:rsidRDefault="006F5E38" w:rsidP="009064BC">
      <w:pPr>
        <w:pStyle w:val="ListParagraph"/>
        <w:ind w:left="709"/>
        <w:contextualSpacing w:val="0"/>
        <w:jc w:val="both"/>
        <w:rPr>
          <w:rFonts w:cstheme="minorHAnsi"/>
        </w:rPr>
      </w:pPr>
      <w:r>
        <w:t>„15.6 Osnovna zahteva HE 5: minimalna proizvodnja električne energije iz obnovljivih virov</w:t>
      </w:r>
    </w:p>
    <w:p w14:paraId="6BB983CA" w14:textId="72439AD8" w:rsidR="006F5E38" w:rsidRPr="009064BC" w:rsidRDefault="006F5E38" w:rsidP="009064BC">
      <w:pPr>
        <w:pStyle w:val="ListParagraph"/>
        <w:spacing w:after="162"/>
        <w:ind w:left="709"/>
        <w:contextualSpacing w:val="0"/>
        <w:jc w:val="both"/>
        <w:rPr>
          <w:rFonts w:cstheme="minorHAnsi"/>
        </w:rPr>
      </w:pPr>
      <w:r>
        <w:t>Stavbe so opremljene s sistemi za proizvodnjo električne energije iz obnovljivih virov za lasten odjem ali vrnitev energije v omrežje.“</w:t>
      </w:r>
    </w:p>
    <w:p w14:paraId="2D6B0228" w14:textId="7AFD12CA" w:rsidR="005074AB" w:rsidRPr="009064BC" w:rsidRDefault="005074AB" w:rsidP="006424FF">
      <w:pPr>
        <w:numPr>
          <w:ilvl w:val="0"/>
          <w:numId w:val="13"/>
        </w:numPr>
        <w:spacing w:after="162"/>
        <w:ind w:left="720" w:hanging="295"/>
        <w:jc w:val="both"/>
        <w:rPr>
          <w:rFonts w:cstheme="minorHAnsi"/>
        </w:rPr>
      </w:pPr>
      <w:r>
        <w:lastRenderedPageBreak/>
        <w:t>V oddelku I (predmet) uvodnega dela se v sklic na člen 15 dela I Tehničnega gradbenega zakonika na koncu vstavi dodatna točka, ki se glasi:</w:t>
      </w:r>
    </w:p>
    <w:p w14:paraId="7D3E8D59" w14:textId="77777777" w:rsidR="005074AB" w:rsidRPr="009064BC" w:rsidRDefault="005074AB" w:rsidP="006424FF">
      <w:pPr>
        <w:ind w:left="709"/>
        <w:jc w:val="both"/>
        <w:rPr>
          <w:rFonts w:cstheme="minorHAnsi"/>
        </w:rPr>
      </w:pPr>
      <w:r>
        <w:t>„15.7. Osnovna zahteva HE 6: minimalne zmogljivosti v zvezi z infrastrukturo za polnjenje električnih vozil.</w:t>
      </w:r>
    </w:p>
    <w:p w14:paraId="63C180D9" w14:textId="77777777" w:rsidR="005074AB" w:rsidRPr="009064BC" w:rsidRDefault="005074AB" w:rsidP="006424FF">
      <w:pPr>
        <w:ind w:left="709"/>
        <w:jc w:val="both"/>
        <w:rPr>
          <w:rFonts w:cstheme="minorHAnsi"/>
        </w:rPr>
      </w:pPr>
      <w:r>
        <w:t>Stavbe so opremljene z minimalno infrastrukturo, ki omogoča polnjenje električnih vozil.“</w:t>
      </w:r>
    </w:p>
    <w:p w14:paraId="2CCB9F35" w14:textId="1C8D3E4F" w:rsidR="001B0467" w:rsidRPr="009064BC" w:rsidRDefault="001B0467" w:rsidP="006424FF">
      <w:pPr>
        <w:numPr>
          <w:ilvl w:val="0"/>
          <w:numId w:val="13"/>
        </w:numPr>
        <w:ind w:left="720" w:hanging="294"/>
        <w:jc w:val="both"/>
        <w:rPr>
          <w:rFonts w:cstheme="minorHAnsi"/>
        </w:rPr>
      </w:pPr>
      <w:r>
        <w:t>V kazalu se naslov oddelka HE 5 spremeni in se glasi:</w:t>
      </w:r>
    </w:p>
    <w:p w14:paraId="7DC0F11B" w14:textId="4E9858DC" w:rsidR="001B0467" w:rsidRPr="009064BC" w:rsidRDefault="001B0467" w:rsidP="001B0467">
      <w:pPr>
        <w:pStyle w:val="ListParagraph"/>
        <w:ind w:left="709"/>
        <w:jc w:val="both"/>
        <w:rPr>
          <w:rFonts w:cstheme="minorHAnsi"/>
        </w:rPr>
      </w:pPr>
      <w:r>
        <w:t>„Oddelek HE 5 – Minimalna proizvodnja električne energije iz obnovljivih virov“.</w:t>
      </w:r>
    </w:p>
    <w:p w14:paraId="1178E5DE" w14:textId="4953BECD" w:rsidR="005074AB" w:rsidRPr="009064BC" w:rsidRDefault="005074AB" w:rsidP="006424FF">
      <w:pPr>
        <w:numPr>
          <w:ilvl w:val="0"/>
          <w:numId w:val="13"/>
        </w:numPr>
        <w:ind w:left="720" w:hanging="294"/>
        <w:jc w:val="both"/>
        <w:rPr>
          <w:rFonts w:cstheme="minorHAnsi"/>
        </w:rPr>
      </w:pPr>
      <w:r>
        <w:t>V kazalu se v sklic na člen 15 vstavi dodatna točka, ki se glasi:</w:t>
      </w:r>
    </w:p>
    <w:p w14:paraId="661731BD" w14:textId="50DD66A3" w:rsidR="005074AB" w:rsidRPr="009064BC" w:rsidRDefault="00982E58" w:rsidP="00982E58">
      <w:pPr>
        <w:tabs>
          <w:tab w:val="left" w:pos="7938"/>
        </w:tabs>
        <w:ind w:left="1134" w:hanging="425"/>
        <w:contextualSpacing/>
        <w:jc w:val="both"/>
        <w:rPr>
          <w:rFonts w:cstheme="minorHAnsi"/>
        </w:rPr>
      </w:pPr>
      <w:r>
        <w:t>„Oddelek HE 6 – Minimalne zmogljivosti v zvezi z infrastrukturo za polnjenje električnih vozil……………………………………………………………………………………..……………..</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Področje uporabe.......................................................................................</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Opis zahteve……………………………………………………………………</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Količinska opredelitev zahteve………………………………………………………………..</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Utemeljitev zahteve……………………………………………………………………</w:t>
      </w:r>
      <w:r>
        <w:tab/>
        <w:t>34</w:t>
      </w:r>
    </w:p>
    <w:p w14:paraId="7CB375BD" w14:textId="25204B87" w:rsidR="005074AB" w:rsidRPr="009064BC" w:rsidRDefault="005074AB" w:rsidP="00982E58">
      <w:pPr>
        <w:numPr>
          <w:ilvl w:val="0"/>
          <w:numId w:val="10"/>
        </w:numPr>
        <w:tabs>
          <w:tab w:val="left" w:pos="7938"/>
        </w:tabs>
        <w:ind w:left="1134" w:hanging="425"/>
        <w:contextualSpacing/>
        <w:jc w:val="both"/>
        <w:rPr>
          <w:rFonts w:cstheme="minorHAnsi"/>
        </w:rPr>
      </w:pPr>
      <w:r>
        <w:t>Gradnja, vzdrževanje in ohranjanje……………………………………………………....</w:t>
      </w:r>
      <w:r w:rsidR="001C176C">
        <w:rPr>
          <w:lang w:val="el-GR"/>
        </w:rPr>
        <w:t>........</w:t>
      </w:r>
      <w:r>
        <w:t>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Izvajanje……………………………………………………………………………………….</w:t>
      </w:r>
      <w:r>
        <w:tab/>
        <w:t>35</w:t>
      </w:r>
    </w:p>
    <w:p w14:paraId="4AE42B35" w14:textId="235021B3" w:rsidR="005074AB" w:rsidRPr="009064BC" w:rsidRDefault="005074AB" w:rsidP="00982E58">
      <w:pPr>
        <w:tabs>
          <w:tab w:val="left" w:pos="7938"/>
        </w:tabs>
        <w:ind w:left="1843" w:hanging="425"/>
        <w:contextualSpacing/>
        <w:jc w:val="both"/>
        <w:rPr>
          <w:rFonts w:cstheme="minorHAnsi"/>
        </w:rPr>
      </w:pPr>
      <w:r>
        <w:t>5.2</w:t>
      </w:r>
      <w:r>
        <w:tab/>
        <w:t>Spremljanje izvajanja del………………………………………………….</w:t>
      </w:r>
      <w:r w:rsidR="001C176C">
        <w:rPr>
          <w:lang w:val="el-GR"/>
        </w:rPr>
        <w:t>................</w:t>
      </w:r>
      <w:r>
        <w:t>.35</w:t>
      </w:r>
    </w:p>
    <w:p w14:paraId="2E5A6752" w14:textId="5AE20D60" w:rsidR="005074AB" w:rsidRPr="009064BC" w:rsidRDefault="005074AB" w:rsidP="00982E58">
      <w:pPr>
        <w:tabs>
          <w:tab w:val="left" w:pos="7938"/>
        </w:tabs>
        <w:ind w:left="1843" w:hanging="436"/>
        <w:contextualSpacing/>
        <w:jc w:val="both"/>
        <w:rPr>
          <w:rFonts w:cstheme="minorHAnsi"/>
        </w:rPr>
      </w:pPr>
      <w:r>
        <w:t>5.3</w:t>
      </w:r>
      <w:r>
        <w:tab/>
        <w:t>Preverjanje zaključenih del………………………………………………………….</w:t>
      </w:r>
      <w:r>
        <w:tab/>
        <w:t>35</w:t>
      </w:r>
    </w:p>
    <w:p w14:paraId="5D3A912D" w14:textId="4F7BF495" w:rsidR="005074AB" w:rsidRPr="009064BC" w:rsidRDefault="005074AB" w:rsidP="00982E58">
      <w:pPr>
        <w:tabs>
          <w:tab w:val="left" w:pos="7938"/>
        </w:tabs>
        <w:ind w:left="1843" w:hanging="425"/>
        <w:contextualSpacing/>
        <w:jc w:val="both"/>
        <w:rPr>
          <w:rFonts w:cstheme="minorHAnsi"/>
        </w:rPr>
      </w:pPr>
      <w:r>
        <w:t>5.4</w:t>
      </w:r>
      <w:r>
        <w:tab/>
        <w:t>Vzdrževanje in ohranjanje stavbe………………………..…………..</w:t>
      </w:r>
      <w:r w:rsidR="001C176C">
        <w:rPr>
          <w:lang w:val="el-GR"/>
        </w:rPr>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V odstavku 9 pododdelka 4.1 (postopek izračuna) oddelka HE 0 – omejitve porabe energije – se besedilo „Priznani dokument“ nadomesti z besedilom „Priznani dokument za energetsko certifikacijo stavb“.</w:t>
      </w:r>
    </w:p>
    <w:p w14:paraId="3222E360" w14:textId="2F90CB7E" w:rsidR="0067340E" w:rsidRPr="0067340E" w:rsidRDefault="006C16B4" w:rsidP="0026457E">
      <w:pPr>
        <w:numPr>
          <w:ilvl w:val="0"/>
          <w:numId w:val="13"/>
        </w:numPr>
        <w:ind w:left="720" w:hanging="295"/>
        <w:jc w:val="both"/>
        <w:rPr>
          <w:rFonts w:cstheme="minorHAnsi"/>
        </w:rPr>
      </w:pPr>
      <w:r>
        <w:t>V pododdelku 4.1 (postopek izračuna) oddelka HE 0 – omejitve porabe energije – se odstavek 9 preštevilči v odstavek 11, dodata pa se naslednja odstavka:</w:t>
      </w:r>
    </w:p>
    <w:p w14:paraId="3392DEB4" w14:textId="73112890" w:rsidR="0067340E" w:rsidRDefault="0067340E" w:rsidP="0067340E">
      <w:pPr>
        <w:ind w:left="1134" w:hanging="425"/>
        <w:contextualSpacing/>
        <w:jc w:val="both"/>
        <w:rPr>
          <w:rFonts w:cstheme="minorHAnsi"/>
        </w:rPr>
      </w:pPr>
      <w:r>
        <w:t>„9.</w:t>
      </w:r>
      <w:r>
        <w:tab/>
        <w:t>Izračun energetske bilance, ki je potreben za preverjanje izpolnjevanja zahtev tega osnovnega dokumenta, se izvede v skladu s standardom UNE-EN ISO 52000-1:2019: Splošna ocena energetske učinkovitosti stavb – Del 1: splošni okvir in postopki z uporabo izvoznega faktorja K</w:t>
      </w:r>
      <w:r>
        <w:rPr>
          <w:vertAlign w:val="subscript"/>
        </w:rPr>
        <w:t>izv.</w:t>
      </w:r>
      <w:r>
        <w:t xml:space="preserve"> = 0.“</w:t>
      </w:r>
    </w:p>
    <w:p w14:paraId="744E1B50" w14:textId="4419E002" w:rsidR="00B233D0" w:rsidRDefault="00B233D0" w:rsidP="0026457E">
      <w:pPr>
        <w:ind w:left="1134" w:hanging="425"/>
        <w:jc w:val="both"/>
        <w:rPr>
          <w:rFonts w:cstheme="minorHAnsi"/>
        </w:rPr>
      </w:pPr>
      <w:r>
        <w:t>„10.</w:t>
      </w:r>
      <w:r>
        <w:tab/>
        <w:t>Za namene dodeljevanja različnim storitvam se distribucija električne energije, proizvedene na kraju samem, v posameznih časovnih intervalih izračuna sorazmerno s porabo električne energije na zadevnem področju (ogrevanje, hlajenje, prezračevanje, gospodinjska topla voda in v okviru terciarne porabe tudi razsvetljava).“</w:t>
      </w:r>
    </w:p>
    <w:p w14:paraId="78947690" w14:textId="66930B3C" w:rsidR="005074AB" w:rsidRPr="009064BC" w:rsidRDefault="005074AB" w:rsidP="0026457E">
      <w:pPr>
        <w:numPr>
          <w:ilvl w:val="0"/>
          <w:numId w:val="13"/>
        </w:numPr>
        <w:ind w:left="720" w:hanging="294"/>
        <w:jc w:val="both"/>
        <w:rPr>
          <w:rFonts w:cstheme="minorHAnsi"/>
        </w:rPr>
      </w:pPr>
      <w:r>
        <w:t>V pododdelku 3.1.1 (prepustnost toplotnega ovoja) oddelka HE 1 – pogoji za nadzor povpraševanja po energiji – se doda naslednji odstavek:</w:t>
      </w:r>
    </w:p>
    <w:p w14:paraId="729573A3" w14:textId="05413AE2" w:rsidR="005074AB" w:rsidRPr="009064BC" w:rsidRDefault="005074AB" w:rsidP="006424FF">
      <w:pPr>
        <w:ind w:left="1134" w:hanging="425"/>
        <w:jc w:val="both"/>
        <w:rPr>
          <w:rFonts w:cstheme="minorHAnsi"/>
        </w:rPr>
      </w:pPr>
      <w:r>
        <w:t>„6.</w:t>
      </w:r>
      <w:r>
        <w:tab/>
        <w:t xml:space="preserve">Druga možnost je, da se stavbe ali – v primeru delnih posegov na obstoječih stavbah – deli stavb, na katerih se izvajajo posegi in katerih potrebe po ogrevanju </w:t>
      </w:r>
      <w:r>
        <w:lastRenderedPageBreak/>
        <w:t>in hlajenju znašajo manj kot 15 kWh/m</w:t>
      </w:r>
      <w:r>
        <w:rPr>
          <w:vertAlign w:val="superscript"/>
        </w:rPr>
        <w:t>2</w:t>
      </w:r>
      <w:r>
        <w:t xml:space="preserve">, izvzamejo iz zahteve glede zagotavljanja </w:t>
      </w:r>
      <w:r>
        <w:rPr>
          <w:i/>
        </w:rPr>
        <w:t>skupnega koeficienta prenosa toplote prek toplotne ovojnice (K)</w:t>
      </w:r>
      <w:r>
        <w:t>.“</w:t>
      </w:r>
    </w:p>
    <w:p w14:paraId="49941342" w14:textId="77777777" w:rsidR="00802B87" w:rsidRDefault="005074AB" w:rsidP="00802B87">
      <w:pPr>
        <w:numPr>
          <w:ilvl w:val="0"/>
          <w:numId w:val="13"/>
        </w:numPr>
        <w:ind w:left="709" w:hanging="283"/>
        <w:contextualSpacing/>
        <w:jc w:val="both"/>
        <w:rPr>
          <w:rFonts w:cstheme="minorHAnsi"/>
        </w:rPr>
      </w:pPr>
      <w:r>
        <w:t>V pododdelku 3.1.3 (zračna prepustnost toplotnega ovoja) oddelka HE 1 – pogoji za nadzor povpraševanja po energiji – se doda odstavek 3, ki se glasi:</w:t>
      </w:r>
    </w:p>
    <w:p w14:paraId="1D58DEB1" w14:textId="0D8F3294" w:rsidR="005074AB" w:rsidRPr="00802B87" w:rsidRDefault="005074AB" w:rsidP="00802B87">
      <w:pPr>
        <w:ind w:left="709"/>
        <w:contextualSpacing/>
        <w:jc w:val="both"/>
        <w:rPr>
          <w:rFonts w:cstheme="minorHAnsi"/>
        </w:rPr>
      </w:pPr>
      <w:r>
        <w:t xml:space="preserve">„V primeru sprememb se zgornja preglednica 3.1.3.a-HE1 uporablja samo za tiste elemente </w:t>
      </w:r>
      <w:r>
        <w:rPr>
          <w:i/>
        </w:rPr>
        <w:t>toplotnega ovoja</w:t>
      </w:r>
      <w:r>
        <w:t>, ki so bili nadomeščeni, dodani ali bistveno spremenjeni;“.</w:t>
      </w:r>
    </w:p>
    <w:p w14:paraId="7563FEDE" w14:textId="74826D79" w:rsidR="005074AB" w:rsidRDefault="005074AB" w:rsidP="00836E07">
      <w:pPr>
        <w:ind w:left="709"/>
        <w:jc w:val="both"/>
        <w:rPr>
          <w:rFonts w:cstheme="minorHAnsi"/>
        </w:rPr>
      </w:pPr>
      <w:r>
        <w:t>Sedanja odstavka 3 in 4 pododdelka 3.1.3 – zračna prepustnost toplotnega ovoja – se preštevilčita v odstavka 4 oziroma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V oddelku HE 3 – pogoji glede svetlobnih naprav – se v preglednici 3.1-HE3 (mejna vrednost učinkovitosti naprave – MVUN</w:t>
      </w:r>
      <w:r>
        <w:rPr>
          <w:vertAlign w:val="subscript"/>
        </w:rPr>
        <w:t>mejna</w:t>
      </w:r>
      <w:r>
        <w:t>) besedilo „Trgovine in majhne prodajalne“ nadomesti z besedilom „Trgovine in majhne prodajalne</w:t>
      </w:r>
      <w:r>
        <w:rPr>
          <w:rFonts w:ascii="Calibri" w:hAnsi="Calibri"/>
          <w:vertAlign w:val="subscript"/>
        </w:rPr>
        <w:t>(10)</w:t>
      </w:r>
      <w:r>
        <w:t>“, vstavi pa se naslednja opomba:</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Izraz trgovina se nanaša na majhne neodvisne trgovine in del za komercialno uporabo, ki se običajno ne uporablja v nakupovalnih centrih.“</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Člen 1 pododdelka 2 (opis zahtev) oddelka HE 4 – minimalni prispevek energije iz obnovljivih virov k pokrivanju potreb po gospodinjski topli vodi – se glasi:</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Stavbe morajo svoje potrebe po ogrevanju gospodinjske tople vode in vode za ogrevanje notranjih bazenov v veliki meri zadovoljiti z uporabo energije iz obnovljivih virov ali postopkov soproizvodnje, ustvarjene bodisi v sami stavbi ali s priključitvijo na sistem daljinskega ogrevanja.“</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Naslov oddelka HE 5 – minimalna proizvodnja električne energije – se spremeni in se glasi:</w:t>
      </w:r>
    </w:p>
    <w:p w14:paraId="1835914C" w14:textId="7892C477" w:rsidR="005074AB" w:rsidRPr="009064BC" w:rsidRDefault="00836E07" w:rsidP="006F5E38">
      <w:pPr>
        <w:pStyle w:val="ListParagraph"/>
        <w:ind w:left="709"/>
        <w:contextualSpacing w:val="0"/>
        <w:jc w:val="both"/>
        <w:rPr>
          <w:rFonts w:cstheme="minorHAnsi"/>
        </w:rPr>
      </w:pPr>
      <w:r>
        <w:t>„Oddelek HE 5 – Minimalna proizvodnja električne energije iz obnovljivih virov“.</w:t>
      </w:r>
    </w:p>
    <w:p w14:paraId="5A13D3D2" w14:textId="6E7AA8ED" w:rsidR="005074AB" w:rsidRPr="009064BC" w:rsidRDefault="005074AB" w:rsidP="00CC005A">
      <w:pPr>
        <w:numPr>
          <w:ilvl w:val="0"/>
          <w:numId w:val="13"/>
        </w:numPr>
        <w:ind w:left="720" w:hanging="294"/>
        <w:jc w:val="both"/>
        <w:rPr>
          <w:rFonts w:cstheme="minorHAnsi"/>
        </w:rPr>
      </w:pPr>
      <w:r>
        <w:t xml:space="preserve">Pododdelek 1 (področje uporabe) oddelka HE 5 – minimalna proizvodnja električne energije – se glasi: </w:t>
      </w:r>
    </w:p>
    <w:p w14:paraId="45B1F681" w14:textId="77777777" w:rsidR="005074AB" w:rsidRPr="009064BC" w:rsidRDefault="005074AB" w:rsidP="00CC005A">
      <w:pPr>
        <w:ind w:left="1134" w:hanging="425"/>
        <w:jc w:val="both"/>
        <w:rPr>
          <w:rFonts w:cstheme="minorHAnsi"/>
        </w:rPr>
      </w:pPr>
      <w:r>
        <w:t>„1.</w:t>
      </w:r>
      <w:r>
        <w:tab/>
        <w:t xml:space="preserve">Ta oddelek se uporablja za: </w:t>
      </w:r>
    </w:p>
    <w:p w14:paraId="10C39280" w14:textId="4335D1B7" w:rsidR="002F2BD0" w:rsidRPr="003934E5" w:rsidRDefault="005074AB" w:rsidP="002F2BD0">
      <w:pPr>
        <w:numPr>
          <w:ilvl w:val="0"/>
          <w:numId w:val="8"/>
        </w:numPr>
        <w:ind w:left="1418" w:hanging="284"/>
        <w:contextualSpacing/>
        <w:jc w:val="both"/>
        <w:rPr>
          <w:rFonts w:cstheme="minorHAnsi"/>
        </w:rPr>
      </w:pPr>
      <w:r>
        <w:t>novozgrajene stavbe, katerih zgrajena površina presega 1 000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razširitve obstoječih stavb, katerih zgrajena površina se poveča za več kot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obstoječe stavbe, ki se popolnoma prenovijo ali pri katerih pride do spremembe namembnosti ter katerih zgrajena površina presega 1 000 m</w:t>
      </w:r>
      <w:r>
        <w:rPr>
          <w:vertAlign w:val="superscript"/>
        </w:rPr>
        <w:t>2</w:t>
      </w:r>
      <w:r>
        <w:t>.</w:t>
      </w:r>
    </w:p>
    <w:p w14:paraId="2BDE8293" w14:textId="74B0ACD8" w:rsidR="001B0467" w:rsidRPr="003934E5" w:rsidRDefault="00D76296" w:rsidP="001B0467">
      <w:pPr>
        <w:ind w:left="1134"/>
        <w:jc w:val="both"/>
        <w:rPr>
          <w:rFonts w:cstheme="minorHAnsi"/>
        </w:rPr>
      </w:pPr>
      <w:r>
        <w:t xml:space="preserve">Šteje se, da zgrajena površina vključuje površino parkirnih mest v stavbi, ne pa skupnih zunanjih območij.“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Prvi pododstavek pododdelka 2 (opredelitev zahteve) oddelka HE 5 – minimalna proizvodnja električne energije – se glasi:</w:t>
      </w:r>
    </w:p>
    <w:p w14:paraId="477CF5F6" w14:textId="719B0DCE" w:rsidR="001B0467" w:rsidRPr="003934E5" w:rsidRDefault="003934E5" w:rsidP="003934E5">
      <w:pPr>
        <w:pStyle w:val="ListParagraph"/>
        <w:ind w:left="1134" w:hanging="425"/>
        <w:contextualSpacing w:val="0"/>
        <w:jc w:val="both"/>
        <w:rPr>
          <w:rFonts w:cstheme="minorHAnsi"/>
        </w:rPr>
      </w:pPr>
      <w:r>
        <w:t>„1.</w:t>
      </w:r>
      <w:r>
        <w:tab/>
        <w:t>Stavbe so opremljene s sistemi za proizvodnjo električne energije iz obnovljivih virov za lasten odjem ali vrnitev energije v omrežje.“</w:t>
      </w:r>
    </w:p>
    <w:p w14:paraId="6586AED4" w14:textId="66518836" w:rsidR="005074AB" w:rsidRPr="003934E5" w:rsidRDefault="005074AB" w:rsidP="00262992">
      <w:pPr>
        <w:pStyle w:val="ListParagraph"/>
        <w:numPr>
          <w:ilvl w:val="0"/>
          <w:numId w:val="13"/>
        </w:numPr>
        <w:ind w:left="709" w:hanging="283"/>
        <w:jc w:val="both"/>
        <w:rPr>
          <w:rFonts w:cstheme="minorHAnsi"/>
        </w:rPr>
      </w:pPr>
      <w:r>
        <w:lastRenderedPageBreak/>
        <w:t>Pododdelek 3 (opredelitev zahteve) oddelka HE 5 – minimalna proizvodnja električne energije – se glasi:</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Najmanjša </w:t>
      </w:r>
      <w:r>
        <w:rPr>
          <w:i/>
        </w:rPr>
        <w:t>inštalirana moč</w:t>
      </w:r>
      <w:r>
        <w:t> – P</w:t>
      </w:r>
      <w:r>
        <w:rPr>
          <w:vertAlign w:val="subscript"/>
        </w:rPr>
        <w:t>min</w:t>
      </w:r>
      <w:r>
        <w:t xml:space="preserve"> – je nižja vrednost med rezultatoma naslednjih dveh enačb: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pri čemer je:</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inštalirana moč</w:t>
      </w:r>
      <w:r>
        <w:t xml:space="preserve"> [kW];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faktor proizvodnje električne energije, ki vključuje vrednost 0,005 za zasebno stanovanjsko rabo in vrednost 0,010 za druge namene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zgrajena površina stavbe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površina strehe, ki ni dostopna ali je dostopna le za vzdrževanje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površina strehe, ki ni dostopna ali je dostopna le za vzdrževanje sončnih kolektorjev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V primeru stavb, v zvezi s katerimi iz urbanističnih ali arhitekturnih razlogov ali njihovega statusa uradno zaščitenih stavb, ki ga je podelil zadevni organ, ki opredeli njihove nespremenljive elemente, ni mogoče doseči najmanjše </w:t>
      </w:r>
      <w:r>
        <w:rPr>
          <w:i/>
        </w:rPr>
        <w:t>inštalirane moči</w:t>
      </w:r>
      <w:r>
        <w:t>, se ta nezmožnost utemelji z analizo različnih alternativ in sprejme se rešitev, ki zagotavlja največjo možno inštalirano moč.“</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V pododdelku 4 (utemeljitev zahteve) oddelka HE 5 – minimalna proizvodnja električne energije – se doda naslednje besedilo:</w:t>
      </w:r>
    </w:p>
    <w:p w14:paraId="1F522FCD" w14:textId="0464CEFA" w:rsidR="005074AB" w:rsidRPr="003934E5" w:rsidRDefault="00CC005A" w:rsidP="00982E58">
      <w:pPr>
        <w:ind w:left="1134" w:hanging="425"/>
        <w:jc w:val="both"/>
        <w:rPr>
          <w:rFonts w:cstheme="minorHAnsi"/>
        </w:rPr>
      </w:pPr>
      <w:r>
        <w:t>„c)</w:t>
      </w:r>
      <w:r>
        <w:tab/>
        <w:t xml:space="preserve">kadar je to primerno, razloge, ki preprečujejo, da bi bila dosežena najmanjša zahtevana </w:t>
      </w:r>
      <w:r>
        <w:rPr>
          <w:i/>
        </w:rPr>
        <w:t>inštalirana moč</w:t>
      </w:r>
      <w:r>
        <w:t>, analizo alternativ in rešitve, sprejete za zagotovitev največje možne inštalirane moči.“</w:t>
      </w:r>
    </w:p>
    <w:p w14:paraId="2F009607" w14:textId="478B8572" w:rsidR="005074AB" w:rsidRPr="003934E5" w:rsidRDefault="005074AB" w:rsidP="009064BC">
      <w:pPr>
        <w:pStyle w:val="ListParagraph"/>
        <w:numPr>
          <w:ilvl w:val="0"/>
          <w:numId w:val="13"/>
        </w:numPr>
        <w:ind w:left="709" w:hanging="283"/>
        <w:jc w:val="both"/>
        <w:rPr>
          <w:rFonts w:cstheme="minorHAnsi"/>
        </w:rPr>
      </w:pPr>
      <w:r>
        <w:t>Priloga A –Terminologija – se spremeni, kot je določeno v nadaljevanju.</w:t>
      </w:r>
    </w:p>
    <w:p w14:paraId="44885A1E" w14:textId="0F9B0783" w:rsidR="005074AB" w:rsidRPr="009064BC" w:rsidRDefault="005074AB" w:rsidP="005074AB">
      <w:pPr>
        <w:ind w:left="709" w:hanging="142"/>
        <w:jc w:val="both"/>
        <w:rPr>
          <w:rFonts w:cstheme="minorHAnsi"/>
        </w:rPr>
      </w:pPr>
      <w:r>
        <w:t>– V opredelitvi izraza „nadzor sončnega sevanja (q</w:t>
      </w:r>
      <w:r>
        <w:rPr>
          <w:vertAlign w:val="subscript"/>
        </w:rPr>
        <w:t>sol;jul</w:t>
      </w:r>
      <w:r>
        <w:t>)“ se pika na koncu opredelitve sestavine formule „H</w:t>
      </w:r>
      <w:r>
        <w:rPr>
          <w:vertAlign w:val="subscript"/>
        </w:rPr>
        <w:t>sol;jul</w:t>
      </w:r>
      <w:r>
        <w:t>“ nadomesti s podpičjem in doda se opredelitev druge sestavine formule, ki se glasi:</w:t>
      </w:r>
    </w:p>
    <w:p w14:paraId="3DF606FE" w14:textId="65F10CC5" w:rsidR="005074AB" w:rsidRPr="009064BC" w:rsidRDefault="005074AB" w:rsidP="00A5780E">
      <w:pPr>
        <w:ind w:left="709"/>
        <w:jc w:val="both"/>
        <w:rPr>
          <w:rFonts w:cstheme="minorHAnsi"/>
        </w:rPr>
      </w:pPr>
      <w:r>
        <w:t>„A</w:t>
      </w:r>
      <w:r>
        <w:rPr>
          <w:vertAlign w:val="subscript"/>
        </w:rPr>
        <w:t>util</w:t>
      </w:r>
      <w:r>
        <w:tab/>
        <w:t>površina, za katero se šteje, da je v skladu s pododdelkom 4.6 oddelka HE 0.“</w:t>
      </w:r>
    </w:p>
    <w:p w14:paraId="22770CCD" w14:textId="56BB680A" w:rsidR="005074AB" w:rsidRPr="009064BC" w:rsidRDefault="005074AB" w:rsidP="005074AB">
      <w:pPr>
        <w:ind w:left="709" w:hanging="142"/>
        <w:jc w:val="both"/>
        <w:rPr>
          <w:rFonts w:cstheme="minorHAnsi"/>
        </w:rPr>
      </w:pPr>
      <w:r>
        <w:t>– V opredelitvi izraza „končna energija“ se besedilo „pomeni energijo, ki so jo potrošniki kupili v obliki električne energije, goriva ali drugih kuriv, ki se uporabljajo neposredno“ nadomesti z besedilom „pomeni energijo, ki se dobavlja gradbenim sistemom za opravljanje storitev. Ta oskrba se običajno zagotavlja z gorivom, proizvodnjo na kraju samem ali posebnimi omrežji (električna energija, plin, daljinsko ogrevanje ali hlajenje itd.)“.</w:t>
      </w:r>
    </w:p>
    <w:p w14:paraId="4C32D5BC" w14:textId="77777777" w:rsidR="005074AB" w:rsidRPr="009064BC" w:rsidRDefault="005074AB" w:rsidP="005074AB">
      <w:pPr>
        <w:ind w:left="709" w:hanging="142"/>
        <w:jc w:val="both"/>
        <w:rPr>
          <w:rFonts w:cstheme="minorHAnsi"/>
        </w:rPr>
      </w:pPr>
      <w:r>
        <w:t>– V opredelitvi izraza „toplotna prepustnost (U)“ se na koncu opredelitve doda naslednji stavek:</w:t>
      </w:r>
    </w:p>
    <w:p w14:paraId="553E6F27" w14:textId="77777777" w:rsidR="005074AB" w:rsidRPr="009064BC" w:rsidRDefault="005074AB" w:rsidP="00A5780E">
      <w:pPr>
        <w:ind w:left="709"/>
        <w:jc w:val="both"/>
        <w:rPr>
          <w:rFonts w:cstheme="minorHAnsi"/>
        </w:rPr>
      </w:pPr>
      <w:r>
        <w:lastRenderedPageBreak/>
        <w:t>„Izražena je v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V Prilogo A – Terminologija – se vključijo naslednje opredelitve:</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Pomožna oprema</w:t>
      </w:r>
      <w:r>
        <w:t xml:space="preserve">‘ pomeni električno ali elektronsko opremo, povezano s svetilnimi elementi, ki se razlikuje glede na posamezne vrste </w:t>
      </w:r>
      <w:r>
        <w:rPr>
          <w:i/>
        </w:rPr>
        <w:t>svetilnih elementov</w:t>
      </w:r>
      <w:r>
        <w:t xml:space="preserve"> ter katere funkcija je sprožitev in nadzor pogojev obratovanja. To pomožno opremo sestavljajo zaganjalnik, predstikalna naprava in kondenzator, razen če gre ta elektronsko opremo.“</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Polnilna postaja</w:t>
      </w:r>
      <w:r>
        <w:t xml:space="preserve">‘ pomeni sklop elementov, potrebnih za priključitev </w:t>
      </w:r>
      <w:r>
        <w:rPr>
          <w:i/>
        </w:rPr>
        <w:t>električnega vozila</w:t>
      </w:r>
      <w:r>
        <w:t xml:space="preserve"> na fiksno električno napravo za polnjenje. </w:t>
      </w:r>
      <w:r>
        <w:rPr>
          <w:i/>
        </w:rPr>
        <w:t>Polnilne postaje</w:t>
      </w:r>
      <w:r>
        <w:t xml:space="preserve"> se delijo na:</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enostavna polnilna mesta, sestavljena iz potrebnih varovalnih elementov, ene ali več vtičnic, ki niso specifične za </w:t>
      </w:r>
      <w:r>
        <w:rPr>
          <w:i/>
        </w:rPr>
        <w:t>električno vozilo</w:t>
      </w:r>
      <w:r>
        <w:t>, in, kjer je primerno, ohišja;</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polnilna mesta s </w:t>
      </w:r>
      <w:r>
        <w:rPr>
          <w:i/>
        </w:rPr>
        <w:t>posebnim sistemom za oskrbo električnih vozil z energijo</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Infrastruktura za polnjenje električnih vozil</w:t>
      </w:r>
      <w:r>
        <w:t xml:space="preserve">‘ pomeni sklop fizičnih in logičnih naprav, ki so namenjene polnjenju </w:t>
      </w:r>
      <w:r>
        <w:rPr>
          <w:i/>
        </w:rPr>
        <w:t>električnih vozil</w:t>
      </w:r>
      <w:r>
        <w:t xml:space="preserve">, izpolnjujejo zahteve glede varnosti in razpoložljivosti, ki so za posamezne primere določene v Pravilniku o nizkonapetostnih elektrotehničnih napravah, ter lahko zagotavljajo popolno in celovito storitev polnjenja. Vključujejo </w:t>
      </w:r>
      <w:r>
        <w:rPr>
          <w:i/>
        </w:rPr>
        <w:t>polnilne postaje</w:t>
      </w:r>
      <w:r>
        <w:t>, krmilni sistem, električne vode, električne krmilne in zaščitne plošče ter merilno opremo, ki je namenjena izključno polnjenju električnih vozil.“</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Posebni sistem za oskrbo električnih vozil z energijo</w:t>
      </w:r>
      <w:r>
        <w:t xml:space="preserve">‘ pomeni sklop opreme, ki je namenjen oskrbi z električno energijo za polnjenje </w:t>
      </w:r>
      <w:r>
        <w:rPr>
          <w:i/>
        </w:rPr>
        <w:t>električnega vozila</w:t>
      </w:r>
      <w:r>
        <w:t xml:space="preserve"> ter vključuje varovalne elemente polnilne postaje, priključni kabel (s faznimi, nevtralnimi in zaščitnimi vodniki), vtičnico ali priključek in, kjer je primerno, pretvornik za izmenični/enosmerni tok. Ta sistem po potrebi omogoča komunikacijo med </w:t>
      </w:r>
      <w:r>
        <w:rPr>
          <w:i/>
        </w:rPr>
        <w:t>električnim vozilom</w:t>
      </w:r>
      <w:r>
        <w:t xml:space="preserve"> in fiksno napravo.“</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Zasebna stanovanjska uporaba</w:t>
      </w:r>
      <w:r>
        <w:t>‘ pomeni uporabo stavbe ali območja, namenjenega stalnemu prebivanju, ne glede na vrsto stavbe, ki je lahko samostojna hiša, stanovanjska stavba itd., in ne glede na to, ali gre za zasebno ali javno gradnjo.“</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Električno vozilo</w:t>
      </w:r>
      <w:r>
        <w:t>‘ pomeni motorno vozilo, ki je opremljeno s pogonsko enoto z vsaj enim neperifernim električnim mehanizmom, ki deluje kot pretvornik energije, in s sistemom za shranjevanje električne energije z možnostjo ponovnega polnjenja od zunaj.“</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V odstavku 4 Priloge D se besedilo „Priznani dokument“ nadomesti z besedilom „Priznani dokument za energetsko certifikacijo stavb“.</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 xml:space="preserve">V Prilogi H – Določanje zračne prepustnosti stavbe – se besedilo „Zračno prepustnost stavbe je treba določiti z eno od spodaj navedenih metod.“ za naslovom oddelka in besedilo „Vrednost količnika spremembe zraka pri 50 Pa, n50, se lahko izračuna s preskušanjem v skladu z metodo B iz standarda UNE-EN 13829:2002 – Ugotavljanje tesnosti obodnih konstrukcij – Metoda tlačne razlike z uporabo ventilatorja –“ iz pododdelka 1 (določanje s preskušanjem) nadomestita z besedilom „Vrednost količnika spremembe zraka pri 50 Pa, n50, s preskušanjem se izračuna v skladu z metodo 1 ali 2 iz standarda UNE-EN ISO 9972: 2019 – Toplotne značilnosti stavb – Ugotavljanje </w:t>
      </w:r>
      <w:r>
        <w:lastRenderedPageBreak/>
        <w:t>prepustnosti za zrak obodnih konstrukcij – Metoda tlačne razlike z uporabo ventilatorja.“.</w:t>
      </w:r>
    </w:p>
    <w:p w14:paraId="153946FB" w14:textId="274D0F0F" w:rsidR="001E0B70" w:rsidRPr="003934E5" w:rsidRDefault="001E0B70" w:rsidP="005074AB">
      <w:pPr>
        <w:ind w:left="13"/>
        <w:jc w:val="both"/>
        <w:rPr>
          <w:rFonts w:cstheme="minorHAnsi"/>
        </w:rPr>
      </w:pPr>
      <w:r>
        <w:t>Tretjič.</w:t>
      </w:r>
      <w:r>
        <w:rPr>
          <w:b/>
        </w:rPr>
        <w:t xml:space="preserve"> </w:t>
      </w:r>
      <w:r>
        <w:t xml:space="preserve">Osnovni dokument DB-SUA o varnosti pri uporabi in dostopnosti, vključen v del II Tehničnega gradbenega zakonika, se spremeni, kot je določeno v nadaljevanju. </w:t>
      </w:r>
    </w:p>
    <w:p w14:paraId="05134A28" w14:textId="08B7B404" w:rsidR="00A5780E" w:rsidRDefault="001E0B70" w:rsidP="00D722CA">
      <w:pPr>
        <w:ind w:left="13"/>
        <w:jc w:val="both"/>
        <w:rPr>
          <w:rFonts w:cstheme="minorHAnsi"/>
        </w:rPr>
      </w:pPr>
      <w:r>
        <w:t>V Prilogi A – Terminologija – iz oddelka SUA 9 – Dostopnost – se v opredelitev pojma „dostopno parkirno mesto“ vključi naslednja alineja:</w:t>
      </w:r>
    </w:p>
    <w:p w14:paraId="791B9B63" w14:textId="2AEB4586" w:rsidR="00D722CA" w:rsidRPr="009064BC" w:rsidRDefault="0078611E" w:rsidP="0078611E">
      <w:pPr>
        <w:ind w:left="709"/>
        <w:jc w:val="both"/>
        <w:rPr>
          <w:rFonts w:cstheme="minorHAnsi"/>
        </w:rPr>
      </w:pPr>
      <w:r>
        <w:t>„– Če ima dostopno parkirno mesto polnilno postajo za električna vozila, dostopna pot zajema tudi zadevno polnilno postajo. Vtičnice in priključki teh polnilnih postaj so v barvnem kontrastu z okolico, postavljeni so na višini med 80 in 120 cm, od robov pa morajo biti oddaljeni najmanj 35 cm.“</w:t>
      </w:r>
    </w:p>
    <w:p w14:paraId="09F57FB9" w14:textId="78225EA3" w:rsidR="005074AB" w:rsidRPr="009064BC" w:rsidRDefault="00DF5914" w:rsidP="005074AB">
      <w:pPr>
        <w:ind w:left="13"/>
        <w:jc w:val="both"/>
        <w:rPr>
          <w:rFonts w:cstheme="minorHAnsi"/>
        </w:rPr>
      </w:pPr>
      <w:r>
        <w:t>Četrtič. Osnovni dokument DB-HS o zdravju, vključen v del II Tehničnega gradbenega zakonika, se spremeni, kot je določeno v nadaljevanju.</w:t>
      </w:r>
    </w:p>
    <w:p w14:paraId="6B818CBA" w14:textId="77777777" w:rsidR="002E7342" w:rsidRDefault="005074AB" w:rsidP="002E7342">
      <w:pPr>
        <w:pStyle w:val="ListParagraph"/>
        <w:numPr>
          <w:ilvl w:val="0"/>
          <w:numId w:val="22"/>
        </w:numPr>
        <w:jc w:val="both"/>
        <w:rPr>
          <w:rFonts w:cstheme="minorHAnsi"/>
        </w:rPr>
      </w:pPr>
      <w:r>
        <w:t>V točki 2 pododdelka 3.2.2.1 oddelka HS 4 – oskrba z vodo – se besedilo „minimalni prispevek sončne energije k proizvodnji gospodinjske tople vode“ nadomesti z besedilom „minimalni prispevek energije iz obnovljivih virov k pokrivanju potreb po gospodinjski topli vodi“.</w:t>
      </w:r>
    </w:p>
    <w:p w14:paraId="49ACE665" w14:textId="4B95E48B" w:rsidR="005074AB" w:rsidRPr="003934E5" w:rsidRDefault="002F25C7" w:rsidP="009064BC">
      <w:pPr>
        <w:jc w:val="both"/>
        <w:rPr>
          <w:rFonts w:eastAsia="Arial" w:cstheme="minorHAnsi"/>
          <w:kern w:val="2"/>
        </w:rPr>
      </w:pPr>
      <w:r>
        <w:t>Petič. V osnovnem dokumentu DB-HE o varčevanju z energijo, vključenem v del II Tehničnega gradbenega zakonika, se odpravijo ugotovljene tiskarske in druge napake, kot je določeno v nadaljevanju.</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V odstavku 1 pododdelka 1 (področje uporabe) oddelka HE 0 se besedilo „[...] če skupna razširjena uporabna površina presega 50 m</w:t>
      </w:r>
      <w:r>
        <w:rPr>
          <w:vertAlign w:val="superscript"/>
        </w:rPr>
        <w:t>2</w:t>
      </w:r>
      <w:r>
        <w:t>;“ nadomesti z besedilom „[...] če razširjena uporabna površina presega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V odstavku 2 pododdelka 3.1 (poraba primarne energije iz neobnovljivih virov) pododdelka 3 (količinska opredelitev zahteve) oddelka HE 0 se besedilo „[...] C</w:t>
      </w:r>
      <w:r>
        <w:rPr>
          <w:vertAlign w:val="subscript"/>
        </w:rPr>
        <w:t>ep’nren,lim</w:t>
      </w:r>
      <w:r>
        <w:t xml:space="preserve"> [...]“ nadomesti z besedilom „C</w:t>
      </w:r>
      <w:r>
        <w:rPr>
          <w:vertAlign w:val="subscript"/>
        </w:rPr>
        <w:t>ep,nren,lim</w:t>
      </w:r>
      <w:r>
        <w:t xml:space="preserve"> [...]“.</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V odstavku 1 pododdelka 3.2 (skupna poraba primarne energije) pododdelka 3 (količinska opredelitev zahteve) oddelka HE 0 se besedilo „[...] C</w:t>
      </w:r>
      <w:r>
        <w:rPr>
          <w:vertAlign w:val="subscript"/>
        </w:rPr>
        <w:t>ep’tot</w:t>
      </w:r>
      <w:r>
        <w:t xml:space="preserve"> [...]“ nadomesti z besedilom „[...] C</w:t>
      </w:r>
      <w:r>
        <w:rPr>
          <w:vertAlign w:val="subscript"/>
        </w:rPr>
        <w:t>ep,tot</w:t>
      </w:r>
      <w:r>
        <w:t xml:space="preserve"> [...]“.</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V odstavku 2 pododdelka 3.2 (skupna poraba primarne energije) oddelka 3 (količinska opredelitev zahteve) oddelka HE 0 se besedilo „[...] Cep,tot [...]“ nadomesti z besedilom „[...] C</w:t>
      </w:r>
      <w:r>
        <w:rPr>
          <w:vertAlign w:val="subscript"/>
        </w:rPr>
        <w:t>ep,tot</w:t>
      </w:r>
      <w:r>
        <w:t xml:space="preserve"> [...]“.</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Izraz „</w:t>
      </w:r>
      <w:r>
        <w:rPr>
          <w:i/>
        </w:rPr>
        <w:t>zasebna stanovanjska uporaba</w:t>
      </w:r>
      <w:r>
        <w:t>“ iz preglednic 3.1.a-HE0 in 3.2.a-HE0 iz oddelka HE 0 se označi s poševnim tiskom. Izraz „</w:t>
      </w:r>
      <w:r>
        <w:rPr>
          <w:i/>
        </w:rPr>
        <w:t>zasebna stanovanjska uporaba</w:t>
      </w:r>
      <w:r>
        <w:t>“ iz odstavka 2 pododdelka 3.1 (poraba primarne energije iz neobnovljivih virov) in odstavka 2 pododdelka 3.2 (skupna poraba primarne energije) se označi s poševnim tiskom.</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Izraz „</w:t>
      </w:r>
      <w:r>
        <w:rPr>
          <w:i/>
        </w:rPr>
        <w:t>zasebna stanovanjska uporaba</w:t>
      </w:r>
      <w:r>
        <w:t>“ iz odstavka 2 pododdelka 4.3 (notranje zahteve in operativni pogoji) oddelka HE 0 se označi s poševnim tiskom.</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lastRenderedPageBreak/>
        <w:t>Izraz „</w:t>
      </w:r>
      <w:r>
        <w:rPr>
          <w:i/>
        </w:rPr>
        <w:t>zasebna stanovanjska uporaba</w:t>
      </w:r>
      <w:r>
        <w:t>“ iz odstavka 1 in naslova pododdelka 4.5 oddelka HE 0 (referenčni sistemi na področju zasebne stanovanjske uporabe) se označi s poševnim tiskom.</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V pododdelku 3.11 (prepustnost toplotnega ovoja) pododdelka 3 (količinska opredelitev zahteve) oddelka HE 1 se izraz „kompaktnost“ v preglednicah 3.1.1.b-HE1 in 3.1.1.c-HE1 označi v poševnem tisku.</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V pododdelku 3.11 (prepustnost toplotnega ovoja) pododdelka 3 (količinska opredelitev zahteve) oddelka HE 1 se izraz „kompaktnost“ v opombah k preglednicam 3.1.1.b-HE1, 3.1.1.c-HE1 in 3.1.1.c-HE1 označi v poševnem tisku.</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V pododdelku 3.1.1 (prepustnost toplotnega ovoja) pododdelka 3 (količinska opredelitev zahteve) oddelka HE 1 se izraz „</w:t>
      </w:r>
      <w:r>
        <w:rPr>
          <w:i/>
        </w:rPr>
        <w:t>zasebna stanovanjska uporaba</w:t>
      </w:r>
      <w:r>
        <w:t>“ v odstavku 3 in preglednici 3.1.1.b-HE1 označi s poševnim tiskom.</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V pododdelku 3.1.1 (prepustnost toplotnega ovoja) pododdelka 3 (količinska opredelitev zahteve) oddelka HE 1 se izraz „toplotni ovoj“ v preglednici 3.1.1.c-HE1 označi v poševnem tisku.</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V pododdelku 3.1.2 (nadzor sončnega sevanja na toplotnem ovoju) pododdelka 3 (količinska opredelitev zahteve) oddelka HE 1 se besedilo „Preglednica 3.1.2-HE1 – Mejna vrednost parametra nadzora sončnega sevanja qsol;jul,lim [KWh/m</w:t>
      </w:r>
      <w:r>
        <w:rPr>
          <w:vertAlign w:val="superscript"/>
        </w:rPr>
        <w:t>2</w:t>
      </w:r>
      <w:r>
        <w:t>·mes]“ nadomesti z besedilom „Preglednica 3.1.2-HE1 – Mejna vrednost parametra nadzora sončnega sevanja q</w:t>
      </w:r>
      <w:r>
        <w:rPr>
          <w:vertAlign w:val="subscript"/>
        </w:rPr>
        <w:t>sol;jul,lim</w:t>
      </w:r>
      <w:r>
        <w:t xml:space="preserve"> [Kwh/m2·mes]“,</w:t>
      </w:r>
      <w:r>
        <w:rPr>
          <w:vertAlign w:val="superscript"/>
        </w:rPr>
        <w:t>2</w:t>
      </w:r>
      <w:r>
        <w:t>·mes]“, pri čemer se besedilo „sun;jul,lim“ napiše v drobnem tisku pod standardno besedilno ravnjo.</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V pododdelku 3.1.3 (zračna prepustnost toplotnega ovoja) pododdelka 3 (količinska opredelitev zahteve) oddelka HE 1 se izraz „toplotni ovoj“ označi s poševnim tiskom.</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V pododdelku 3.1.3 (zračna prepustnost toplotnega ovoja) pododdelka 3 (količinska opredelitev zahteve) oddelka HE 1 se izraz „kompaktnost“ v preglednicah 3.1.3.b-HE1 in 3.1.3.b-HE1 in izraz „zasebna stanovanjska uporaba“ v odstavku 3 označita s poševnim tiskom.</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V pododdelku 4 (utemeljitev zahteve) oddelka HE 1 se izraz „kompaktnost“ iz pododdelka 4.1.b) in izraz „zasebna stanovanjska uporaba“ iz pododdelka 4.1.g) označita s poševnim tiskom.</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V odstavku 4 pododdelka 3.1 (minimalni prispevek energije iz obnovljivih virov k pokrivanju potreb po gospodinjski topli vodi in/ali ogrevanju bazenov) pododdelka 3 (količinska opredelitev zahteve) oddelka HE 4 se besedilo „[...] več kot 2,5 v primeru električnega pogona in več kot 1,15 v primeru delovanja na toplotno energijo [...]“ nadomesti z besedilom „[...] 2,5 ali več v primeru delovanja na električno energijo in 1,15 ali več v primeru delovanja na toplotno energijo [...]“.</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V odstavku 5 pododdelka 3.1 (minimalni prispevek energije iz obnovljivih virov k pokrivanju potreb po gospodinjski topli vodi in/ali ogrevanju bazenov) pododdelka 3 (količinska opredelitev zahteve) oddelka HE 4 se besedilo „[...] stanovanjske stavbe [...]“ nadomesti z besedilom „[...] stavbe za zasebno stanovanjsko uporabo [...]“.</w:t>
      </w:r>
    </w:p>
    <w:p w14:paraId="198A06EA" w14:textId="307304FC" w:rsidR="005074AB" w:rsidRPr="009064BC" w:rsidRDefault="003E1EAB" w:rsidP="00547307">
      <w:pPr>
        <w:numPr>
          <w:ilvl w:val="0"/>
          <w:numId w:val="15"/>
        </w:numPr>
        <w:ind w:left="714" w:hanging="357"/>
        <w:jc w:val="both"/>
        <w:rPr>
          <w:rFonts w:cstheme="minorHAnsi"/>
        </w:rPr>
      </w:pPr>
      <w:r>
        <w:lastRenderedPageBreak/>
        <w:t xml:space="preserve">V oddelku HE 4 se pred pododdelkom 5.1. (izvajanje) vstavi naslov, ki se glasi: „5. Gradnja, vzdrževanje in ohranjanje“.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V opredelitvi pojma „Skupni koeficient prenosa toplote (prek toplotnega ovoja stavbe) (K)“ na strani 140553 Priloge A – Terminologija – se besedilo „[...] K = X Hx/Aint“ nadomesti z besedilom „[...] K = Σ</w:t>
      </w:r>
      <w:r>
        <w:rPr>
          <w:vertAlign w:val="subscript"/>
        </w:rPr>
        <w:t>x</w:t>
      </w:r>
      <w:r>
        <w:t xml:space="preserve"> H</w:t>
      </w:r>
      <w:r>
        <w:rPr>
          <w:vertAlign w:val="subscript"/>
        </w:rPr>
        <w:t>x</w:t>
      </w:r>
      <w:r>
        <w:t xml:space="preserve"> / A</w:t>
      </w:r>
      <w:r>
        <w:rPr>
          <w:vertAlign w:val="subscript"/>
        </w:rPr>
        <w:t>int</w:t>
      </w:r>
      <w:r>
        <w:t xml:space="preserve"> [...]“, pri čemer se vrednosti „x“ in „“int„“ zapišeta v drobnem tisku pod standardno besedilno ravnjo.</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V Prilogi A – Terminologija – se beseda „kompaktnost“ v opredelitvi pojma kompaktnosti iz drugega odstavka označi s poševnim tiskom.</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V Prilogi A – Terminologija – se beseda „zasebna stanovanjska uporaba“ v opredelitvi pojma operativnih pogojev označi s poševnim tiskom.</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V Prilogi A – Terminologija – se v opredelitvi pojma porabe primarne energije iz neobnovljivih virov besedilo „[...] Poraba primarne energije iz neobnovljivih virov [...]“ nadomesti z besedilom „[...] Poraba primarne energije iz neobnovljivih virov (C</w:t>
      </w:r>
      <w:r>
        <w:rPr>
          <w:vertAlign w:val="subscript"/>
        </w:rPr>
        <w:t>ep,nren</w:t>
      </w:r>
      <w:r>
        <w:t>) [...]“, pri čemer se besedilo „ep,nren“ zapiše v drobnem tisku pod standardno besedilno ravnjo.</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V Prilogi A – Terminologija – se v opredelitvi pojma skupne porabe primarne energije besedilo „[...] Skupna poraba primarne energije [...]“ nadomesti z besedilom „[...] Skupna poraba primarne energije (C</w:t>
      </w:r>
      <w:r>
        <w:rPr>
          <w:vertAlign w:val="subscript"/>
        </w:rPr>
        <w:t>ep,tot</w:t>
      </w:r>
      <w:r>
        <w:t>) [...]“, pri čemer se besedilo „ep,tot“ zapiše v drobnem tisku pod standardno besedilno ravnjo.</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V Prilogi A – Terminologija – se v opredelitvi pojma nadzora sončnega sevanja (q</w:t>
      </w:r>
      <w:r>
        <w:rPr>
          <w:vertAlign w:val="subscript"/>
        </w:rPr>
        <w:t>sol;ju</w:t>
      </w:r>
      <w:r>
        <w:t>) besedilo „[...] uporabna površina prostorov [...]“ nadomesti z besedilom „[...] uporabna površina bivalnih prostorov [...]“.</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V Prilogi A – Terminologija – se izraz „klimatiziran bivalni prostor“ v opredelitvi pojma zasebne stanovanjske uporabe označi s poševnim tiskom.</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V Prilogi A – Terminologija – se izraz „zasebna stanovanjska uporaba“ v opredelitvi pojma obdobja uporabe iz drugega odstavka označi s poševnim tiskom.</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V Prilogi A – Terminologija – se izraz „zasebna stanovanjska uporaba“ v opredelitvi pojma vrednosti energetske učinkovitosti naprave označi s poševnim tiskom.</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V Prilogi C – Razmisleki – se izraz „toplotni ovoj“ iz opredelitve pojma toplotnega ovoja označi s poševnim tiskom.</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V naslovu, odstavku 2, preglednici a, preglednici b in preglednici c iz Priloge D – Operativni pogoji in profili uporabe – se izraza „operativni pogoji“ in „profili uporabe“ označita s poševnim tiskom.</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V oddelku 1 Priloge E – Okvirne vrednosti prenosa – se izraz „zasebna stanovanjska uporaba“ označi s poševnim tiskom.</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V oddelku 1 in preglednici a iz Priloge F – Referenčne potrebe po gospodinjski topli vodi – se izraz „zasebna stanovanjska uporaba“ označi s poševnim tiskom.</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 xml:space="preserve">V oddelku 2 (določanje referenčnih vrednosti) Priloge H – Določanje zračne prepustnosti stavbe – se besedilo „[...] 2. Vrednost količnika spremembe zraka pri 50 Pa, n50, se lahko </w:t>
      </w:r>
      <w:r>
        <w:lastRenderedPageBreak/>
        <w:t>izračuna z uporabo naslednje enačbe:“ nadomesti z besedilom „[...] 1. Vrednost količnika spremembe zraka pri 50 Pa, n50, z referenčnimi vrednostmi se izračuna z naslednjo enačbo:“, besedilo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se nadomesti z besedilom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besedilo „V je notranja prostornina toplotnega ovoja v [m</w:t>
      </w:r>
      <w:r>
        <w:rPr>
          <w:vertAlign w:val="superscript"/>
        </w:rPr>
        <w:t>3</w:t>
      </w:r>
      <w:r>
        <w:t>]“ se nadomesti z besedilom „V</w:t>
      </w:r>
      <w:r>
        <w:rPr>
          <w:vertAlign w:val="subscript"/>
        </w:rPr>
        <w:t>int</w:t>
      </w:r>
      <w:r>
        <w:t xml:space="preserve"> je notranja prostornina zraka </w:t>
      </w:r>
      <w:r>
        <w:rPr>
          <w:i/>
        </w:rPr>
        <w:t>toplotnega ovoja</w:t>
      </w:r>
      <w:r>
        <w:t xml:space="preserve"> v [m</w:t>
      </w:r>
      <w:r>
        <w:rPr>
          <w:vertAlign w:val="superscript"/>
        </w:rPr>
        <w:t>3</w:t>
      </w:r>
      <w:r>
        <w:t>]“, besedilo „A</w:t>
      </w:r>
      <w:r>
        <w:rPr>
          <w:vertAlign w:val="subscript"/>
        </w:rPr>
        <w:t>o</w:t>
      </w:r>
      <w:r>
        <w:t xml:space="preserve"> je površina neprosojnega dela toplotnega ovoja v [m</w:t>
      </w:r>
      <w:r>
        <w:rPr>
          <w:vertAlign w:val="superscript"/>
        </w:rPr>
        <w:t>2</w:t>
      </w:r>
      <w:r>
        <w:t>]“ pa se nadomesti z besedilom „A</w:t>
      </w:r>
      <w:r>
        <w:rPr>
          <w:vertAlign w:val="subscript"/>
        </w:rPr>
        <w:t>o</w:t>
      </w:r>
      <w:r>
        <w:t xml:space="preserve"> je površina neprosojnega dela </w:t>
      </w:r>
      <w:r>
        <w:rPr>
          <w:i/>
        </w:rPr>
        <w:t>toplotnega ovoja</w:t>
      </w:r>
      <w:r>
        <w:t xml:space="preserve"> v stiku z zunanjim zrakom pri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V opisu izrazov V</w:t>
      </w:r>
      <w:r>
        <w:rPr>
          <w:vertAlign w:val="subscript"/>
        </w:rPr>
        <w:t>int</w:t>
      </w:r>
      <w:r>
        <w:t>, C</w:t>
      </w:r>
      <w:r>
        <w:rPr>
          <w:vertAlign w:val="subscript"/>
        </w:rPr>
        <w:t>o</w:t>
      </w:r>
      <w:r>
        <w:t>, C</w:t>
      </w:r>
      <w:r>
        <w:rPr>
          <w:vertAlign w:val="subscript"/>
        </w:rPr>
        <w:t>h</w:t>
      </w:r>
      <w:r>
        <w:t>, A</w:t>
      </w:r>
      <w:r>
        <w:rPr>
          <w:vertAlign w:val="subscript"/>
        </w:rPr>
        <w:t>h</w:t>
      </w:r>
      <w:r>
        <w:t xml:space="preserve"> in preglednici a iz Priloge H – Določanje zračne prepustnosti stavbe – se izraz „toplotni ovoj“ označi s poševnim tiskom.</w:t>
      </w:r>
    </w:p>
    <w:p w14:paraId="7A548AE7" w14:textId="77777777" w:rsidR="0024794E" w:rsidRDefault="002F25C7" w:rsidP="0024794E">
      <w:pPr>
        <w:spacing w:before="200" w:after="100" w:line="240" w:lineRule="auto"/>
        <w:jc w:val="both"/>
        <w:rPr>
          <w:rFonts w:eastAsia="Arial" w:cstheme="minorHAnsi"/>
          <w:kern w:val="2"/>
          <w:szCs w:val="24"/>
        </w:rPr>
      </w:pPr>
      <w:r>
        <w:t xml:space="preserve">Šestič. Ugotovljene tiskarske in druge napake se odpravijo, kot je določeno v nadaljevanju. Osnovni dokument DB-HS o zdravju, vključen v del II Tehničnega gradbenega zakonika, se spremeni, kot je določeno v nadaljevanju.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pododdelku 6.2 oddelka 4 HS (oskrba z vodo) se besedilo „e) cevi iz polivinilklorida (PVC-C) v skladu s standardi UNE-EN ISO 15874-1:2013, UNE-EN ISO 15874-2:2013 in UNE-EN ISO 15874-3:2013;“ nadomesti z besedilom „e) polivinilkloridne (PVC-C) cevi v skladu s standardi UNE-EN ISO 15877-1:2009 (+ UNE-EN ISO 15877-1:2009/A1): 2011), UNE-EN ISO 15877-2:2009 (+ NE-EN ISO 15877-2:2009/A1: 2011) in UNE-EN ISO 15877-3:2009 (+ 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pododdelku 6.2 oddelka 4 HS (oskrba z vodo) se besedilo „h) cevi iz polibutilena (PB) v skladu s standardi UNE-EN ISO 15876-1:2017, UNE-EN ISO 15876-2:2017 in UNE-EN ISO 15876-3:2017;“ nadomesti z besedilom „f) cevi iz polibutena (PB) v skladu s standardi UNE-EN ISO 15876-1:2017, UNE-EN ISO 15876-2:2017 in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 Referenčni standardi – se besedilo „Cevni sistemi iz polimernih materialov za napeljave z vročo in hladno vodo – Polibutilen (PB) – 1. del: Splošno“ nadomesti z besedilom „Cevni sistemi iz polimernih materialov za napeljave z vročo in hladno vodo – Polibuten (PB) – 1. del: Splošno“.</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 Referenčni standardi – se besedilo „Cevni sistemi iz polimernih materialov za napeljave z vročo in hladno vodo – Polibutilen (PB) – 2. del: Cevi“ nadomesti z besedilom „Cevni sistemi iz polimernih materialov za napeljave z vročo in hladno vodo – Polibuten (PB) – 2. del: Cevi“.</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 Referenčni standardi – se besedilo „Cevni sistemi iz polimernih materialov za napeljave z vročo in hladno vodo – Polibutilen (PB) – 3. del: Fitingi“ nadomesti z besedilom „Cevni sistemi iz polimernih materialov za napeljave z vročo in hladno vodo – Polibuten (PB) – 3. del: Fitingi.</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 Referenčni standardi – se za sklicem na standard „UNE-EN ISO 15876-3 2017:</w:t>
      </w:r>
      <w:r>
        <w:tab/>
        <w:t>Cevni sistemi iz polimernih materialov za napeljave z vročo in hladno vodo – Polibuten (PB) – 3. del: Fitingi“ vstavijo naslednji standardi:</w:t>
      </w:r>
    </w:p>
    <w:p w14:paraId="5A496CEC" w14:textId="6500843E" w:rsidR="00AD074F" w:rsidRDefault="00AD074F" w:rsidP="0024794E">
      <w:pPr>
        <w:pStyle w:val="ListParagraph"/>
        <w:spacing w:after="120"/>
        <w:ind w:left="709"/>
        <w:jc w:val="both"/>
      </w:pPr>
      <w:r>
        <w:t xml:space="preserve">„UNE-EN ISO 15877-1:2009: Cevni sistemi iz polimernih materialov za napeljave z vročo in hladno vodo – Klorirani polivinilklorid (PVC-C) – 1. del: Splošno (+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Cevni sistemi iz polimernih materialov za napeljave z vročo in hladno vodo – Klorirani polivinilklorid (PVC-C) – 2. del: Cevi. (+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lastRenderedPageBreak/>
        <w:t>UNE-EN ISO 15877-3:2009: Cevni sistemi iz polimernih materialov za napeljave z vročo in hladno vodo – Klorirani polivinilklorid (PVC-C) – 3. del: Fitingi. (+ UNE-EN ISO 15877-3:2009/A1:2011)“.</w:t>
      </w:r>
    </w:p>
    <w:p w14:paraId="30F2E766" w14:textId="038A7758" w:rsidR="005074AB" w:rsidRPr="00431D05" w:rsidRDefault="005074AB" w:rsidP="005074AB">
      <w:pPr>
        <w:jc w:val="both"/>
        <w:rPr>
          <w:rFonts w:cstheme="minorHAnsi"/>
          <w:bCs/>
          <w:i/>
          <w:iCs/>
        </w:rPr>
      </w:pPr>
      <w:r>
        <w:t xml:space="preserve">Prva prehodna določba. </w:t>
      </w:r>
      <w:r>
        <w:rPr>
          <w:i/>
        </w:rPr>
        <w:t>Stavbe, izvzete iz določb te kraljeve uredbe</w:t>
      </w:r>
    </w:p>
    <w:p w14:paraId="71A41130" w14:textId="7184244B" w:rsidR="005074AB" w:rsidRPr="009064BC" w:rsidRDefault="005074AB" w:rsidP="005074AB">
      <w:pPr>
        <w:jc w:val="both"/>
        <w:rPr>
          <w:rFonts w:cstheme="minorHAnsi"/>
        </w:rPr>
      </w:pPr>
      <w:r>
        <w:t xml:space="preserve">Spremembe Tehničnega gradbenega zakonika, sprejete s to kraljevo uredbo, se ne uporabljajo za nove stavbe in dela na obstoječih stavbah, v zvezi s katerimi je bila ob začetku veljavnosti te kraljeve uredbe že vložena vloga za izdajo občinskega dovoljenja za izvedbo del. </w:t>
      </w:r>
    </w:p>
    <w:p w14:paraId="6E353956" w14:textId="262DE845" w:rsidR="007B11B1" w:rsidRDefault="005074AB" w:rsidP="005074AB">
      <w:pPr>
        <w:jc w:val="both"/>
        <w:rPr>
          <w:rFonts w:cstheme="minorHAnsi"/>
        </w:rPr>
      </w:pPr>
      <w:r>
        <w:t>Ta dela se morajo začeti v obdobju veljavnosti navedenega dovoljenja v skladu z ustreznimi predpisi, če to ni mogoče, pa v šestih mesecih po izdaji navedenega dovoljenja. V nasprotnem primeru je treba projekte prilagoditi spremembam Tehničnega gradbenega zakonika, odobrenim s to kraljevo uredbo.</w:t>
      </w:r>
    </w:p>
    <w:p w14:paraId="78DABA03" w14:textId="77777777" w:rsidR="005074AB" w:rsidRPr="00D47CC2" w:rsidRDefault="005074AB" w:rsidP="005074AB">
      <w:pPr>
        <w:jc w:val="both"/>
        <w:rPr>
          <w:rFonts w:cstheme="minorHAnsi"/>
          <w:bCs/>
          <w:i/>
          <w:iCs/>
        </w:rPr>
      </w:pPr>
      <w:r>
        <w:t xml:space="preserve">Druga prehodna določba. </w:t>
      </w:r>
      <w:r>
        <w:rPr>
          <w:i/>
        </w:rPr>
        <w:t>Stavbe, v zvezi s katerimi je uporaba določb te kraljeve uredbe prostovoljna</w:t>
      </w:r>
    </w:p>
    <w:p w14:paraId="047CBC16" w14:textId="1E288EF7" w:rsidR="00CA5D2D" w:rsidRPr="00B24946" w:rsidRDefault="005074AB" w:rsidP="005074AB">
      <w:pPr>
        <w:jc w:val="both"/>
        <w:rPr>
          <w:rFonts w:cstheme="minorHAnsi"/>
        </w:rPr>
      </w:pPr>
      <w:r>
        <w:t xml:space="preserve">Spremembe Tehničnega gradbenega zakonika, sprejete s to kraljevo uredbo, se prostovoljno uporabljajo za nova gradbena dela in dela na obstoječih stavbah, v zvezi s katerimi se vloga za izdajo občinskega dovoljenja za izvedbo del vloži v šestih mesecih po začetku veljavnosti te kraljeve uredbe. </w:t>
      </w:r>
    </w:p>
    <w:p w14:paraId="0F321A96" w14:textId="5FE37BEE" w:rsidR="00CA5D2D" w:rsidRDefault="00CA5D2D" w:rsidP="00CA5D2D">
      <w:pPr>
        <w:jc w:val="both"/>
        <w:rPr>
          <w:rFonts w:cstheme="minorHAnsi"/>
        </w:rPr>
      </w:pPr>
      <w:r>
        <w:t>Ta dela se morajo začeti v obdobju veljavnosti navedenega dovoljenja v skladu z ustreznimi predpisi, če to ni mogoče, pa v šestih mesecih po izdaji navedenega dovoljenja. V nasprotnem primeru je treba projekte prilagoditi spremembam Tehničnega gradbenega zakonika, odobrenim s to kraljevo uredbo.</w:t>
      </w:r>
    </w:p>
    <w:p w14:paraId="1B48DE1E" w14:textId="77777777" w:rsidR="005074AB" w:rsidRPr="00D47CC2" w:rsidRDefault="005074AB" w:rsidP="005074AB">
      <w:pPr>
        <w:jc w:val="both"/>
        <w:rPr>
          <w:rFonts w:cstheme="minorHAnsi"/>
          <w:bCs/>
          <w:i/>
          <w:iCs/>
        </w:rPr>
      </w:pPr>
      <w:r>
        <w:t xml:space="preserve">Tretja prehodna določba. </w:t>
      </w:r>
      <w:r>
        <w:rPr>
          <w:i/>
        </w:rPr>
        <w:t>Stavbe, v zvezi s katerimi je uporaba določb te kraljeve uredbe obvezna</w:t>
      </w:r>
    </w:p>
    <w:p w14:paraId="557DDCCB" w14:textId="624E2145" w:rsidR="005074AB" w:rsidRDefault="005074AB" w:rsidP="005074AB">
      <w:pPr>
        <w:jc w:val="both"/>
        <w:rPr>
          <w:rFonts w:cstheme="minorHAnsi"/>
        </w:rPr>
      </w:pPr>
      <w:r>
        <w:t>Uporaba sprememb Tehničnega gradbenega zakonika, sprejetih s to kraljevo uredbo, je obvezna za nove stavbe in dela na obstoječih stavbah, v zvezi s katerimi se vloga za izdajo občinskega dovoljenja za izvedbo del vloži po več kot devetih mesecih od začetka veljavnosti te uredbe.</w:t>
      </w:r>
    </w:p>
    <w:p w14:paraId="588C44EA" w14:textId="52803F33" w:rsidR="005074AB" w:rsidRPr="00D47CC2" w:rsidRDefault="005074AB" w:rsidP="005074AB">
      <w:pPr>
        <w:jc w:val="both"/>
        <w:rPr>
          <w:rFonts w:cstheme="minorHAnsi"/>
          <w:bCs/>
          <w:i/>
          <w:iCs/>
        </w:rPr>
      </w:pPr>
      <w:r>
        <w:t xml:space="preserve">Prva končna določba. </w:t>
      </w:r>
      <w:r>
        <w:rPr>
          <w:i/>
        </w:rPr>
        <w:t>Sprememba kraljeve uredbe št. 1053/2014 z dne 12. decembra o odobritvi novega dopolnilnega tehničnega navodila BT 52 – Naprave za posebne namene. Infrastruktura za polnjenje električnih vozil – Pravilnika o nizkonapetostnih elektrotehničnih napravah, odobrenega s Kraljevo uredbo št. 842/2002 z dne 2. avgusta, in spremembah drugih dopolnilnih tehničnih navodil</w:t>
      </w:r>
    </w:p>
    <w:p w14:paraId="183CB7CD" w14:textId="78A1B469" w:rsidR="005074AB" w:rsidRPr="009064BC" w:rsidRDefault="005074AB" w:rsidP="005074AB">
      <w:pPr>
        <w:jc w:val="both"/>
        <w:rPr>
          <w:rFonts w:cstheme="minorHAnsi"/>
        </w:rPr>
      </w:pPr>
      <w:r>
        <w:t>Prvič. Prva dodatna določba Kraljeve uredbe št. 1053/2014 z dne 12. decembra o odobritvi novega dopolnilnega tehničnega navodila BT 52 se spremeni in se glasi:</w:t>
      </w:r>
    </w:p>
    <w:p w14:paraId="6C63F170" w14:textId="77777777" w:rsidR="005074AB" w:rsidRPr="009064BC" w:rsidRDefault="005074AB" w:rsidP="005074AB">
      <w:pPr>
        <w:ind w:left="567"/>
        <w:jc w:val="both"/>
        <w:rPr>
          <w:rFonts w:cstheme="minorHAnsi"/>
        </w:rPr>
      </w:pPr>
      <w:r>
        <w:t>„Prva dodatna določba. Minimalne strukturne zmogljivosti za polnjenje električnih vozil na parkiriščih, ki niso povezana s stavbami ter so novozgrajena ali predmet večje prenove, ter na javnih cestah</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Na novozgrajenih parkiriščih ali parkiriščih v postopku večje prenove, ki se ne nahajajo v stavbi in ne mejijo nanjo ter zato ne spadajo na področje uporabe osnovnega dokumenta o varčevanju z energijo (DB HE) Tehničnega gradbenega zakonika, je treba namestiti vsaj eno polnilno postajo na vsakih 40 parkirnih </w:t>
      </w:r>
      <w:r>
        <w:lastRenderedPageBreak/>
        <w:t xml:space="preserve">mest. Šteje se, da je parkirišče novozgrajeno, če se gradbeni projekt predloži v obdelavo pristojni javni upravi po začetku veljavnosti te kraljeve uredbe. </w:t>
      </w:r>
    </w:p>
    <w:p w14:paraId="0C99327A" w14:textId="0AD5DDFE" w:rsidR="005074AB" w:rsidRPr="009064BC" w:rsidRDefault="005074AB" w:rsidP="002F659F">
      <w:pPr>
        <w:numPr>
          <w:ilvl w:val="0"/>
          <w:numId w:val="11"/>
        </w:numPr>
        <w:ind w:left="1418" w:hanging="284"/>
        <w:contextualSpacing/>
        <w:jc w:val="both"/>
        <w:rPr>
          <w:rFonts w:cstheme="minorHAnsi"/>
        </w:rPr>
      </w:pPr>
      <w:r>
        <w:t>Na javnih cestah je treba namestiti potrebne naprave za napajanje polnilnih postaj na mestih, ki so namenjena električnim vozilom in predvidena v nadobčinskih ali občinskih načrtih trajnostne mobilnosti.“</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Drugič. Oddelek 3.2 dopolnilnega tehničnega navodila BT-52 se spremeni in se glasi:</w:t>
      </w:r>
    </w:p>
    <w:p w14:paraId="6A13CA56" w14:textId="2BC47FB2" w:rsidR="005074AB" w:rsidRPr="009064BC" w:rsidRDefault="005074AB" w:rsidP="005074AB">
      <w:pPr>
        <w:ind w:left="567"/>
        <w:jc w:val="both"/>
        <w:rPr>
          <w:rFonts w:cstheme="minorHAnsi"/>
        </w:rPr>
      </w:pPr>
      <w:r>
        <w:t xml:space="preserve">„3.2 Namestitev na parkiriščih ali skupnih parkirnih mestih, ki mejijo na stavbe ali stavbne komplekse </w:t>
      </w:r>
    </w:p>
    <w:p w14:paraId="14463364" w14:textId="6F4941EA" w:rsidR="005074AB" w:rsidRPr="003934E5" w:rsidRDefault="005074AB" w:rsidP="005074AB">
      <w:pPr>
        <w:ind w:left="567"/>
        <w:jc w:val="both"/>
        <w:rPr>
          <w:rFonts w:cstheme="minorHAnsi"/>
        </w:rPr>
      </w:pPr>
      <w:r>
        <w:t xml:space="preserve">Električne naprave za polnjenje </w:t>
      </w:r>
      <w:r>
        <w:rPr>
          <w:i/>
        </w:rPr>
        <w:t>električnih vozil</w:t>
      </w:r>
      <w:r>
        <w:t>, ki se nahajajo na parkiriščih ali parkirnih mestih v stavbah ali stanovanjskih naseljih ali mejijo nanje, morajo biti v skladu z eno od shem, opisanih zgoraj.</w:t>
      </w:r>
      <w:r>
        <w:rPr>
          <w:color w:val="000000" w:themeColor="text1"/>
        </w:rPr>
        <w:t xml:space="preserve"> </w:t>
      </w:r>
      <w:r>
        <w:t>V isti stavbi se lahko uporabljajo različne sheme, če so izpolnjene vse zahteve iz tega dopolnilnega tehničnega navodila BT-52.</w:t>
      </w:r>
    </w:p>
    <w:p w14:paraId="642E3740" w14:textId="7634F88A" w:rsidR="005074AB" w:rsidRPr="009064BC" w:rsidRDefault="005074AB" w:rsidP="005074AB">
      <w:pPr>
        <w:ind w:left="567"/>
        <w:jc w:val="both"/>
        <w:rPr>
          <w:rFonts w:cstheme="minorHAnsi"/>
        </w:rPr>
      </w:pPr>
      <w:r>
        <w:t>V primeru sheme 4a mora napajalni tokokrog izpolnjevati vse namestitvene pogoje, opisane v dopolnilnem tehničnem navodilu BT-15, pri čemer je treba uporabiti kable in prevodne sisteme enakih vrst in značilnosti kot v primeru posameznega obvoda, presek kablov pa je treba izračunati v skladu s splošnimi zahtevami oddelka 5 tega dopolnilnega tehničnega navodila. Za določitev premera ali prečnih mer prevodnega sistema, ki se bo uporabljal, ni treba predvideti povečanja preseka kablov.</w:t>
      </w:r>
    </w:p>
    <w:p w14:paraId="5C0A8DBB" w14:textId="77777777" w:rsidR="005074AB" w:rsidRPr="009064BC" w:rsidRDefault="005074AB" w:rsidP="005074AB">
      <w:pPr>
        <w:ind w:left="567"/>
        <w:jc w:val="both"/>
        <w:rPr>
          <w:rFonts w:cstheme="minorHAnsi"/>
        </w:rPr>
      </w:pPr>
      <w:r>
        <w:t>Shema 4b se uporabi, če je napajalni sistem polnilnih postaj zasnovan kot sestavni del ali dodaten element električne napeljave, ki oskrbuje splošne funkcije garaž.</w:t>
      </w:r>
    </w:p>
    <w:p w14:paraId="1BEC25F6" w14:textId="7E6AD67A" w:rsidR="005074AB" w:rsidRPr="009064BC" w:rsidRDefault="00D676D8" w:rsidP="005074AB">
      <w:pPr>
        <w:ind w:left="567"/>
        <w:jc w:val="both"/>
        <w:rPr>
          <w:rFonts w:cstheme="minorHAnsi"/>
        </w:rPr>
      </w:pPr>
      <w:r>
        <w:t>V primeru obstoječih in novih naprav se lahko z namenom olajšanja uporabe izbrane električne sheme plošče s splošno zaščito in drugimi napravami za polnjenje električnih vozil namestijo v prostorih, predvidenih za ta namen, ali v skupnih prostorih.</w:t>
      </w:r>
    </w:p>
    <w:p w14:paraId="3AA0FB18" w14:textId="5CA8F82A" w:rsidR="005074AB" w:rsidRPr="009064BC" w:rsidRDefault="005074AB" w:rsidP="00904550">
      <w:pPr>
        <w:ind w:left="567"/>
        <w:jc w:val="both"/>
        <w:rPr>
          <w:rFonts w:cstheme="minorHAnsi"/>
        </w:rPr>
      </w:pPr>
      <w:r>
        <w:t xml:space="preserve">Predhodna električna napeljava za polnjenje električnih vozil na parkiriščih, ki se nahajajo v stavbah ali stavbnih kompleksih ali mejijo nanje, olajša poznejšo uporabo zadevne namestitvene sheme. To vključuje naslednje elemente: </w:t>
      </w:r>
    </w:p>
    <w:p w14:paraId="4CCD8B27" w14:textId="732EDA20" w:rsidR="005074AB" w:rsidRPr="009064BC" w:rsidRDefault="005074AB" w:rsidP="005074AB">
      <w:pPr>
        <w:numPr>
          <w:ilvl w:val="0"/>
          <w:numId w:val="12"/>
        </w:numPr>
        <w:ind w:left="1418" w:hanging="284"/>
        <w:jc w:val="both"/>
        <w:rPr>
          <w:rFonts w:cstheme="minorHAnsi"/>
        </w:rPr>
      </w:pPr>
      <w:r>
        <w:t>namestitev kabelskih prevodnih sistemov iz merilne omarice in po glavnih cestah parkirišč, da bi lahko pozneje napajali polnilne postaje, ki se lahko namestijo na posameznih parkirnih mestih ali parkiriščih. Če je predhodna napeljava načrtovana za vsa parkirna mesta, morajo kabelski prevodni sistemi doseči vsako mesto. Če predhodna napeljava ni načrtovana za vsa parkirna mesta, se opredelijo mesta, ki izpolnjujejo predpise o kabelskih prevodnih sistemih, ti sistemi pa se napeljejo do vsakega od opredeljenih mest.</w:t>
      </w:r>
    </w:p>
    <w:p w14:paraId="0460434B" w14:textId="6073EA36" w:rsidR="005074AB" w:rsidRPr="009064BC" w:rsidRDefault="005074AB" w:rsidP="00281B93">
      <w:pPr>
        <w:numPr>
          <w:ilvl w:val="0"/>
          <w:numId w:val="12"/>
        </w:numPr>
        <w:jc w:val="both"/>
        <w:rPr>
          <w:rFonts w:cstheme="minorHAnsi"/>
        </w:rPr>
      </w:pPr>
      <w:r>
        <w:t>Dimenzije merilne omarice se določijo v skladu z električnim sistemom, izbranim za polnjenje električnega vozila, in v skladu z dopolnilnim tehničnim navodilom BT-16. Rezervni moduli se namestijo za najmanj 20 % garažnih prostorov, ki niso povezani s stanovanjem; v primeru, da so vsi prostori povezani s stanovanji, se namesti vsaj en rezervni modul. Ti rezervni moduli morajo omogočati namestitev glavnega števca in naprav za nadtokovno zaščito, povezanih s števcem, bodisi z varovalkami bodisi z odklopniki.</w:t>
      </w:r>
    </w:p>
    <w:p w14:paraId="7C024BD7" w14:textId="5A6D76AB" w:rsidR="005074AB" w:rsidRPr="009064BC" w:rsidRDefault="005074AB" w:rsidP="005074AB">
      <w:pPr>
        <w:ind w:left="1416"/>
        <w:jc w:val="both"/>
        <w:rPr>
          <w:rFonts w:cstheme="minorHAnsi"/>
        </w:rPr>
      </w:pPr>
      <w:r>
        <w:lastRenderedPageBreak/>
        <w:t>Vtičnice ali priključki, nameščeni na polnilni postaji, ter njeni avtomatski zaščitni odklopniki morajo ustrezati eni od možnosti iz oddelka 5.4.“</w:t>
      </w:r>
    </w:p>
    <w:p w14:paraId="3C2EF0D1" w14:textId="7C25EDED" w:rsidR="00324D93" w:rsidRPr="009064BC" w:rsidRDefault="00441D3E" w:rsidP="00CA5D2D">
      <w:pPr>
        <w:jc w:val="both"/>
        <w:rPr>
          <w:rFonts w:cstheme="minorHAnsi"/>
        </w:rPr>
      </w:pPr>
      <w:r>
        <w:t>Tretjič. Prvi pododstavek oddelka 5.4 dodatnega tehničnega navodila BT-52 se spremeni in se glasi:</w:t>
      </w:r>
    </w:p>
    <w:p w14:paraId="1D0AA4C9" w14:textId="6013C719" w:rsidR="00527DF1" w:rsidRDefault="00324D93" w:rsidP="00CA5D2D">
      <w:pPr>
        <w:jc w:val="both"/>
        <w:rPr>
          <w:color w:val="FF0000"/>
        </w:rPr>
      </w:pPr>
      <w:r>
        <w:t xml:space="preserve">„5.4 Priključna točka. </w:t>
      </w:r>
      <w:bookmarkStart w:id="1" w:name="_Hlk81468651"/>
      <w:r>
        <w:t xml:space="preserve">Priključna točka se mora nahajati ob mestu, ki se oskrbuje, in biti trajno nameščena v ohišju. </w:t>
      </w:r>
    </w:p>
    <w:bookmarkEnd w:id="1"/>
    <w:p w14:paraId="346E72DC" w14:textId="2F609E5D" w:rsidR="00441D3E" w:rsidRPr="00527DF1" w:rsidRDefault="00527DF1" w:rsidP="00CA5D2D">
      <w:pPr>
        <w:jc w:val="both"/>
        <w:rPr>
          <w:color w:val="FF0000"/>
        </w:rPr>
      </w:pPr>
      <w:r>
        <w:t xml:space="preserve">Vtičnice in priključke je treba namestiti najmanj 60 cm nad tlemi. </w:t>
      </w:r>
      <w:bookmarkStart w:id="2" w:name="_Hlk81468224"/>
      <w:r>
        <w:t>Če je polnilna postaja namenjena javni uporabi, je največja višina 120 cm. Na dostopnih parkirnih mestih morajo biti vtičnice in priključki v barvnem kontrastu z okolico, namestiti jih je treba na višini med 80 in 120 cm, od robov pa morajo biti oddaljeni 35 cm.“</w:t>
      </w:r>
      <w:bookmarkEnd w:id="2"/>
    </w:p>
    <w:p w14:paraId="33BA3231" w14:textId="6E4F1E78" w:rsidR="005074AB" w:rsidRPr="00D47CC2" w:rsidRDefault="005074AB" w:rsidP="00CA5D2D">
      <w:pPr>
        <w:jc w:val="both"/>
        <w:rPr>
          <w:rFonts w:cstheme="minorHAnsi"/>
          <w:bCs/>
          <w:i/>
          <w:iCs/>
        </w:rPr>
      </w:pPr>
      <w:r>
        <w:t xml:space="preserve">Druga končna določba. </w:t>
      </w:r>
      <w:r>
        <w:rPr>
          <w:i/>
        </w:rPr>
        <w:t>Prenos zakonodaje Evropske unije</w:t>
      </w:r>
    </w:p>
    <w:p w14:paraId="09244551" w14:textId="77777777" w:rsidR="005074AB" w:rsidRPr="009064BC" w:rsidRDefault="005074AB" w:rsidP="00CA5D2D">
      <w:pPr>
        <w:jc w:val="both"/>
        <w:rPr>
          <w:rFonts w:cstheme="minorHAnsi"/>
        </w:rPr>
      </w:pPr>
      <w:r>
        <w:t>S to kraljevo uredbo je bil v špansko zakonodajo prenesen člen 8(2), (3) in (5) DIREKTIVE (EU) 2018/844 EVROPSKEGA PARLAMENTA IN SVETA z dne 30. maja 2018 o spremembi Direktive 2010/31/EU o energetski učinkovitosti stavb in Direktive 2012/27/EU o energetski učinkovitosti.</w:t>
      </w:r>
    </w:p>
    <w:p w14:paraId="106D513A" w14:textId="7AD1ED46" w:rsidR="005074AB" w:rsidRPr="00C760C9" w:rsidRDefault="005074AB" w:rsidP="005074AB">
      <w:pPr>
        <w:jc w:val="both"/>
        <w:rPr>
          <w:rFonts w:cstheme="minorHAnsi"/>
          <w:bCs/>
          <w:i/>
          <w:iCs/>
        </w:rPr>
      </w:pPr>
      <w:r>
        <w:t xml:space="preserve">Tretja končna določba. </w:t>
      </w:r>
      <w:r>
        <w:rPr>
          <w:i/>
        </w:rPr>
        <w:t>Začetek veljavnosti</w:t>
      </w:r>
    </w:p>
    <w:p w14:paraId="74B6AB2B" w14:textId="74C92419" w:rsidR="001035FC" w:rsidRDefault="005074AB" w:rsidP="000A2592">
      <w:pPr>
        <w:jc w:val="both"/>
        <w:rPr>
          <w:rFonts w:cstheme="minorHAnsi"/>
          <w:color w:val="FF0000"/>
        </w:rPr>
      </w:pPr>
      <w:r>
        <w:t>Ta kraljeva uredba začne veljati dan po objavi v Uradnem listu.</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dne                          </w:t>
      </w:r>
    </w:p>
    <w:p w14:paraId="28C0A3AF" w14:textId="7E6F82AF" w:rsidR="007F6E00" w:rsidRPr="00243027" w:rsidRDefault="00D47CC2" w:rsidP="00726501">
      <w:pPr>
        <w:jc w:val="center"/>
        <w:rPr>
          <w:rFonts w:cstheme="minorHAnsi"/>
          <w:sz w:val="24"/>
          <w:szCs w:val="24"/>
        </w:rPr>
      </w:pPr>
      <w:r>
        <w:rPr>
          <w:sz w:val="24"/>
        </w:rPr>
        <w:t>MINISTRICA ZA PROMET, MOBILNOST IN AGENDO ZA MESTA</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TRETJA NAMESTNICA PREDSEDNIKA VLADE IN MINISTRICA ZA EKOLOŠKI PREHOD IN DEMOGRAFSKE IZZIVE</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4CF2" w14:textId="77777777" w:rsidR="000C5009" w:rsidRDefault="000C5009" w:rsidP="003B5AE7">
      <w:pPr>
        <w:spacing w:after="0" w:line="240" w:lineRule="auto"/>
      </w:pPr>
      <w:r>
        <w:separator/>
      </w:r>
    </w:p>
  </w:endnote>
  <w:endnote w:type="continuationSeparator" w:id="0">
    <w:p w14:paraId="7BFF9DD5" w14:textId="77777777" w:rsidR="000C5009" w:rsidRDefault="000C5009"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Osnutek kraljeve uredbe o spremembi Tehničnega gradbenega zakonika, odobrenega s Kraljevo uredbo št. 314/2006 z dne 17. marca.</w:t>
    </w:r>
  </w:p>
  <w:p w14:paraId="53C3F409" w14:textId="5B87674E" w:rsidR="00251439" w:rsidRPr="00C864A9" w:rsidRDefault="00251439" w:rsidP="00D214B0">
    <w:pPr>
      <w:pStyle w:val="Footer"/>
      <w:rPr>
        <w:i/>
        <w:sz w:val="15"/>
        <w:szCs w:val="15"/>
      </w:rPr>
    </w:pPr>
    <w:r>
      <w:rPr>
        <w:i/>
        <w:sz w:val="15"/>
      </w:rPr>
      <w:t>Različica, izdana v okviru evropskega javnega obveščanja. Oktober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3DAA" w14:textId="77777777" w:rsidR="000C5009" w:rsidRDefault="000C5009" w:rsidP="003B5AE7">
      <w:pPr>
        <w:spacing w:after="0" w:line="240" w:lineRule="auto"/>
      </w:pPr>
      <w:r>
        <w:separator/>
      </w:r>
    </w:p>
  </w:footnote>
  <w:footnote w:type="continuationSeparator" w:id="0">
    <w:p w14:paraId="5EAF8BEA" w14:textId="77777777" w:rsidR="000C5009" w:rsidRDefault="000C5009"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MINISTRSTVO ZA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RAZVOJ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C5009"/>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176C"/>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6833</Words>
  <Characters>38951</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2021-11-03T08:26:00Z</dcterms:modified>
</cp:coreProperties>
</file>