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0" w:type="dxa"/>
        <w:jc w:val="center"/>
        <w:tblLayout w:type="fixed"/>
        <w:tblCellMar>
          <w:left w:w="70" w:type="dxa"/>
          <w:right w:w="70" w:type="dxa"/>
        </w:tblCellMar>
        <w:tblLook w:val="0000" w:firstRow="0" w:lastRow="0" w:firstColumn="0" w:lastColumn="0" w:noHBand="0" w:noVBand="0"/>
      </w:tblPr>
      <w:tblGrid>
        <w:gridCol w:w="10820"/>
      </w:tblGrid>
      <w:tr w:rsidR="00C93CCC" w14:paraId="38FF51DE" w14:textId="77777777" w:rsidTr="00546D77">
        <w:trPr>
          <w:trHeight w:hRule="exact" w:val="1884"/>
          <w:jc w:val="center"/>
        </w:trPr>
        <w:tc>
          <w:tcPr>
            <w:tcW w:w="10820" w:type="dxa"/>
            <w:vAlign w:val="center"/>
          </w:tcPr>
          <w:p w14:paraId="4EB9625C" w14:textId="77777777" w:rsidR="00C93CCC" w:rsidRDefault="00C93CCC">
            <w:pPr>
              <w:pStyle w:val="Header"/>
              <w:tabs>
                <w:tab w:val="clear" w:pos="4252"/>
                <w:tab w:val="clear" w:pos="8504"/>
              </w:tabs>
              <w:ind w:left="360" w:right="172"/>
              <w:jc w:val="center"/>
              <w:rPr>
                <w:rFonts w:ascii="Arial" w:hAnsi="Arial"/>
                <w:sz w:val="20"/>
              </w:rPr>
            </w:pPr>
            <w:r>
              <w:rPr>
                <w:rFonts w:ascii="Arial" w:hAnsi="Arial"/>
                <w:sz w:val="20"/>
              </w:rPr>
              <w:t>Vijeću ministara predlaže se odobrenje sljedećeg nacrta odredbe:</w:t>
            </w:r>
          </w:p>
        </w:tc>
      </w:tr>
    </w:tbl>
    <w:p w14:paraId="35F48173" w14:textId="77777777" w:rsidR="00C93CCC" w:rsidRDefault="00C93CCC">
      <w:pPr>
        <w:pStyle w:val="Header"/>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93CCC" w14:paraId="0FABBEB3" w14:textId="77777777" w:rsidTr="00546D77">
        <w:trPr>
          <w:trHeight w:hRule="exact" w:val="2220"/>
          <w:jc w:val="center"/>
        </w:trPr>
        <w:tc>
          <w:tcPr>
            <w:tcW w:w="10773" w:type="dxa"/>
            <w:tcBorders>
              <w:bottom w:val="single" w:sz="4" w:space="0" w:color="auto"/>
            </w:tcBorders>
          </w:tcPr>
          <w:p w14:paraId="0016DD6A" w14:textId="77777777" w:rsidR="00C93CCC" w:rsidRPr="00546D77" w:rsidRDefault="00C93CCC">
            <w:pPr>
              <w:pStyle w:val="Header"/>
              <w:tabs>
                <w:tab w:val="clear" w:pos="4252"/>
                <w:tab w:val="clear" w:pos="8504"/>
              </w:tabs>
              <w:ind w:left="461" w:right="172"/>
              <w:jc w:val="both"/>
              <w:rPr>
                <w:rFonts w:ascii="Arial" w:hAnsi="Arial"/>
              </w:rPr>
            </w:pPr>
          </w:p>
          <w:p w14:paraId="0838EDAC" w14:textId="77777777" w:rsidR="00C93CCC" w:rsidRPr="008577E8" w:rsidRDefault="00C93CCC">
            <w:pPr>
              <w:tabs>
                <w:tab w:val="left" w:pos="1080"/>
              </w:tabs>
              <w:spacing w:line="360" w:lineRule="atLeast"/>
              <w:ind w:left="461" w:right="170"/>
              <w:jc w:val="both"/>
              <w:rPr>
                <w:rFonts w:ascii="Arial" w:hAnsi="Arial"/>
              </w:rPr>
            </w:pPr>
          </w:p>
          <w:p w14:paraId="2F91487E" w14:textId="724261EC" w:rsidR="00FD453F" w:rsidRPr="00FD453F" w:rsidRDefault="00FD453F" w:rsidP="00FD453F">
            <w:pPr>
              <w:ind w:left="247" w:right="183"/>
              <w:jc w:val="both"/>
              <w:rPr>
                <w:rFonts w:cs="Calibri"/>
                <w:b/>
              </w:rPr>
            </w:pPr>
            <w:r>
              <w:rPr>
                <w:b/>
              </w:rPr>
              <w:t>Nacrt Kraljevske uredbe o izmjeni Tehničkog propisa o gradnji odobrenog Kraljevskom uredbom 314/2006 od 17. ožujka.</w:t>
            </w:r>
          </w:p>
          <w:p w14:paraId="0B02A1E0" w14:textId="77777777" w:rsidR="00C93CCC" w:rsidRDefault="00C93CCC">
            <w:pPr>
              <w:tabs>
                <w:tab w:val="left" w:pos="1080"/>
              </w:tabs>
              <w:spacing w:line="360" w:lineRule="atLeast"/>
              <w:ind w:left="461" w:right="170"/>
              <w:jc w:val="both"/>
              <w:rPr>
                <w:rFonts w:ascii="Arial" w:hAnsi="Arial"/>
              </w:rPr>
            </w:pPr>
          </w:p>
          <w:p w14:paraId="7F08CCF5" w14:textId="77777777" w:rsidR="00C93CCC" w:rsidRDefault="00C93CCC">
            <w:pPr>
              <w:tabs>
                <w:tab w:val="left" w:pos="1080"/>
              </w:tabs>
              <w:spacing w:line="360" w:lineRule="atLeast"/>
              <w:ind w:left="357" w:right="170"/>
              <w:jc w:val="both"/>
              <w:rPr>
                <w:rFonts w:ascii="Arial" w:hAnsi="Arial"/>
                <w:b/>
                <w:sz w:val="28"/>
                <w:lang w:val="es-ES_tradnl"/>
              </w:rPr>
            </w:pPr>
          </w:p>
        </w:tc>
      </w:tr>
    </w:tbl>
    <w:p w14:paraId="4ABF8576" w14:textId="77777777" w:rsidR="00C93CCC" w:rsidRDefault="00C93CCC">
      <w:pPr>
        <w:ind w:left="360" w:right="172"/>
        <w:jc w:val="both"/>
      </w:pPr>
    </w:p>
    <w:p w14:paraId="306FCEB1" w14:textId="77777777" w:rsidR="00C93CCC" w:rsidRDefault="00C93CCC">
      <w:pPr>
        <w:spacing w:line="360" w:lineRule="atLeast"/>
        <w:ind w:left="357" w:right="170"/>
        <w:jc w:val="both"/>
      </w:pPr>
    </w:p>
    <w:p w14:paraId="4C59397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p w14:paraId="59E0450F" w14:textId="63AAAB00" w:rsidR="000760AB" w:rsidRPr="00CE0018" w:rsidRDefault="000760AB" w:rsidP="000760AB">
      <w:pPr>
        <w:spacing w:after="160" w:line="259" w:lineRule="auto"/>
        <w:jc w:val="both"/>
        <w:rPr>
          <w:rFonts w:ascii="Calibri" w:eastAsia="Calibri" w:hAnsi="Calibri" w:cs="Calibri"/>
          <w:sz w:val="22"/>
          <w:szCs w:val="22"/>
        </w:rPr>
      </w:pPr>
      <w:r>
        <w:rPr>
          <w:rFonts w:ascii="Calibri" w:hAnsi="Calibri"/>
          <w:sz w:val="22"/>
        </w:rPr>
        <w:t>Zakon 38/1999 od 5. studenoga o građevinskim propisima definira Tehnički propis o gradnji (CTE) kao regulatorni okvir kojim se utvrđuju osnovni zahtjevi kvalitete za zgrade i njihove instalacije te kojim se omogućuje ispunjavanje osnovnih zahtjeva utvrđenih u članku 3. Tehnički propis o gradnji (CTE) predviđen tim zakonom odobren je Kraljevskom uredbom 314/2006 od 17. ožujka. Temeljnim dokumentima koji čine dio II. CTE-a utvrđuju se i, prema potrebi, kvantificiraju osnovni zahtjevi utvrđeni u dijelu I. postavljanjem ciljnih razina ili ograničenja izvedbe ili drugih parametara. Osobito, u osnovnom dokumentu DB-HE „Ušteda energije” navode se i kvantificiraju zahtjevi za energetsku učinkovitost koje novoizgrađene zgrade moraju ispuniti, kao i intervencije u pogledu postojećih zgrada.</w:t>
      </w:r>
    </w:p>
    <w:p w14:paraId="0BC6392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Direktiva (EU) 2018/844 Europskog parlamenta i Vijeća o izmjeni Direktive 2010/31/EU o energetskim svojstvima zgrada i Direktive 2012/27/EU o energetskoj učinkovitosti donesena je 30. svibnja 2018.</w:t>
      </w:r>
    </w:p>
    <w:p w14:paraId="4E8A50F3"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Ovom se Direktivom potiče uvođenje posebnih zahtjeva za provedbu infrastrukture za punjenje električnih vozila na parkiralištima u zgradama. Stoga su i građevinski sektor i sektor mobilnosti strateška područja za sveobuhvatnu </w:t>
      </w:r>
      <w:proofErr w:type="spellStart"/>
      <w:r>
        <w:rPr>
          <w:rFonts w:ascii="Calibri" w:hAnsi="Calibri"/>
          <w:sz w:val="22"/>
        </w:rPr>
        <w:t>dekarbonizaciju</w:t>
      </w:r>
      <w:proofErr w:type="spellEnd"/>
      <w:r>
        <w:rPr>
          <w:rFonts w:ascii="Calibri" w:hAnsi="Calibri"/>
          <w:sz w:val="22"/>
        </w:rPr>
        <w:t xml:space="preserve"> gospodarstva, s regulatornim okvirom čiji je cilj poticanje inovacija, održivosti i energetske učinkovitosti u tim sektorima.</w:t>
      </w:r>
    </w:p>
    <w:p w14:paraId="2B504954"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S druge strane, razvoj infrastrukture za inteligentno punjenje električnih vozila pridonijet će sustavu gospodarenja energijom i fleksibilnosti, upotrebi obnovljivih izvora energije i poboljšanju kvalitete zraka, a energetska učinkovitost optimizirat će se digitalizacijom zgrada i uključivanjem novih tehnologija u područje.</w:t>
      </w:r>
    </w:p>
    <w:p w14:paraId="4219E732"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Integriranim nacionalnim energetskim i klimatskim planom za razdoblje 2021.–2030. (PNIEC) koji je Španjolska podnijela Europskoj komisiji predviđa se promicanje električne mobilnosti kao mjere za smanjenje potrošnje energije i emisija vozila kroz regulatornu prilagodbu i uključivanjem zakonodavstva Europske unije kojim se omogućuje uvođenje infrastrukture za punjenje električnih vozila u skladu s razvojem elektrifikacije voznog parka, kao i drugim mehanizmima poticanja i potpore. </w:t>
      </w:r>
    </w:p>
    <w:p w14:paraId="76C72E2C"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Kako bi se postigli ti ciljevi i u tom pogledu djelomično prenijela Direktiva, ovom Kraljevskom uredbom u Tehnički propis o gradnji uvodi se novi zahtjev za osnovnu uštedu energije koji se odnosi na minimalne dodjele za infrastrukturu </w:t>
      </w:r>
      <w:r>
        <w:rPr>
          <w:rFonts w:ascii="Calibri" w:hAnsi="Calibri"/>
          <w:sz w:val="22"/>
        </w:rPr>
        <w:lastRenderedPageBreak/>
        <w:t xml:space="preserve">za punjenje električnih vozila, koji se razrađuje u novom odjeljku HE 6 „Minimalni infrastrukturni objekti za punjenje električnih vozila” osnovnog dokumenta DB-HE „Uštede energije”. </w:t>
      </w:r>
    </w:p>
    <w:p w14:paraId="524332F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S druge strane, trebalo bi napomenuti da se u članku 15. stavku 10. Zakona 7/2021 od 20. svibnja o klimatskim promjenama i energetskoj tranziciji upućuje na CTE za taj propis kako bi se utvrdile minimalne odredbe za infrastrukturu za punjenje električnih vozila u postojećim zgradama koje nisu privatne stambene namjene, a koje imaju parkiralište s više od dvadeset mjesta, unutarnje ili na dodijeljenom vanjskom prostoru, odredbe koje bi trebale biti na snazi prije 1. siječnja 2023. Međutim, te minimalne dodjele konačno su utvrđene Kraljevskom uredbom sa zakonskom snagom 29/2021 od 21. prosinca, kojom se donose hitne mjere u području energetike radi promicanja električne mobilnosti, vlastite potrošnje i uvođenja obnovljive energije, što uključuje taj zahtjev u članku 4. </w:t>
      </w:r>
    </w:p>
    <w:p w14:paraId="7707E80D"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Kako bi se dovršila regulacija infrastrukture za punjenje električnih vozila, mijenja se i Kraljevska uredba 1053/2014 od 12. prosinca, kojom se odobrava Dopunska tehnička uputa (ITC) BT 52 „Postrojenja posebne namjene. Infrastruktura za punjenje električnih vozila” Elektrotehničkog propisa za niski napon, odobrenog Kraljevskom uredbom 842/2002 od 2. kolovoza, te se mijenjaju druge dopunske tehničke upute.</w:t>
      </w:r>
    </w:p>
    <w:p w14:paraId="055E3A4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Nadalje, kao mjeru za promicanje obnovljivih izvora energije, poboljšanje konkurentnosti proizvodnih sektora i poticanje potrošača da se više uključe u upravljanje svojom energijom, PNIEC predviđa razvoj vlastite potrošnje energije iz obnovljivih izvora i distribuirane proizvodnje u stambenim i poslovnim područjima. </w:t>
      </w:r>
    </w:p>
    <w:p w14:paraId="0AED8916"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U tom pogledu, odobrenje Kraljevske uredbe 244/2019 od 5. travnja, kojom se uređuju administrativni, tehnički i gospodarski uvjeti za vlastitu potrošnju električne energije, omogućilo je, među ostalim, zajedničku potrošnju vlastite energije i istodobno smanjilo upravne postupke za provedbu vlastite potrošnje. Stoga se smatra da postojeći pravni okvir omogućuje proširenje područja primjene osnovnog zahtjeva HE 5 koji se odnosi na minimalnu proizvodnju električne energije iz obnovljivih izvora energije tako što ga čini primjenjivim u zgradama za privatnu stambenu uporabu i snižavanjem praga od kojeg se zahtjev primjenjuje za izgrađene površine u zgradama svih namjena. </w:t>
      </w:r>
    </w:p>
    <w:p w14:paraId="55B0D0A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Osim toga, smatra se potrebnim izmijeniti neke odjeljke osnovnih dokumenata DB-HE „Ušteda energije”</w:t>
      </w:r>
      <w:bookmarkStart w:id="0" w:name="_Hlk92819359"/>
      <w:bookmarkEnd w:id="0"/>
      <w:r>
        <w:rPr>
          <w:rFonts w:ascii="Calibri" w:hAnsi="Calibri"/>
          <w:sz w:val="22"/>
        </w:rPr>
        <w:t xml:space="preserve"> i DB-HS „Zdravlje” kako bi se olakšala njihova primjena i brza izmjena osnovnog dokumenta DB-SUA „Sigurnost uporabe i pristupačnosti” kako bi se uključili kriteriji dostupnosti stanica za punjenje na pristupačnim parkirnim mjestima.  </w:t>
      </w:r>
    </w:p>
    <w:p w14:paraId="7B428C2F" w14:textId="1C0D714C"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Izmjena CTE-a koja se odnosi na uključivanje novog odjeljka HE 6 „Minimalne odredbe za infrastrukturu za punjenje električnih vozila” osnovnog dokumenta DB-HE o uštedi energije, kao i izmjena Kraljevske uredbe 1053/2014 od 12. prosinca kojom se odobrava nova Dopunska tehnička uputa (ITC) BT 52 uključena u prvu konačnu odredbu dio su regulatornih reformi predviđenih u Planu za oporavak, transformaciju i otpornost (PRTR). Konkretno, prva sastavnica PRTR-a o „Planu za održivu, sigurnu i povezanu mobilnost u gradskim i metropolskim okruženjima” odnosi se na odobrenje ove Kraljevske uredbe o provedbi prethodno navedenih regulatornih reformi u okviru reforme C1.R1 pod nazivom „Plan za uvođenje infrastrukture za punjenje i promicanje električnih vozila”.  Reforma C1.R1 osmišljena je kao zakonski, regulatorni i strateški okvir za olakšavanje uvođenja infrastrukture za punjenje radi promicanja električnih vozila u Španjolskoj te ima dvije ključne točke. Prva ključna točka uspostavljena je Odlukom TMA/178/2020 od 19. veljače o izmjeni Odluke od 16. prosinca 1997. kojom se uređuju pristupi državnim cestama, servisnim cestama i izgradnji uslužnih objekata te Kraljevskom uredbom sa zakonskom snagom 23/2020 od 23. lipnja kojom se odobravaju mjere u području energetike i drugih područja za ponovnu gospodarsku aktivaciju. Druga ključna točka reforme C1.R1. uključuje odobrenje ove Kraljevske uredbe o izmjeni tehničkog propisa o gradnji i Kraljevske uredbe 1053/2014 od 12. prosinca kojim se odobrava nova Dopunska tehnička uputa (ITC) BT 52.  Ključna etapa obveze za tu reformu jest stupanje na snagu Kraljevske uredbe kojom se ona uređuje prije 30. lipnja 2022. Reforma C1.R1. povezana je s ulaganjem C1.I2 „Plan poticaja za postavljanje mjesta za punjenje, nabavu električnih vozila i vozila na gorive ćelije i inovacije u području </w:t>
      </w:r>
      <w:proofErr w:type="spellStart"/>
      <w:r>
        <w:rPr>
          <w:rFonts w:ascii="Calibri" w:hAnsi="Calibri"/>
          <w:sz w:val="22"/>
        </w:rPr>
        <w:t>elektromobilnosti</w:t>
      </w:r>
      <w:proofErr w:type="spellEnd"/>
      <w:r>
        <w:rPr>
          <w:rFonts w:ascii="Calibri" w:hAnsi="Calibri"/>
          <w:sz w:val="22"/>
        </w:rPr>
        <w:t xml:space="preserve">, punjenja i zelenog vodika”. To ulaganje uključuje linije potpore za postavljanje stanica za punjenje navedenih u Kraljevskoj uredbi 266/2021 od 13. travnja kojom se odobrava izravna </w:t>
      </w:r>
      <w:r>
        <w:rPr>
          <w:rFonts w:ascii="Calibri" w:hAnsi="Calibri"/>
          <w:sz w:val="22"/>
        </w:rPr>
        <w:lastRenderedPageBreak/>
        <w:t xml:space="preserve">dodjela potpore autonomnim zajednicama i gradovima </w:t>
      </w:r>
      <w:proofErr w:type="spellStart"/>
      <w:r>
        <w:rPr>
          <w:rFonts w:ascii="Calibri" w:hAnsi="Calibri"/>
          <w:sz w:val="22"/>
        </w:rPr>
        <w:t>Ceuti</w:t>
      </w:r>
      <w:proofErr w:type="spellEnd"/>
      <w:r>
        <w:rPr>
          <w:rFonts w:ascii="Calibri" w:hAnsi="Calibri"/>
          <w:sz w:val="22"/>
        </w:rPr>
        <w:t xml:space="preserve"> i </w:t>
      </w:r>
      <w:proofErr w:type="spellStart"/>
      <w:r>
        <w:rPr>
          <w:rFonts w:ascii="Calibri" w:hAnsi="Calibri"/>
          <w:sz w:val="22"/>
        </w:rPr>
        <w:t>Melilli</w:t>
      </w:r>
      <w:proofErr w:type="spellEnd"/>
      <w:r>
        <w:rPr>
          <w:rFonts w:ascii="Calibri" w:hAnsi="Calibri"/>
          <w:sz w:val="22"/>
        </w:rPr>
        <w:t xml:space="preserve"> za provedbu programa poticaja povezanih s električnom mobilnošću (MOVES III) u okviru PRTR-a. </w:t>
      </w:r>
    </w:p>
    <w:p w14:paraId="4308D34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Ovom Kraljevskom uredbom poštuju se (načelo </w:t>
      </w:r>
      <w:proofErr w:type="spellStart"/>
      <w:r>
        <w:rPr>
          <w:rFonts w:ascii="Calibri" w:hAnsi="Calibri"/>
          <w:sz w:val="22"/>
        </w:rPr>
        <w:t>nenanošenja</w:t>
      </w:r>
      <w:proofErr w:type="spellEnd"/>
      <w:r>
        <w:rPr>
          <w:rFonts w:ascii="Calibri" w:hAnsi="Calibri"/>
          <w:sz w:val="22"/>
        </w:rPr>
        <w:t xml:space="preserve"> bitne štete (DNSH)) i uvjeti za klimatsko i digitalno označivanje, u skladu s odredbama PRTR-a, Uredbom EU/2021/241 Europskog parlamenta i Vijeća od 12. veljače 2021. o uspostavi Mehanizma za oporavak i otpornost i njezinim provedbenim zakonodavstvom, posebno komunikacijom Komisije o Tehničkim smjernicama za primjenu načela </w:t>
      </w:r>
      <w:proofErr w:type="spellStart"/>
      <w:r>
        <w:rPr>
          <w:rFonts w:ascii="Calibri" w:hAnsi="Calibri"/>
          <w:sz w:val="22"/>
        </w:rPr>
        <w:t>nenanošenja</w:t>
      </w:r>
      <w:proofErr w:type="spellEnd"/>
      <w:r>
        <w:rPr>
          <w:rFonts w:ascii="Calibri" w:hAnsi="Calibri"/>
          <w:sz w:val="22"/>
        </w:rPr>
        <w:t xml:space="preserve"> bitne štete u okviru Uredbe o uspostavi Mehanizma za oporavak i otpornost, kao i zahtjevima Provedbene odluke Vijeća o odobrenju evaluacije Španjolskog plana za oporavak, transformaciju i otpornost. To uključuje usklađenost s posebnim uvjetima utvrđenima u dijelu 1., kao i u reformi 1. koja donosi okvir za ovu Kraljevsku uredbu, kako u pogledu načela </w:t>
      </w:r>
      <w:proofErr w:type="spellStart"/>
      <w:r>
        <w:rPr>
          <w:rFonts w:ascii="Calibri" w:hAnsi="Calibri"/>
          <w:sz w:val="22"/>
        </w:rPr>
        <w:t>nenanošenja</w:t>
      </w:r>
      <w:proofErr w:type="spellEnd"/>
      <w:r>
        <w:rPr>
          <w:rFonts w:ascii="Calibri" w:hAnsi="Calibri"/>
          <w:sz w:val="22"/>
        </w:rPr>
        <w:t xml:space="preserve"> bitne štete, tako i u pogledu klimatskog i digitalnog označivanja, a posebno onih navedenih u odjeljcima 3., 6. i 8. sastavnog dokumenta PRTR-a. Ulaganja u PRTR C1.I2, povezana s reformom C1.R1, također poštuju načelo </w:t>
      </w:r>
      <w:proofErr w:type="spellStart"/>
      <w:r>
        <w:rPr>
          <w:rFonts w:ascii="Calibri" w:hAnsi="Calibri"/>
          <w:sz w:val="22"/>
        </w:rPr>
        <w:t>nenanošenja</w:t>
      </w:r>
      <w:proofErr w:type="spellEnd"/>
      <w:r>
        <w:rPr>
          <w:rFonts w:ascii="Calibri" w:hAnsi="Calibri"/>
          <w:sz w:val="22"/>
        </w:rPr>
        <w:t xml:space="preserve"> bitne štete za okoliš i uvjete za klimatsko i digitalno označavanje.  </w:t>
      </w:r>
    </w:p>
    <w:p w14:paraId="449DE2FF"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Ova Kraljevska uredba u skladu je s načelima nužnosti, djelotvornosti, proporcionalnosti, pravne sigurnosti, transparentnosti i učinkovitosti utvrđenima u članku 129. Zakona 39/2015 od 1. listopada o zajedničkom upravnom postupku javnih uprava. Kad je riječ o načelima nužnosti i djelotvornosti, zakonom se odgovara na obvezu prenošenja europskih direktiva u nacionalno pravo te je u skladu s ciljevima od općeg interesa, kao što su prilagodba infrastrukture za izgradnju radi promicanja održive mobilnosti i uporabe energije iz obnovljivih izvora. To će dovesti do dobrobiti društva i zaštite okoliša. Ova je Kraljevska uredba također u skladu s načelom proporcionalnosti jer pruža potrebna i dostatna sredstva za provedbu pravnog mandata predviđenog Direktivom, ali ne zahtijeva inovaciju koja može biti nepotrebna ili premašivati pravne zahtjeve, niti dovodi do ograničavanja prava građana. Ta je uredba u skladu s načelom pravne sigurnosti jer je razvijena u skladu s postupcima definiranima Zakonom Vlade 50/1997 od 27. studenoga 1997. i načelom transparentnosti jer jasno utvrđuje svoju svrhu i u svojem javno dostupnom obrazloženju u cijelosti objašnjava njezin sadržaj. Naposljetku, uredbom se također poštuje načelo učinkovitosti jer se ne nameće nikakvo administrativno opterećenje.</w:t>
      </w:r>
    </w:p>
    <w:p w14:paraId="781A1DCF"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Na ovu opću odredbu primjenjuju se postupci prethodnog javnog savjetovanja i javnog saslušanja i informiranja utvrđeni u članku 26. Zakona 50/1997 Vlade od 27. studenoga, kao i postupak informiranja u području tehničkih propisa i pravila o uslugama informacijskog društva, kako je predviđeno Direktivom (EU) 2015/1535 Europskog parlamenta i Vijeća od 9. rujna 2015. te Kraljevskom uredbom 1337/1999 od 31. srpnja 1999.</w:t>
      </w:r>
    </w:p>
    <w:p w14:paraId="1CF691DA" w14:textId="0555DF60"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Temeljem navedenog, na prijedlog ministrice prometa, mobilnosti i programa za gradove i ministrice ekološke tranzicije i demografskog izazova, u dogovoru s Državnim vijećem i nakon razmatranja Vijeća ministara na sastanku od</w:t>
      </w:r>
    </w:p>
    <w:p w14:paraId="3A461137" w14:textId="77777777" w:rsidR="000760AB" w:rsidRPr="000760AB" w:rsidRDefault="000760AB" w:rsidP="000760AB">
      <w:pPr>
        <w:spacing w:after="160" w:line="259" w:lineRule="auto"/>
        <w:jc w:val="both"/>
        <w:rPr>
          <w:rFonts w:ascii="Calibri" w:eastAsia="Calibri" w:hAnsi="Calibri" w:cs="Calibri"/>
          <w:sz w:val="22"/>
          <w:szCs w:val="22"/>
          <w:lang w:eastAsia="en-US"/>
        </w:rPr>
      </w:pPr>
    </w:p>
    <w:p w14:paraId="2D0F4D96" w14:textId="77777777" w:rsidR="000760AB" w:rsidRPr="000760AB" w:rsidRDefault="000760AB" w:rsidP="000760AB">
      <w:pPr>
        <w:spacing w:after="160" w:line="259" w:lineRule="auto"/>
        <w:jc w:val="center"/>
        <w:rPr>
          <w:rFonts w:ascii="Calibri" w:eastAsia="Calibri" w:hAnsi="Calibri" w:cs="Calibri"/>
          <w:sz w:val="22"/>
          <w:szCs w:val="22"/>
        </w:rPr>
      </w:pPr>
      <w:r>
        <w:rPr>
          <w:rFonts w:ascii="Calibri" w:hAnsi="Calibri"/>
          <w:sz w:val="22"/>
        </w:rPr>
        <w:t>UTVRĐUJE SE SLJEDEĆE:</w:t>
      </w:r>
    </w:p>
    <w:p w14:paraId="3F204ED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Jedini članak. </w:t>
      </w:r>
      <w:r>
        <w:rPr>
          <w:rFonts w:ascii="Calibri" w:hAnsi="Calibri"/>
          <w:i/>
          <w:sz w:val="22"/>
        </w:rPr>
        <w:t>Izmjena Tehničkog propisa o gradnji (CTE) odobrena Kraljevskom uredbom 314/2006 od 17. ožujka 2006.</w:t>
      </w:r>
    </w:p>
    <w:p w14:paraId="557D04F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Tehnički propis o gradnji (CTE), odobren Kraljevskom uredbom 314/2006 od 17. ožujka, mijenja se kako slijedi:</w:t>
      </w:r>
    </w:p>
    <w:p w14:paraId="38344B6D"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Jedan. Indeks u dijelu I. mijenja se kako slijedi:</w:t>
      </w:r>
    </w:p>
    <w:p w14:paraId="493E6A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Tekst „15.6. Osnovni zahtjev HE5: Minimalna proizvodnja električne energije” glasi kako slijedi:</w:t>
      </w:r>
    </w:p>
    <w:p w14:paraId="7A81777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Osnovni zahtjev HE 5: Minimalna proizvodnja električne energije iz obnovljivih izvora”</w:t>
      </w:r>
    </w:p>
    <w:p w14:paraId="53D132D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U upućivanje na članak 15. umeće se dodatna točka sa sljedećim tekstom:</w:t>
      </w:r>
    </w:p>
    <w:p w14:paraId="1B97A8C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„15.7. Osnovni zahtjev HE 6: Minimalni infrastrukturni objekti za punjenje električnih vozila.</w:t>
      </w:r>
    </w:p>
    <w:p w14:paraId="24330295"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Dva. Članak 15. dijela I. mijenja se kako slijedi:</w:t>
      </w:r>
    </w:p>
    <w:p w14:paraId="53F6E69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Točka 15.6. mijenja se i glasi:</w:t>
      </w:r>
    </w:p>
    <w:p w14:paraId="41FA291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Osnovni zahtjev HE 5: Minimalna proizvodnja električne energije iz obnovljivih izvora.</w:t>
      </w:r>
    </w:p>
    <w:p w14:paraId="35075490"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Zgrade imaju sustave za proizvodnju električne energije iz obnovljivih izvora za vlastitu uporabu ili za opskrbu mreže.”</w:t>
      </w:r>
    </w:p>
    <w:p w14:paraId="7543DFC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Dodaje se novi odjeljak 15.7. sa sljedećim sadržajem:</w:t>
      </w:r>
    </w:p>
    <w:p w14:paraId="47ED53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Osnovni zahtjev HE 6: Minimalni infrastrukturni objekti za punjenje električnih vozila.</w:t>
      </w:r>
    </w:p>
    <w:p w14:paraId="76AA215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Zgrade imaju minimalnu infrastrukturu koja omogućuje punjenje električnih vozila.”</w:t>
      </w:r>
    </w:p>
    <w:p w14:paraId="77CE8C8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Tri. U osnovni dokument DB-HE „Ušteda energije”, uključen u dio II., unose se sljedeće izmjene:</w:t>
      </w:r>
    </w:p>
    <w:p w14:paraId="49F2FE06"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U odjeljku „Uvod” u prvom podstavku stavka „I. Predmet” u rečenici „Odjeljci ovog DB-a odgovaraju osnovnim zahtjevima HE 0 do HE 5”, umjesto „HE 5” umeće se „HE 6”.</w:t>
      </w:r>
    </w:p>
    <w:p w14:paraId="0A080F50"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U odjeljku „Uvod” u stavku I. „Predmet” upućivanje na članak 15.6. dijela I. CTE-a mijenja se i glasi:</w:t>
      </w:r>
    </w:p>
    <w:p w14:paraId="72402F7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Osnovni zahtjev HE 5: Minimalna proizvodnja električne energije iz obnovljivih izvora.</w:t>
      </w:r>
    </w:p>
    <w:p w14:paraId="2369423E" w14:textId="77777777" w:rsidR="000760AB" w:rsidRPr="000760AB" w:rsidRDefault="000760AB" w:rsidP="000760AB">
      <w:pPr>
        <w:spacing w:after="162" w:line="259" w:lineRule="auto"/>
        <w:ind w:left="284"/>
        <w:jc w:val="both"/>
        <w:rPr>
          <w:rFonts w:ascii="Calibri" w:eastAsia="Calibri" w:hAnsi="Calibri" w:cs="Calibri"/>
          <w:sz w:val="22"/>
          <w:szCs w:val="22"/>
        </w:rPr>
      </w:pPr>
      <w:r>
        <w:rPr>
          <w:rFonts w:ascii="Calibri" w:hAnsi="Calibri"/>
          <w:sz w:val="22"/>
        </w:rPr>
        <w:t>Zgrade imaju sustave za proizvodnju električne energije iz obnovljivih izvora za vlastitu uporabu ili za opskrbu mreže.”</w:t>
      </w:r>
    </w:p>
    <w:p w14:paraId="181F1AEB"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U odjeljku „Uvod” u stavku I. „Predmet”, u upućivanju na članak 15. dijela I. CTE-a na kraju se dodaje još jedna točka sa sljedećim tekstom:</w:t>
      </w:r>
    </w:p>
    <w:p w14:paraId="7C586D67"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Osnovni zahtjev HE 6: Minimalni infrastrukturni objekti za punjenje električnih vozila.</w:t>
      </w:r>
    </w:p>
    <w:p w14:paraId="676A05E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Zgrade imaju minimalnu infrastrukturu koja omogućuje punjenje </w:t>
      </w:r>
      <w:r>
        <w:rPr>
          <w:rFonts w:ascii="Calibri" w:hAnsi="Calibri"/>
          <w:i/>
          <w:sz w:val="22"/>
        </w:rPr>
        <w:t>električnih vozila</w:t>
      </w:r>
      <w:r>
        <w:rPr>
          <w:rFonts w:ascii="Calibri" w:hAnsi="Calibri"/>
          <w:sz w:val="22"/>
        </w:rPr>
        <w:t>.”</w:t>
      </w:r>
    </w:p>
    <w:p w14:paraId="69721229"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U sadržaju mijenja se naslov odjeljka HE 5, koji sada glasi kako slijedi:</w:t>
      </w:r>
    </w:p>
    <w:p w14:paraId="582FB085" w14:textId="6A9EA674" w:rsid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„Odjeljak HE 5 Minimalna proizvodnja električne energije iz obnovljivih izvora.”</w:t>
      </w:r>
    </w:p>
    <w:p w14:paraId="6364AA7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3893C14C"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U sadržaju, u upućivanje na članak 15. umeće se dodatna točka sa sljedećim tekstom:</w:t>
      </w:r>
    </w:p>
    <w:p w14:paraId="176B586E" w14:textId="77777777" w:rsidR="000760AB" w:rsidRPr="000760AB" w:rsidRDefault="000760AB" w:rsidP="000760AB">
      <w:pPr>
        <w:tabs>
          <w:tab w:val="left" w:pos="7938"/>
        </w:tabs>
        <w:spacing w:after="160" w:line="259" w:lineRule="auto"/>
        <w:ind w:left="284"/>
        <w:contextualSpacing/>
        <w:jc w:val="both"/>
        <w:rPr>
          <w:rFonts w:ascii="Calibri" w:eastAsia="Calibri" w:hAnsi="Calibri" w:cs="Calibri"/>
          <w:sz w:val="22"/>
          <w:szCs w:val="22"/>
        </w:rPr>
      </w:pPr>
      <w:r>
        <w:rPr>
          <w:rFonts w:ascii="Calibri" w:hAnsi="Calibri"/>
          <w:sz w:val="22"/>
        </w:rPr>
        <w:t>„Odjeljak HE 6 Minimalna infrastruktura za punjenje električnih vozila</w:t>
      </w:r>
    </w:p>
    <w:p w14:paraId="0C2C22F2"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Područje primjene</w:t>
      </w:r>
    </w:p>
    <w:p w14:paraId="14454D1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Opis zahtjeva</w:t>
      </w:r>
    </w:p>
    <w:p w14:paraId="41AC625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Kvantifikacija zahtjeva</w:t>
      </w:r>
    </w:p>
    <w:p w14:paraId="0D46B4A0"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Obrazloženje zahtjeva</w:t>
      </w:r>
    </w:p>
    <w:p w14:paraId="6C8C16FE"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Izgradnja, održavanje i popravci</w:t>
      </w:r>
    </w:p>
    <w:p w14:paraId="555B094E"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5.1.</w:t>
      </w:r>
      <w:r>
        <w:rPr>
          <w:rFonts w:ascii="Calibri" w:hAnsi="Calibri"/>
          <w:sz w:val="22"/>
        </w:rPr>
        <w:tab/>
        <w:t>Izvršenje</w:t>
      </w:r>
    </w:p>
    <w:p w14:paraId="2080D911"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5.2.</w:t>
      </w:r>
      <w:r>
        <w:rPr>
          <w:rFonts w:ascii="Calibri" w:hAnsi="Calibri"/>
          <w:sz w:val="22"/>
        </w:rPr>
        <w:tab/>
        <w:t>Praćenje izvršenja radova</w:t>
      </w:r>
    </w:p>
    <w:p w14:paraId="0A1431F4"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5.3.</w:t>
      </w:r>
      <w:r>
        <w:rPr>
          <w:rFonts w:ascii="Calibri" w:hAnsi="Calibri"/>
          <w:sz w:val="22"/>
        </w:rPr>
        <w:tab/>
        <w:t>Provjera završenih radova</w:t>
      </w:r>
    </w:p>
    <w:p w14:paraId="43CD09C6"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5.4.</w:t>
      </w:r>
      <w:r>
        <w:rPr>
          <w:rFonts w:ascii="Calibri" w:hAnsi="Calibri"/>
          <w:sz w:val="22"/>
        </w:rPr>
        <w:tab/>
        <w:t>Održavanje i popravci zgrade”</w:t>
      </w:r>
    </w:p>
    <w:p w14:paraId="2BFCCA3F"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U odjeljku HE 0, stavku 1. Područje primjene, podstavak 1., tekst: „...ako ukupna proširena korisna površina prelazi 50 m</w:t>
      </w:r>
      <w:r>
        <w:rPr>
          <w:rFonts w:ascii="Calibri" w:hAnsi="Calibri"/>
          <w:sz w:val="22"/>
          <w:vertAlign w:val="superscript"/>
        </w:rPr>
        <w:t>2</w:t>
      </w:r>
      <w:r>
        <w:rPr>
          <w:rFonts w:ascii="Calibri" w:hAnsi="Calibri"/>
          <w:sz w:val="22"/>
        </w:rPr>
        <w:t>;”, zamjenjuje se tekstom „...ako proširena korisna površina prelazi 50 m</w:t>
      </w:r>
      <w:r>
        <w:rPr>
          <w:rFonts w:ascii="Calibri" w:hAnsi="Calibri"/>
          <w:sz w:val="22"/>
          <w:vertAlign w:val="superscript"/>
        </w:rPr>
        <w:t>2</w:t>
      </w:r>
      <w:r>
        <w:rPr>
          <w:rFonts w:ascii="Calibri" w:hAnsi="Calibri"/>
          <w:sz w:val="22"/>
        </w:rPr>
        <w:t>;”.</w:t>
      </w:r>
    </w:p>
    <w:p w14:paraId="1BE79A25"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lastRenderedPageBreak/>
        <w:t>U odjeljku HE 0, stavku 3. Kvantifikacija zahtjeva, podstavku 3.1. Potrošnja primarne energije iz neobnovljivih izvora</w:t>
      </w:r>
      <w:bookmarkStart w:id="1" w:name="_Hlk96944651"/>
      <w:r>
        <w:rPr>
          <w:rFonts w:ascii="Calibri" w:hAnsi="Calibri"/>
          <w:sz w:val="22"/>
        </w:rPr>
        <w:t>,</w:t>
      </w:r>
      <w:bookmarkEnd w:id="1"/>
      <w:r>
        <w:rPr>
          <w:rFonts w:ascii="Calibri" w:hAnsi="Calibri"/>
          <w:sz w:val="22"/>
        </w:rPr>
        <w:t xml:space="preserve"> točki 1., </w:t>
      </w:r>
      <w:bookmarkStart w:id="2" w:name="_Hlk96943118"/>
      <w:r>
        <w:rPr>
          <w:rFonts w:ascii="Calibri" w:hAnsi="Calibri"/>
          <w:sz w:val="22"/>
        </w:rPr>
        <w:t>pojam „</w:t>
      </w:r>
      <w:proofErr w:type="spellStart"/>
      <w:r>
        <w:rPr>
          <w:rFonts w:ascii="Calibri" w:hAnsi="Calibri"/>
          <w:sz w:val="22"/>
        </w:rPr>
        <w:t>Cep,nren</w:t>
      </w:r>
      <w:proofErr w:type="spellEnd"/>
      <w:r>
        <w:rPr>
          <w:rFonts w:ascii="Calibri" w:hAnsi="Calibri"/>
          <w:sz w:val="22"/>
        </w:rPr>
        <w:t>” zamjenjuje se s „</w:t>
      </w:r>
      <w:proofErr w:type="spellStart"/>
      <w:r>
        <w:rPr>
          <w:rFonts w:ascii="Calibri" w:hAnsi="Calibri"/>
          <w:sz w:val="22"/>
        </w:rPr>
        <w:t>C</w:t>
      </w:r>
      <w:r>
        <w:rPr>
          <w:rFonts w:ascii="Calibri" w:hAnsi="Calibri"/>
          <w:sz w:val="22"/>
          <w:vertAlign w:val="subscript"/>
        </w:rPr>
        <w:t>ep,nren</w:t>
      </w:r>
      <w:proofErr w:type="spellEnd"/>
      <w:r>
        <w:rPr>
          <w:rFonts w:ascii="Calibri" w:hAnsi="Calibri"/>
          <w:sz w:val="22"/>
        </w:rPr>
        <w:t>”, a pojam „</w:t>
      </w:r>
      <w:proofErr w:type="spellStart"/>
      <w:r>
        <w:rPr>
          <w:rFonts w:ascii="Calibri" w:hAnsi="Calibri"/>
          <w:sz w:val="22"/>
        </w:rPr>
        <w:t>Cep,nren,lim</w:t>
      </w:r>
      <w:proofErr w:type="spellEnd"/>
      <w:r>
        <w:rPr>
          <w:rFonts w:ascii="Calibri" w:hAnsi="Calibri"/>
          <w:sz w:val="22"/>
        </w:rPr>
        <w:t>” zamjenjuje se s „</w:t>
      </w:r>
      <w:proofErr w:type="spellStart"/>
      <w:r>
        <w:rPr>
          <w:rFonts w:ascii="Calibri" w:hAnsi="Calibri"/>
          <w:sz w:val="22"/>
        </w:rPr>
        <w:t>C</w:t>
      </w:r>
      <w:r>
        <w:rPr>
          <w:rFonts w:ascii="Calibri" w:hAnsi="Calibri"/>
          <w:sz w:val="22"/>
          <w:vertAlign w:val="subscript"/>
        </w:rPr>
        <w:t>ep,nren,lim</w:t>
      </w:r>
      <w:proofErr w:type="spellEnd"/>
      <w:r>
        <w:rPr>
          <w:rFonts w:ascii="Calibri" w:hAnsi="Calibri"/>
          <w:sz w:val="22"/>
        </w:rPr>
        <w:t>”.</w:t>
      </w:r>
      <w:bookmarkEnd w:id="2"/>
    </w:p>
    <w:p w14:paraId="1F114D51"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U odjeljku HE 0, stavku 3. Kvantifikacija zahtjeva, podstavku 3.1. Potrošnja primarne energije iz neobnovljivih izvora, točka 2., pojam „</w:t>
      </w:r>
      <w:proofErr w:type="spellStart"/>
      <w:r>
        <w:rPr>
          <w:rFonts w:ascii="Calibri" w:hAnsi="Calibri"/>
          <w:sz w:val="22"/>
        </w:rPr>
        <w:t>Cep,nren,lim</w:t>
      </w:r>
      <w:proofErr w:type="spellEnd"/>
      <w:r>
        <w:rPr>
          <w:rFonts w:ascii="Calibri" w:hAnsi="Calibri"/>
          <w:sz w:val="22"/>
        </w:rPr>
        <w:t>” zamjenjuje se s „</w:t>
      </w:r>
      <w:proofErr w:type="spellStart"/>
      <w:r>
        <w:rPr>
          <w:rFonts w:ascii="Calibri" w:hAnsi="Calibri"/>
          <w:sz w:val="22"/>
        </w:rPr>
        <w:t>C</w:t>
      </w:r>
      <w:r>
        <w:rPr>
          <w:rFonts w:ascii="Calibri" w:hAnsi="Calibri"/>
          <w:sz w:val="22"/>
          <w:vertAlign w:val="subscript"/>
        </w:rPr>
        <w:t>ep,nren,lim</w:t>
      </w:r>
      <w:proofErr w:type="spellEnd"/>
      <w:r>
        <w:rPr>
          <w:rFonts w:ascii="Calibri" w:hAnsi="Calibri"/>
          <w:sz w:val="22"/>
        </w:rPr>
        <w:t>”.</w:t>
      </w:r>
    </w:p>
    <w:p w14:paraId="75CFE807" w14:textId="616002F6"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U odjeljku HE 0, stavku 3. Kvantifikacija zahtjeva, podstavku 3.2. Ukupna potrošnja primarne energije, točka 1., pojam „</w:t>
      </w:r>
      <w:proofErr w:type="spellStart"/>
      <w:r>
        <w:rPr>
          <w:rFonts w:ascii="Calibri" w:hAnsi="Calibri"/>
          <w:sz w:val="22"/>
        </w:rPr>
        <w:t>Cep,tot</w:t>
      </w:r>
      <w:proofErr w:type="spellEnd"/>
      <w:r>
        <w:rPr>
          <w:rFonts w:ascii="Calibri" w:hAnsi="Calibri"/>
          <w:sz w:val="22"/>
        </w:rPr>
        <w:t>” zamjenjuje se s „</w:t>
      </w:r>
      <w:proofErr w:type="spellStart"/>
      <w:r>
        <w:rPr>
          <w:rFonts w:ascii="Calibri" w:hAnsi="Calibri"/>
          <w:sz w:val="22"/>
        </w:rPr>
        <w:t>C</w:t>
      </w:r>
      <w:r>
        <w:rPr>
          <w:rFonts w:ascii="Calibri" w:hAnsi="Calibri"/>
          <w:sz w:val="22"/>
          <w:vertAlign w:val="subscript"/>
        </w:rPr>
        <w:t>ep,tot</w:t>
      </w:r>
      <w:proofErr w:type="spellEnd"/>
      <w:r>
        <w:rPr>
          <w:rFonts w:ascii="Calibri" w:hAnsi="Calibri"/>
          <w:sz w:val="22"/>
        </w:rPr>
        <w:t>”.</w:t>
      </w:r>
    </w:p>
    <w:p w14:paraId="440538F2"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U odjeljku HE 0, stavku 3. Kvantifikacija zahtjeva, podstavak 3.2. Potrošnja ukupne primarne energije, točka 2., pojam „</w:t>
      </w:r>
      <w:proofErr w:type="spellStart"/>
      <w:r>
        <w:rPr>
          <w:rFonts w:ascii="Calibri" w:hAnsi="Calibri"/>
          <w:sz w:val="22"/>
        </w:rPr>
        <w:t>Cep,tot,lim</w:t>
      </w:r>
      <w:proofErr w:type="spellEnd"/>
      <w:r>
        <w:rPr>
          <w:rFonts w:ascii="Calibri" w:hAnsi="Calibri"/>
          <w:sz w:val="22"/>
        </w:rPr>
        <w:t>” zamjenjuje se s „</w:t>
      </w:r>
      <w:proofErr w:type="spellStart"/>
      <w:r>
        <w:rPr>
          <w:rFonts w:ascii="Calibri" w:hAnsi="Calibri"/>
          <w:sz w:val="22"/>
        </w:rPr>
        <w:t>C</w:t>
      </w:r>
      <w:r>
        <w:rPr>
          <w:rFonts w:ascii="Calibri" w:hAnsi="Calibri"/>
          <w:sz w:val="22"/>
          <w:vertAlign w:val="subscript"/>
        </w:rPr>
        <w:t>ep,tot,lim</w:t>
      </w:r>
      <w:proofErr w:type="spellEnd"/>
      <w:r>
        <w:rPr>
          <w:rFonts w:ascii="Calibri" w:hAnsi="Calibri"/>
          <w:sz w:val="22"/>
        </w:rPr>
        <w:t>”.</w:t>
      </w:r>
    </w:p>
    <w:p w14:paraId="1766850B"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U odjeljku HE 0, stavku 3. Kvantifikacija zahtjeva, pojam „</w:t>
      </w:r>
      <w:r>
        <w:rPr>
          <w:rFonts w:ascii="Calibri" w:hAnsi="Calibri"/>
          <w:i/>
          <w:sz w:val="22"/>
        </w:rPr>
        <w:t>privatna stambena uporaba”</w:t>
      </w:r>
      <w:r>
        <w:rPr>
          <w:rFonts w:ascii="Calibri" w:hAnsi="Calibri"/>
          <w:sz w:val="22"/>
        </w:rPr>
        <w:t xml:space="preserve"> trebao bi biti u kurzivu.</w:t>
      </w:r>
    </w:p>
    <w:p w14:paraId="530AA467"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U odjeljku HE 0, u stavku 4.1. „Postupak izračuna”, u podstavku 9. riječi „priznati dokument” zamjenjuju se riječima „Priznati dokument energetskog certifikata za zgrade”.</w:t>
      </w:r>
    </w:p>
    <w:p w14:paraId="5A51E01A" w14:textId="77777777" w:rsidR="000760AB" w:rsidRPr="000760AB" w:rsidRDefault="000760AB" w:rsidP="000760AB">
      <w:pPr>
        <w:numPr>
          <w:ilvl w:val="0"/>
          <w:numId w:val="17"/>
        </w:numPr>
        <w:spacing w:after="160" w:line="259" w:lineRule="auto"/>
        <w:ind w:left="284" w:hanging="11"/>
        <w:jc w:val="both"/>
        <w:rPr>
          <w:rFonts w:ascii="Calibri" w:eastAsia="Calibri" w:hAnsi="Calibri" w:cs="Calibri"/>
          <w:sz w:val="22"/>
          <w:szCs w:val="22"/>
        </w:rPr>
      </w:pPr>
      <w:r>
        <w:rPr>
          <w:rFonts w:ascii="Calibri" w:hAnsi="Calibri"/>
          <w:sz w:val="22"/>
        </w:rPr>
        <w:t>U odjeljku HE 0, u stavku 4.1. „Postupak izračuna”, podstavak 9. postaje podstavak 11. i dodaju se sljedeći podstavci:</w:t>
      </w:r>
    </w:p>
    <w:p w14:paraId="120F39B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„9.</w:t>
      </w:r>
      <w:r>
        <w:rPr>
          <w:rFonts w:ascii="Calibri" w:hAnsi="Calibri"/>
          <w:sz w:val="22"/>
        </w:rPr>
        <w:tab/>
        <w:t xml:space="preserve">Izračun energetske bilance potrebne za provjeru zahtjeva iz ovog BD-a provodi se u skladu s normom UNE-EN ISO 52000-1:2019: </w:t>
      </w:r>
      <w:r>
        <w:rPr>
          <w:rFonts w:ascii="Calibri" w:hAnsi="Calibri"/>
          <w:i/>
          <w:sz w:val="22"/>
        </w:rPr>
        <w:t>Sveobuhvatna procjena energetskih svojstava zgrada. Dio 1.: opći okvir i postupci</w:t>
      </w:r>
      <w:r>
        <w:rPr>
          <w:rFonts w:ascii="Calibri" w:hAnsi="Calibri"/>
          <w:sz w:val="22"/>
        </w:rPr>
        <w:t xml:space="preserve">, primjenom faktora izvoza </w:t>
      </w:r>
      <w:proofErr w:type="spellStart"/>
      <w:r>
        <w:rPr>
          <w:rFonts w:ascii="Calibri" w:hAnsi="Calibri"/>
          <w:sz w:val="22"/>
        </w:rPr>
        <w:t>K</w:t>
      </w:r>
      <w:r>
        <w:rPr>
          <w:rFonts w:ascii="Calibri" w:hAnsi="Calibri"/>
          <w:sz w:val="22"/>
          <w:vertAlign w:val="subscript"/>
        </w:rPr>
        <w:t>exp</w:t>
      </w:r>
      <w:proofErr w:type="spellEnd"/>
      <w:r>
        <w:rPr>
          <w:rFonts w:ascii="Calibri" w:hAnsi="Calibri"/>
          <w:sz w:val="22"/>
        </w:rPr>
        <w:t xml:space="preserve"> = 0.”</w:t>
      </w:r>
    </w:p>
    <w:p w14:paraId="6D26B789" w14:textId="3B1081FB"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„10.</w:t>
      </w:r>
      <w:r>
        <w:rPr>
          <w:rFonts w:ascii="Calibri" w:hAnsi="Calibri"/>
          <w:sz w:val="22"/>
        </w:rPr>
        <w:tab/>
        <w:t>Za potrebe raspodjele različitih usluga, distribucija električne energije proizvedene na licu mjesta, u svakom vremenskom intervalu, izračunava se razmjerno potrošnji električne energije predmetne potrošnje (grijanje, hlađenje, ventilacija, PTV, i dodatno, u tercijarnoj uporabi, rasvjeta).”</w:t>
      </w:r>
    </w:p>
    <w:p w14:paraId="015C0599"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U odjeljku HE 0, stavku 4.3. Zahtjevi i radni uvjeti za unutrašnjost, postavku 2., izraz „</w:t>
      </w:r>
      <w:r>
        <w:rPr>
          <w:rFonts w:ascii="Calibri" w:hAnsi="Calibri"/>
          <w:i/>
          <w:sz w:val="22"/>
        </w:rPr>
        <w:t>privatna stambena uporaba</w:t>
      </w:r>
      <w:r>
        <w:rPr>
          <w:rFonts w:ascii="Calibri" w:hAnsi="Calibri"/>
          <w:sz w:val="22"/>
        </w:rPr>
        <w:t>” treba biti u kurzivu.</w:t>
      </w:r>
    </w:p>
    <w:p w14:paraId="424F77C1"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(ñ) U odjeljku HE 0, stavku 4.5. Referentni sustavi u privatnoj stambenoj uporabi, izraz „</w:t>
      </w:r>
      <w:r>
        <w:rPr>
          <w:rFonts w:ascii="Calibri" w:hAnsi="Calibri"/>
          <w:i/>
          <w:sz w:val="22"/>
        </w:rPr>
        <w:t>privatna stambena namjena</w:t>
      </w:r>
      <w:r>
        <w:rPr>
          <w:rFonts w:ascii="Calibri" w:hAnsi="Calibri"/>
          <w:sz w:val="22"/>
        </w:rPr>
        <w:t>” treba biti u kurzivu i u naslovu i u podstavku 1.</w:t>
      </w:r>
    </w:p>
    <w:p w14:paraId="7DB1F14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U odjeljku HE 1, stavku 3. Kvantifikacija zahtjeva, podstavku 3.1.1. Propuštanje </w:t>
      </w:r>
      <w:r>
        <w:rPr>
          <w:rFonts w:ascii="Calibri" w:hAnsi="Calibri"/>
          <w:i/>
          <w:sz w:val="22"/>
        </w:rPr>
        <w:t>topline kroz oplatu</w:t>
      </w:r>
      <w:r>
        <w:rPr>
          <w:rFonts w:ascii="Calibri" w:hAnsi="Calibri"/>
          <w:sz w:val="22"/>
        </w:rPr>
        <w:t>, izraz „kompaktnost” u tablicama 3.1.1.b-HE1 i 3.1.1.c-HE1, treba biti u kurzivu.</w:t>
      </w:r>
    </w:p>
    <w:p w14:paraId="2E82A8CF"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U odjeljku HE 1, stavku 3. Kvantifikacija zahtjeva, podstavku 3.1.1. Propuštanje </w:t>
      </w:r>
      <w:r>
        <w:rPr>
          <w:rFonts w:ascii="Calibri" w:hAnsi="Calibri"/>
          <w:i/>
          <w:sz w:val="22"/>
        </w:rPr>
        <w:t>topline kroz oplatu</w:t>
      </w:r>
      <w:r>
        <w:rPr>
          <w:rFonts w:ascii="Calibri" w:hAnsi="Calibri"/>
          <w:sz w:val="22"/>
        </w:rPr>
        <w:t>, izraz „kompaktnost” u bilješkama tablice u tablicama 3.1.1.b-HE1 i 3.1.1.c-HE1 i izraz „kompaktnost” u bilješci uz tablicu 3.1.1.c-HE1 treba biti u kurzivu.</w:t>
      </w:r>
    </w:p>
    <w:p w14:paraId="6592C9A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U odjeljku HE 1, stavku 3. Kvantifikacija zahtjeva, podstavku 3.1.1. Propuštanje </w:t>
      </w:r>
      <w:r>
        <w:rPr>
          <w:rFonts w:ascii="Calibri" w:hAnsi="Calibri"/>
          <w:i/>
          <w:sz w:val="22"/>
        </w:rPr>
        <w:t>topline kroz oplatu</w:t>
      </w:r>
      <w:r>
        <w:rPr>
          <w:rFonts w:ascii="Calibri" w:hAnsi="Calibri"/>
          <w:sz w:val="22"/>
        </w:rPr>
        <w:t>, točki 3., izraz „</w:t>
      </w:r>
      <w:r>
        <w:rPr>
          <w:rFonts w:ascii="Calibri" w:hAnsi="Calibri"/>
          <w:i/>
          <w:sz w:val="22"/>
        </w:rPr>
        <w:t>privatna stambena uporaba</w:t>
      </w:r>
      <w:r>
        <w:rPr>
          <w:rFonts w:ascii="Calibri" w:hAnsi="Calibri"/>
          <w:sz w:val="22"/>
        </w:rPr>
        <w:t>” treba biti u kurzivu i u točki 3. i u tablici 3.1.1.b-HE1.</w:t>
      </w:r>
    </w:p>
    <w:p w14:paraId="4B4F6F00"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U odjeljku HE 1, stavku 3. Kvantifikacija zahtjeva, podstavku 3.1.1. Propuštanje </w:t>
      </w:r>
      <w:r>
        <w:rPr>
          <w:rFonts w:ascii="Calibri" w:hAnsi="Calibri"/>
          <w:i/>
          <w:sz w:val="22"/>
        </w:rPr>
        <w:t>topline kroz oplatu</w:t>
      </w:r>
      <w:r>
        <w:rPr>
          <w:rFonts w:ascii="Calibri" w:hAnsi="Calibri"/>
          <w:sz w:val="22"/>
        </w:rPr>
        <w:t>, izraz „topline kroz oplatu” u tablicama 3.1.1.b-HE1 i 3.1.1.c-HE1, treba biti u kurzivu.</w:t>
      </w:r>
    </w:p>
    <w:p w14:paraId="41623096"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U odjeljku HE 1, stavku 3. Kvantifikacija zahtjeva, u podstavku 3.1.1. „</w:t>
      </w:r>
      <w:r>
        <w:rPr>
          <w:rFonts w:ascii="Calibri" w:hAnsi="Calibri"/>
          <w:i/>
          <w:sz w:val="22"/>
        </w:rPr>
        <w:t>Propuštanje topline kroz oplatu</w:t>
      </w:r>
      <w:r>
        <w:rPr>
          <w:rFonts w:ascii="Calibri" w:hAnsi="Calibri"/>
          <w:sz w:val="22"/>
        </w:rPr>
        <w:t>” dodaje se sljedeći podstavak:</w:t>
      </w:r>
    </w:p>
    <w:p w14:paraId="6EEEBF4F"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„6. Alternativno, zgrade ili, u slučaju djelomične intervencije na postojećim zgradama, dijelovi zgrada na kojima se provode intervencije, čiji su zahtjevi za grijanjem i hlađenjem u oba slučaja manji od 15 kWh/m</w:t>
      </w:r>
      <w:r>
        <w:rPr>
          <w:rFonts w:ascii="Calibri" w:hAnsi="Calibri"/>
          <w:sz w:val="22"/>
          <w:vertAlign w:val="superscript"/>
        </w:rPr>
        <w:t>2</w:t>
      </w:r>
      <w:r>
        <w:rPr>
          <w:rFonts w:ascii="Calibri" w:hAnsi="Calibri"/>
          <w:sz w:val="22"/>
        </w:rPr>
        <w:t xml:space="preserve">, mogu se isključiti iz usklađenosti s </w:t>
      </w:r>
      <w:r>
        <w:rPr>
          <w:rFonts w:ascii="Calibri" w:hAnsi="Calibri"/>
          <w:i/>
          <w:sz w:val="22"/>
        </w:rPr>
        <w:t>ukupnim koeficijentom prijenosa topline kroz oplatu</w:t>
      </w:r>
      <w:r>
        <w:rPr>
          <w:rFonts w:ascii="Calibri" w:hAnsi="Calibri"/>
          <w:sz w:val="22"/>
        </w:rPr>
        <w:t xml:space="preserve"> (K).”</w:t>
      </w:r>
    </w:p>
    <w:p w14:paraId="582E2B37"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U odjeljku HE 1, stavku 3. Kvantifikacija zahtjeva, podstavku 3.1.2. Solarna kontrola oplate, tekst: „Tablica 3.1.2-HE1 Granična vrijednost solarnog kontrolnog parametra </w:t>
      </w:r>
      <w:proofErr w:type="spellStart"/>
      <w:r>
        <w:rPr>
          <w:rFonts w:ascii="Calibri" w:hAnsi="Calibri"/>
          <w:sz w:val="22"/>
        </w:rPr>
        <w:t>qsol;jul,lim</w:t>
      </w:r>
      <w:proofErr w:type="spellEnd"/>
      <w:r>
        <w:rPr>
          <w:rFonts w:ascii="Calibri" w:hAnsi="Calibri"/>
          <w:sz w:val="22"/>
        </w:rPr>
        <w:t xml:space="preserve"> [kWh/m</w:t>
      </w:r>
      <w:r>
        <w:rPr>
          <w:rFonts w:ascii="Calibri" w:hAnsi="Calibri"/>
          <w:sz w:val="22"/>
          <w:vertAlign w:val="superscript"/>
        </w:rPr>
        <w:t>2</w:t>
      </w:r>
      <w:r>
        <w:rPr>
          <w:rFonts w:ascii="Calibri" w:hAnsi="Calibri"/>
          <w:sz w:val="22"/>
        </w:rPr>
        <w:t xml:space="preserve">·mes]” zamjenjuje se tekstom: „Tablica 3.1.2-HE1 Granična vrijednost solarnog kontrolnog parametra </w:t>
      </w:r>
      <w:proofErr w:type="spellStart"/>
      <w:r>
        <w:rPr>
          <w:rFonts w:ascii="Calibri" w:hAnsi="Calibri"/>
          <w:sz w:val="22"/>
        </w:rPr>
        <w:t>q</w:t>
      </w:r>
      <w:r>
        <w:rPr>
          <w:rFonts w:ascii="Calibri" w:hAnsi="Calibri"/>
          <w:sz w:val="22"/>
          <w:vertAlign w:val="subscript"/>
        </w:rPr>
        <w:t>sol;jul,lim</w:t>
      </w:r>
      <w:proofErr w:type="spellEnd"/>
      <w:r>
        <w:rPr>
          <w:rFonts w:ascii="Calibri" w:hAnsi="Calibri"/>
          <w:sz w:val="22"/>
        </w:rPr>
        <w:t xml:space="preserve"> [kWh/m</w:t>
      </w:r>
      <w:r>
        <w:rPr>
          <w:rFonts w:ascii="Calibri" w:hAnsi="Calibri"/>
          <w:sz w:val="22"/>
          <w:vertAlign w:val="superscript"/>
        </w:rPr>
        <w:t>2</w:t>
      </w:r>
      <w:r>
        <w:rPr>
          <w:rFonts w:ascii="Calibri" w:hAnsi="Calibri"/>
          <w:sz w:val="22"/>
        </w:rPr>
        <w:t>·mes]”.</w:t>
      </w:r>
    </w:p>
    <w:p w14:paraId="7E3CBE02"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U odjeljku HE 1, stavku 3. Kvantifikacija zahtjeva, podstavku 3.1.3. Zračna propusnost oplate, izraz „oplata” mora biti u kurzivu u naslovu podstavka i u naslovu tablice 3.1.3.a-HE1.</w:t>
      </w:r>
    </w:p>
    <w:p w14:paraId="7B525B8B"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U odjeljku HE 1, stavku 3. Kvantifikacija zahtjeva, u podstavku 3.1.3. „Zračna propusnost </w:t>
      </w:r>
      <w:r>
        <w:rPr>
          <w:rFonts w:ascii="Calibri" w:hAnsi="Calibri"/>
          <w:i/>
          <w:sz w:val="22"/>
        </w:rPr>
        <w:t>oplate</w:t>
      </w:r>
      <w:r>
        <w:rPr>
          <w:rFonts w:ascii="Calibri" w:hAnsi="Calibri"/>
          <w:sz w:val="22"/>
        </w:rPr>
        <w:t>” dodaje se sljedeća nova točka 3.:</w:t>
      </w:r>
    </w:p>
    <w:p w14:paraId="218ED76A"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7FEAB0F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 xml:space="preserve">„3. ‚U slučaju izmjena, prethodno navedena tablica 3.1.3.a-HE1 primjenjuje se samo na one elemente </w:t>
      </w:r>
      <w:r>
        <w:rPr>
          <w:rFonts w:ascii="Calibri" w:hAnsi="Calibri"/>
          <w:i/>
          <w:sz w:val="22"/>
        </w:rPr>
        <w:t>oplate</w:t>
      </w:r>
      <w:r>
        <w:rPr>
          <w:rFonts w:ascii="Calibri" w:hAnsi="Calibri"/>
          <w:sz w:val="22"/>
        </w:rPr>
        <w:t xml:space="preserve"> koji su zamijenjeni, ugrađeni ili znatno izmijenjeni;’</w:t>
      </w:r>
    </w:p>
    <w:p w14:paraId="69948537"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01C78EE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Numeriranje postojećih točaka 3. i 4. podstavka 3.1.3. „Zračna propusnost </w:t>
      </w:r>
      <w:r>
        <w:rPr>
          <w:rFonts w:ascii="Calibri" w:hAnsi="Calibri"/>
          <w:i/>
          <w:sz w:val="22"/>
        </w:rPr>
        <w:t>oplate</w:t>
      </w:r>
      <w:r>
        <w:rPr>
          <w:rFonts w:ascii="Calibri" w:hAnsi="Calibri"/>
          <w:sz w:val="22"/>
        </w:rPr>
        <w:t>” zamjenjuje se s 4 odnosno 5.</w:t>
      </w:r>
    </w:p>
    <w:p w14:paraId="5FC15043"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U odjeljku HE 1, stavku 3. Kvantifikacija zahtjeva, podstavku 3.1.3. Zračna propusnost </w:t>
      </w:r>
      <w:r>
        <w:rPr>
          <w:rFonts w:ascii="Calibri" w:hAnsi="Calibri"/>
          <w:i/>
          <w:sz w:val="22"/>
        </w:rPr>
        <w:t>oplate</w:t>
      </w:r>
      <w:r>
        <w:rPr>
          <w:rFonts w:ascii="Calibri" w:hAnsi="Calibri"/>
          <w:sz w:val="22"/>
        </w:rPr>
        <w:t>, izraz „kompaktnost” u tablici 3.1.3.b-HE1, izraz „kompaktnost” u podnožju tablice 3.1.3.b-HE1 i izraz „privatna stambena uporaba” u točki 3., trebaju biti u kurzivu.</w:t>
      </w:r>
    </w:p>
    <w:p w14:paraId="16310438"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U odjeljku HE 1, stavku 3. Kvantifikacija zahtjeva, u podstavku 3.1.3. Zračna propusnost </w:t>
      </w:r>
      <w:r>
        <w:rPr>
          <w:rFonts w:ascii="Calibri" w:hAnsi="Calibri"/>
          <w:i/>
          <w:sz w:val="22"/>
        </w:rPr>
        <w:t>oplate,</w:t>
      </w:r>
      <w:r>
        <w:rPr>
          <w:rFonts w:ascii="Calibri" w:hAnsi="Calibri"/>
          <w:sz w:val="22"/>
        </w:rPr>
        <w:t xml:space="preserve"> u tablici 3.1.3.b-HE1, gdje piše „m</w:t>
      </w:r>
      <w:r>
        <w:rPr>
          <w:rFonts w:ascii="Calibri" w:hAnsi="Calibri"/>
          <w:sz w:val="22"/>
          <w:vertAlign w:val="superscript"/>
        </w:rPr>
        <w:t>3</w:t>
      </w:r>
      <w:r>
        <w:rPr>
          <w:rFonts w:ascii="Calibri" w:hAnsi="Calibri"/>
          <w:sz w:val="22"/>
        </w:rPr>
        <w:t>/m2” trebalo bi glasiti „m</w:t>
      </w:r>
      <w:r>
        <w:rPr>
          <w:rFonts w:ascii="Calibri" w:hAnsi="Calibri"/>
          <w:sz w:val="22"/>
          <w:vertAlign w:val="superscript"/>
        </w:rPr>
        <w:t>3</w:t>
      </w:r>
      <w:r>
        <w:rPr>
          <w:rFonts w:ascii="Calibri" w:hAnsi="Calibri"/>
          <w:sz w:val="22"/>
        </w:rPr>
        <w:t>/m</w:t>
      </w:r>
      <w:r>
        <w:rPr>
          <w:rFonts w:ascii="Calibri" w:hAnsi="Calibri"/>
          <w:sz w:val="22"/>
          <w:vertAlign w:val="superscript"/>
        </w:rPr>
        <w:t>2</w:t>
      </w:r>
      <w:r>
        <w:rPr>
          <w:rFonts w:ascii="Calibri" w:hAnsi="Calibri"/>
          <w:sz w:val="22"/>
        </w:rPr>
        <w:t xml:space="preserve">” pri čemu je broj 2 napisan kao </w:t>
      </w:r>
      <w:proofErr w:type="spellStart"/>
      <w:r>
        <w:rPr>
          <w:rFonts w:ascii="Calibri" w:hAnsi="Calibri"/>
          <w:sz w:val="22"/>
        </w:rPr>
        <w:t>superskript</w:t>
      </w:r>
      <w:proofErr w:type="spellEnd"/>
      <w:r>
        <w:rPr>
          <w:rFonts w:ascii="Calibri" w:hAnsi="Calibri"/>
          <w:sz w:val="22"/>
        </w:rPr>
        <w:t xml:space="preserve">. </w:t>
      </w:r>
    </w:p>
    <w:p w14:paraId="717B95B5"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U odjeljku HE 1, stavku 4. Opravdanje zahtjeva, izraz „kompaktnost” u podstavku 4.1. točki (b) i izraz „privatna stambena uporaba” u podstavku 4.1. točki (g) trebaju biti u kurzivu.</w:t>
      </w:r>
    </w:p>
    <w:p w14:paraId="2D2B37E4" w14:textId="77777777" w:rsidR="000760AB" w:rsidRPr="000760AB" w:rsidRDefault="000760AB" w:rsidP="000760AB">
      <w:pPr>
        <w:numPr>
          <w:ilvl w:val="0"/>
          <w:numId w:val="17"/>
        </w:numPr>
        <w:spacing w:after="160" w:line="257" w:lineRule="auto"/>
        <w:ind w:left="284" w:firstLine="0"/>
        <w:jc w:val="both"/>
        <w:rPr>
          <w:rFonts w:ascii="Calibri" w:eastAsia="Calibri" w:hAnsi="Calibri" w:cs="Calibri"/>
          <w:sz w:val="22"/>
          <w:szCs w:val="22"/>
        </w:rPr>
      </w:pPr>
      <w:r>
        <w:rPr>
          <w:rFonts w:ascii="Calibri" w:hAnsi="Calibri"/>
          <w:sz w:val="22"/>
        </w:rPr>
        <w:t>U odjeljku HE 3, u tablici 3.1.-HE3 Granična vrijednost učinkovitosti instalacije (</w:t>
      </w:r>
      <w:proofErr w:type="spellStart"/>
      <w:r>
        <w:rPr>
          <w:rFonts w:ascii="Calibri" w:hAnsi="Calibri"/>
          <w:sz w:val="22"/>
        </w:rPr>
        <w:t>VEEI</w:t>
      </w:r>
      <w:r>
        <w:rPr>
          <w:rFonts w:ascii="Calibri" w:hAnsi="Calibri"/>
          <w:sz w:val="22"/>
          <w:vertAlign w:val="subscript"/>
        </w:rPr>
        <w:t>lim</w:t>
      </w:r>
      <w:proofErr w:type="spellEnd"/>
      <w:r>
        <w:rPr>
          <w:rFonts w:ascii="Calibri" w:hAnsi="Calibri"/>
          <w:sz w:val="22"/>
        </w:rPr>
        <w:t>), riječi „Trgovine i male trgovine” zamjenjuju se riječima „Trgovine i male trgovine</w:t>
      </w:r>
      <w:r>
        <w:rPr>
          <w:rFonts w:ascii="Calibri" w:hAnsi="Calibri"/>
          <w:sz w:val="22"/>
          <w:vertAlign w:val="superscript"/>
        </w:rPr>
        <w:t xml:space="preserve"> (10)</w:t>
      </w:r>
      <w:r>
        <w:rPr>
          <w:rFonts w:ascii="Calibri" w:hAnsi="Calibri"/>
          <w:sz w:val="22"/>
        </w:rPr>
        <w:t>” i dodaje se sljedeća bilješka:</w:t>
      </w:r>
    </w:p>
    <w:p w14:paraId="6E0BF879"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w:t>
      </w:r>
      <w:r>
        <w:rPr>
          <w:rFonts w:ascii="Calibri" w:hAnsi="Calibri"/>
          <w:sz w:val="22"/>
          <w:vertAlign w:val="superscript"/>
        </w:rPr>
        <w:t>(10)</w:t>
      </w:r>
      <w:r>
        <w:rPr>
          <w:rFonts w:ascii="Calibri" w:hAnsi="Calibri"/>
          <w:sz w:val="22"/>
        </w:rPr>
        <w:t xml:space="preserve"> Izraz trgovina odnosi se i na male neovisne trgovine i na dio za komercijalnu uporabu koji se obično ne nalazi u trgovačkim centrima.”</w:t>
      </w:r>
    </w:p>
    <w:p w14:paraId="5C482135"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U odjeljku HE 3, stavku 3.3. Kontrola i regulatorni sustavi, podstavku 2. koja glasi „...može se zamijeniti jednom od sljedećih dviju mogućnosti: </w:t>
      </w:r>
    </w:p>
    <w:p w14:paraId="562ED3C8" w14:textId="77777777" w:rsidR="000760AB" w:rsidRPr="000760AB" w:rsidRDefault="000760AB" w:rsidP="000760AB">
      <w:pPr>
        <w:spacing w:after="160" w:line="257" w:lineRule="auto"/>
        <w:ind w:left="284"/>
        <w:contextualSpacing/>
        <w:jc w:val="both"/>
        <w:rPr>
          <w:rFonts w:ascii="Calibri" w:eastAsia="Arial" w:hAnsi="Calibri" w:cs="Calibri"/>
          <w:kern w:val="2"/>
          <w:sz w:val="22"/>
        </w:rPr>
      </w:pPr>
      <w:r>
        <w:rPr>
          <w:rFonts w:ascii="Calibri" w:hAnsi="Calibri"/>
          <w:sz w:val="22"/>
        </w:rPr>
        <w:t xml:space="preserve">— kontrolom aktivacije i deaktivacije sustavom za otkrivanje prisutnosti s vremenskim rasporedom; ili </w:t>
      </w:r>
    </w:p>
    <w:p w14:paraId="5D7F7E37" w14:textId="77777777" w:rsidR="000760AB" w:rsidRPr="000760AB" w:rsidRDefault="000760AB" w:rsidP="000760AB">
      <w:pPr>
        <w:spacing w:line="257" w:lineRule="auto"/>
        <w:ind w:left="284"/>
        <w:contextualSpacing/>
        <w:jc w:val="both"/>
        <w:rPr>
          <w:rFonts w:ascii="Calibri" w:eastAsia="Arial" w:hAnsi="Calibri" w:cs="Calibri"/>
          <w:kern w:val="2"/>
          <w:sz w:val="22"/>
        </w:rPr>
      </w:pPr>
      <w:r>
        <w:rPr>
          <w:rFonts w:ascii="Calibri" w:hAnsi="Calibri"/>
          <w:sz w:val="22"/>
        </w:rPr>
        <w:t>— sustavom s automatskim gumbom.”</w:t>
      </w:r>
    </w:p>
    <w:p w14:paraId="7F19E6A8"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trebala bi glasiti „...može se zamijeniti jednom od sljedećih dviju mogućnosti: </w:t>
      </w:r>
    </w:p>
    <w:p w14:paraId="1FB2C3B4"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kontrolom aktivacije i deaktivacije s pomoću </w:t>
      </w:r>
      <w:r>
        <w:rPr>
          <w:rFonts w:ascii="Calibri" w:hAnsi="Calibri"/>
          <w:i/>
          <w:sz w:val="22"/>
        </w:rPr>
        <w:t>sustava za otkrivanje prisutnosti s vremenskim rasporedom</w:t>
      </w:r>
      <w:r>
        <w:rPr>
          <w:rFonts w:ascii="Calibri" w:hAnsi="Calibri"/>
          <w:sz w:val="22"/>
        </w:rPr>
        <w:t xml:space="preserve">, ili </w:t>
      </w:r>
    </w:p>
    <w:p w14:paraId="280A8FDB"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w:t>
      </w:r>
      <w:r>
        <w:rPr>
          <w:rFonts w:ascii="Calibri" w:hAnsi="Calibri"/>
          <w:i/>
          <w:sz w:val="22"/>
        </w:rPr>
        <w:t>sustavom s mjeračem vremena</w:t>
      </w:r>
      <w:r>
        <w:rPr>
          <w:rFonts w:ascii="Calibri" w:hAnsi="Calibri"/>
          <w:sz w:val="22"/>
        </w:rPr>
        <w:t xml:space="preserve"> s pomoću tipke.”</w:t>
      </w:r>
    </w:p>
    <w:p w14:paraId="383D98A1"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p>
    <w:p w14:paraId="2E152AB0"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U odjeljku HE 3, stavku 4. Obrazloženje zahtjeva, podstavku 1. točki (b), gdje glasi „...učinkovitost upotrijebljenih</w:t>
      </w:r>
      <w:r>
        <w:rPr>
          <w:rFonts w:ascii="Calibri" w:hAnsi="Calibri"/>
          <w:i/>
          <w:sz w:val="22"/>
        </w:rPr>
        <w:t xml:space="preserve"> žarulja</w:t>
      </w:r>
      <w:r>
        <w:rPr>
          <w:rFonts w:ascii="Calibri" w:hAnsi="Calibri"/>
          <w:sz w:val="22"/>
        </w:rPr>
        <w:t xml:space="preserve"> (u smislu </w:t>
      </w:r>
      <w:proofErr w:type="spellStart"/>
      <w:r>
        <w:rPr>
          <w:rFonts w:ascii="Calibri" w:hAnsi="Calibri"/>
          <w:sz w:val="22"/>
        </w:rPr>
        <w:t>lum</w:t>
      </w:r>
      <w:proofErr w:type="spellEnd"/>
      <w:r>
        <w:rPr>
          <w:rFonts w:ascii="Calibri" w:hAnsi="Calibri"/>
          <w:sz w:val="22"/>
        </w:rPr>
        <w:t>/W)” trebalo bi glasiti „...učinkovitost upotrijebljenih</w:t>
      </w:r>
      <w:r>
        <w:rPr>
          <w:rFonts w:ascii="Calibri" w:hAnsi="Calibri"/>
          <w:i/>
          <w:sz w:val="22"/>
        </w:rPr>
        <w:t xml:space="preserve"> žarulja</w:t>
      </w:r>
      <w:r>
        <w:rPr>
          <w:rFonts w:ascii="Calibri" w:hAnsi="Calibri"/>
          <w:sz w:val="22"/>
        </w:rPr>
        <w:t xml:space="preserve"> (u smislu lm/W)”</w:t>
      </w:r>
    </w:p>
    <w:p w14:paraId="7D135F60" w14:textId="77777777" w:rsidR="000760AB" w:rsidRPr="000760AB" w:rsidRDefault="000760AB" w:rsidP="000760AB">
      <w:pPr>
        <w:spacing w:after="160" w:line="257" w:lineRule="auto"/>
        <w:ind w:left="284"/>
        <w:contextualSpacing/>
        <w:jc w:val="both"/>
        <w:rPr>
          <w:rFonts w:ascii="Calibri" w:eastAsia="Arial" w:hAnsi="Calibri" w:cs="Calibri"/>
          <w:kern w:val="2"/>
          <w:sz w:val="22"/>
          <w:lang w:eastAsia="zh-CN" w:bidi="hi-IN"/>
        </w:rPr>
      </w:pPr>
    </w:p>
    <w:p w14:paraId="6B3EE3FA"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U odjeljku HE 4, stavak 2. Opis zahtjeva, podstavak 1. glasi kako slijedi:</w:t>
      </w:r>
    </w:p>
    <w:p w14:paraId="66BCE2A2" w14:textId="77777777" w:rsidR="000760AB" w:rsidRPr="000760AB" w:rsidRDefault="000760AB" w:rsidP="000760AB">
      <w:pPr>
        <w:spacing w:after="160" w:line="257" w:lineRule="auto"/>
        <w:ind w:left="709"/>
        <w:contextualSpacing/>
        <w:jc w:val="both"/>
        <w:rPr>
          <w:rFonts w:ascii="Calibri" w:eastAsia="Arial" w:hAnsi="Calibri" w:cs="Calibri"/>
          <w:kern w:val="2"/>
          <w:sz w:val="22"/>
          <w:lang w:eastAsia="zh-CN" w:bidi="hi-IN"/>
        </w:rPr>
      </w:pPr>
    </w:p>
    <w:p w14:paraId="774F4195"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 xml:space="preserve">„1. Zgrade u velikoj mjeri ispunjavaju svoje potrebe za DHW-om i grijanjem vode za grijane unutarnje bazene koristeći </w:t>
      </w:r>
      <w:r>
        <w:rPr>
          <w:rFonts w:ascii="Calibri" w:hAnsi="Calibri"/>
          <w:i/>
          <w:sz w:val="22"/>
        </w:rPr>
        <w:t>energiju iz obnovljivih izvora</w:t>
      </w:r>
      <w:r>
        <w:rPr>
          <w:rFonts w:ascii="Calibri" w:hAnsi="Calibri"/>
          <w:sz w:val="22"/>
        </w:rPr>
        <w:t xml:space="preserve"> ili obnovljivih procesa kogeneracije; ili proizvedeno u samoj zgradi ili putem priključka na </w:t>
      </w:r>
      <w:r>
        <w:rPr>
          <w:rFonts w:ascii="Calibri" w:hAnsi="Calibri"/>
          <w:i/>
          <w:sz w:val="22"/>
        </w:rPr>
        <w:t>sustav daljinskog grijanja</w:t>
      </w:r>
      <w:r>
        <w:rPr>
          <w:rFonts w:ascii="Calibri" w:hAnsi="Calibri"/>
          <w:sz w:val="22"/>
        </w:rPr>
        <w:t>.”</w:t>
      </w:r>
    </w:p>
    <w:p w14:paraId="3693DE13"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lastRenderedPageBreak/>
        <w:t xml:space="preserve"> U odjeljku HE 4, stavku 3. Kvalifikacija zahtjeva, podstavku 3.1. Minimalni doprinos obnovljivih izvora energije za PTV-a i/ili grijanje bazena, točka 4., tekst: </w:t>
      </w:r>
      <w:bookmarkStart w:id="3" w:name="_Hlk96945986"/>
      <w:r>
        <w:rPr>
          <w:rFonts w:ascii="Calibri" w:hAnsi="Calibri"/>
          <w:sz w:val="22"/>
        </w:rPr>
        <w:t xml:space="preserve">„... </w:t>
      </w:r>
      <w:bookmarkEnd w:id="3"/>
      <w:r>
        <w:rPr>
          <w:rFonts w:ascii="Calibri" w:hAnsi="Calibri"/>
          <w:sz w:val="22"/>
        </w:rPr>
        <w:t>više od 2,5 kad se aktiviraju električno i više od 1,15 kada se aktiviraju toplinskom energijom...” zamjenjuje se s „... jednako ili više od 2,5 kada se aktiviraju električno i jednako ili više od 1,15 kada se aktiviraju toplinskom energijom...”.</w:t>
      </w:r>
    </w:p>
    <w:p w14:paraId="61BB5CF0"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U odjeljku HE 4, stavku 3. Kvalifikacija zahtjeva, podstavku 3.1. Minimalni doprinos obnovljivih izvora energije za PTV-a i/ili grijanje bazena, točka 5., tekst: „... stambene zgrade...” trebalo bi zamijeniti s „... zgrade za </w:t>
      </w:r>
      <w:r>
        <w:rPr>
          <w:rFonts w:ascii="Calibri" w:hAnsi="Calibri"/>
          <w:i/>
          <w:sz w:val="22"/>
        </w:rPr>
        <w:t>privatne stambene namjene</w:t>
      </w:r>
      <w:r>
        <w:rPr>
          <w:rFonts w:ascii="Calibri" w:hAnsi="Calibri"/>
          <w:sz w:val="22"/>
        </w:rPr>
        <w:t>...”.</w:t>
      </w:r>
    </w:p>
    <w:p w14:paraId="6BE93B73"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U odjeljku HE 4, ispred podstavka „5.1. „Izvršenje” umeće se sljedeće: „5. Izgradnja, održavanje i popravci” kao naslov. </w:t>
      </w:r>
    </w:p>
    <w:p w14:paraId="6D9AA9EE"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U odjeljku HE 5, naslov „Odjeljak HE 5 Minimalna proizvodnja električne energije” zamjenjuje se s „Odjeljak HE 5 </w:t>
      </w:r>
      <w:bookmarkStart w:id="4" w:name="_Hlk92123384"/>
      <w:r>
        <w:rPr>
          <w:rFonts w:ascii="Calibri" w:hAnsi="Calibri"/>
          <w:sz w:val="22"/>
        </w:rPr>
        <w:t>Minimalna proizvodnja električne energije</w:t>
      </w:r>
      <w:bookmarkEnd w:id="4"/>
      <w:r>
        <w:t xml:space="preserve"> </w:t>
      </w:r>
      <w:r>
        <w:rPr>
          <w:rFonts w:ascii="Calibri" w:hAnsi="Calibri"/>
          <w:sz w:val="22"/>
        </w:rPr>
        <w:t>iz obnovljivih izvora.”</w:t>
      </w:r>
    </w:p>
    <w:p w14:paraId="6175F2BD"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U odjeljku HE 5, stavak 1. „Područje primjene” glasi kako slijedi: </w:t>
      </w:r>
    </w:p>
    <w:p w14:paraId="04EE306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 Ovaj se stavak primjenjuje u sljedećim slučajevima: </w:t>
      </w:r>
    </w:p>
    <w:p w14:paraId="40C4916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(a) novoizgrađene zgrade veće od 1 000 m</w:t>
      </w:r>
      <w:r>
        <w:rPr>
          <w:rFonts w:ascii="Calibri" w:hAnsi="Calibri"/>
          <w:sz w:val="22"/>
          <w:vertAlign w:val="superscript"/>
        </w:rPr>
        <w:t>2</w:t>
      </w:r>
      <w:r>
        <w:rPr>
          <w:rFonts w:ascii="Calibri" w:hAnsi="Calibri"/>
          <w:sz w:val="22"/>
        </w:rPr>
        <w:t>;</w:t>
      </w:r>
    </w:p>
    <w:p w14:paraId="500BD58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(b) proširenja postojećih zgrada, kada je izgrađena površina povećana za više od 1 000 m</w:t>
      </w:r>
      <w:r>
        <w:rPr>
          <w:rFonts w:ascii="Calibri" w:hAnsi="Calibri"/>
          <w:sz w:val="22"/>
          <w:vertAlign w:val="superscript"/>
        </w:rPr>
        <w:t>2</w:t>
      </w:r>
      <w:r>
        <w:rPr>
          <w:rFonts w:ascii="Calibri" w:hAnsi="Calibri"/>
          <w:sz w:val="22"/>
        </w:rPr>
        <w:t>.</w:t>
      </w:r>
    </w:p>
    <w:p w14:paraId="710C1241"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(c) postojeće zgrade koje su u potpunosti obnovljene ili u kojima postoji karakteristična promjena uporabe, ako prelaze 1 000 m</w:t>
      </w:r>
      <w:r>
        <w:rPr>
          <w:rFonts w:ascii="Calibri" w:hAnsi="Calibri"/>
          <w:sz w:val="22"/>
          <w:vertAlign w:val="superscript"/>
        </w:rPr>
        <w:t>2</w:t>
      </w:r>
      <w:r>
        <w:rPr>
          <w:rFonts w:ascii="Calibri" w:hAnsi="Calibri"/>
          <w:sz w:val="22"/>
        </w:rPr>
        <w:t xml:space="preserve"> izgrađene površine.</w:t>
      </w:r>
    </w:p>
    <w:p w14:paraId="772542D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Smatra se da izgrađena površina uključuje površinu parkirališta unutar zgrade i isključuje zajedničke vanjske prostore.” </w:t>
      </w:r>
    </w:p>
    <w:p w14:paraId="6B833735"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U odjeljku HE 5, prvi podstavak stavka 2. „Opis zahtjeva” glasi kako slijedi:</w:t>
      </w:r>
    </w:p>
    <w:p w14:paraId="23E9D02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 Zgrade imaju sustave za proizvodnju električne energije iz obnovljivih izvora za vlastitu uporabu ili za opskrbu mreže.”</w:t>
      </w:r>
    </w:p>
    <w:p w14:paraId="5BE28722"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 U odjeljku HE 5, stavak 3. „Kvantifikacija zahtjeva” glasi kako slijedi:</w:t>
      </w:r>
    </w:p>
    <w:p w14:paraId="1C671A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 xml:space="preserve">„1. </w:t>
      </w:r>
      <w:r>
        <w:rPr>
          <w:rFonts w:ascii="Calibri" w:hAnsi="Calibri"/>
          <w:i/>
          <w:sz w:val="22"/>
        </w:rPr>
        <w:t>Minimalna snaga za instalaciju</w:t>
      </w:r>
      <w:r>
        <w:rPr>
          <w:rFonts w:ascii="Calibri" w:hAnsi="Calibri"/>
          <w:sz w:val="22"/>
        </w:rPr>
        <w:t xml:space="preserve"> </w:t>
      </w:r>
      <w:proofErr w:type="spellStart"/>
      <w:r>
        <w:rPr>
          <w:rFonts w:ascii="Calibri" w:hAnsi="Calibri"/>
          <w:sz w:val="22"/>
        </w:rPr>
        <w:t>P</w:t>
      </w:r>
      <w:r>
        <w:rPr>
          <w:rFonts w:ascii="Calibri" w:hAnsi="Calibri"/>
          <w:sz w:val="22"/>
          <w:vertAlign w:val="subscript"/>
        </w:rPr>
        <w:t>min</w:t>
      </w:r>
      <w:proofErr w:type="spellEnd"/>
      <w:r>
        <w:rPr>
          <w:rFonts w:ascii="Calibri" w:hAnsi="Calibri"/>
          <w:sz w:val="22"/>
        </w:rPr>
        <w:t xml:space="preserve"> najniži je rezultat dobiven iz sljedeće dvije jednadžbe: </w:t>
      </w:r>
    </w:p>
    <w:p w14:paraId="3A813F22"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1</w:t>
      </w:r>
      <w:r>
        <w:rPr>
          <w:rFonts w:ascii="Calibri" w:hAnsi="Calibri"/>
          <w:sz w:val="22"/>
        </w:rPr>
        <w:t xml:space="preserve"> = </w:t>
      </w:r>
      <w:proofErr w:type="spellStart"/>
      <w:r>
        <w:rPr>
          <w:rFonts w:ascii="Calibri" w:hAnsi="Calibri"/>
          <w:sz w:val="22"/>
        </w:rPr>
        <w:t>F</w:t>
      </w:r>
      <w:r>
        <w:rPr>
          <w:rFonts w:ascii="Calibri" w:hAnsi="Calibri"/>
          <w:sz w:val="22"/>
          <w:vertAlign w:val="subscript"/>
        </w:rPr>
        <w:t>pr;el</w:t>
      </w:r>
      <w:proofErr w:type="spellEnd"/>
      <w:r>
        <w:rPr>
          <w:rFonts w:ascii="Calibri" w:hAnsi="Calibri"/>
          <w:sz w:val="22"/>
        </w:rPr>
        <w:t xml:space="preserve"> · S</w:t>
      </w:r>
    </w:p>
    <w:p w14:paraId="0B5FBB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2</w:t>
      </w:r>
      <w:r>
        <w:rPr>
          <w:rFonts w:ascii="Calibri" w:hAnsi="Calibri"/>
          <w:sz w:val="22"/>
        </w:rPr>
        <w:t xml:space="preserve"> = 0,1·  (0,5 · S</w:t>
      </w:r>
      <w:r>
        <w:rPr>
          <w:rFonts w:ascii="Calibri" w:hAnsi="Calibri"/>
          <w:sz w:val="22"/>
          <w:vertAlign w:val="subscript"/>
        </w:rPr>
        <w:t>c</w:t>
      </w:r>
      <w:r>
        <w:rPr>
          <w:rFonts w:ascii="Calibri" w:hAnsi="Calibri"/>
          <w:sz w:val="22"/>
        </w:rPr>
        <w:t xml:space="preserve"> - </w:t>
      </w:r>
      <w:proofErr w:type="spellStart"/>
      <w:r>
        <w:rPr>
          <w:rFonts w:ascii="Calibri" w:hAnsi="Calibri"/>
          <w:sz w:val="22"/>
        </w:rPr>
        <w:t>S</w:t>
      </w:r>
      <w:r>
        <w:rPr>
          <w:rFonts w:ascii="Calibri" w:hAnsi="Calibri"/>
          <w:sz w:val="22"/>
          <w:vertAlign w:val="subscript"/>
        </w:rPr>
        <w:t>oc</w:t>
      </w:r>
      <w:proofErr w:type="spellEnd"/>
      <w:r>
        <w:rPr>
          <w:rFonts w:ascii="Calibri" w:hAnsi="Calibri"/>
          <w:sz w:val="22"/>
        </w:rPr>
        <w:t xml:space="preserve"> )</w:t>
      </w:r>
    </w:p>
    <w:p w14:paraId="72B9D60D"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gdje je:</w:t>
      </w:r>
    </w:p>
    <w:p w14:paraId="5E55B831"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proofErr w:type="spellStart"/>
      <w:r>
        <w:rPr>
          <w:rFonts w:ascii="Calibri" w:hAnsi="Calibri"/>
          <w:sz w:val="22"/>
        </w:rPr>
        <w:t>P</w:t>
      </w:r>
      <w:r>
        <w:rPr>
          <w:rFonts w:ascii="Calibri" w:hAnsi="Calibri"/>
          <w:sz w:val="22"/>
          <w:vertAlign w:val="subscript"/>
        </w:rPr>
        <w:t>min</w:t>
      </w:r>
      <w:proofErr w:type="spellEnd"/>
      <w:r>
        <w:rPr>
          <w:rFonts w:ascii="Calibri" w:hAnsi="Calibri"/>
          <w:sz w:val="22"/>
        </w:rPr>
        <w:tab/>
      </w:r>
      <w:r>
        <w:rPr>
          <w:rFonts w:ascii="Calibri" w:hAnsi="Calibri"/>
          <w:i/>
          <w:sz w:val="22"/>
        </w:rPr>
        <w:t>snaga za instalaciju</w:t>
      </w:r>
      <w:r>
        <w:rPr>
          <w:rFonts w:ascii="Calibri" w:hAnsi="Calibri"/>
          <w:sz w:val="22"/>
        </w:rPr>
        <w:t xml:space="preserve"> [kW];</w:t>
      </w:r>
    </w:p>
    <w:p w14:paraId="1988193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proofErr w:type="spellStart"/>
      <w:r>
        <w:rPr>
          <w:rFonts w:ascii="Calibri" w:hAnsi="Calibri"/>
          <w:sz w:val="22"/>
        </w:rPr>
        <w:t>F</w:t>
      </w:r>
      <w:r>
        <w:rPr>
          <w:rFonts w:ascii="Calibri" w:hAnsi="Calibri"/>
          <w:sz w:val="22"/>
          <w:vertAlign w:val="subscript"/>
        </w:rPr>
        <w:t>pr;e</w:t>
      </w:r>
      <w:r>
        <w:rPr>
          <w:rFonts w:ascii="Calibri" w:hAnsi="Calibri"/>
          <w:sz w:val="22"/>
        </w:rPr>
        <w:t>l</w:t>
      </w:r>
      <w:proofErr w:type="spellEnd"/>
      <w:r>
        <w:rPr>
          <w:rFonts w:ascii="Calibri" w:hAnsi="Calibri"/>
          <w:sz w:val="22"/>
        </w:rPr>
        <w:tab/>
        <w:t>faktor proizvodnje energije, koji uzima vrijednost 0,005 za privatnu stambenu uporabu i 0,010 za druge namjene [kW/m</w:t>
      </w:r>
      <w:r>
        <w:rPr>
          <w:rFonts w:ascii="Calibri" w:hAnsi="Calibri"/>
          <w:sz w:val="22"/>
          <w:vertAlign w:val="superscript"/>
        </w:rPr>
        <w:t>2</w:t>
      </w:r>
      <w:r>
        <w:rPr>
          <w:rFonts w:ascii="Calibri" w:hAnsi="Calibri"/>
          <w:sz w:val="22"/>
        </w:rPr>
        <w:t>];</w:t>
      </w:r>
    </w:p>
    <w:p w14:paraId="153C8F5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S</w:t>
      </w:r>
      <w:r>
        <w:rPr>
          <w:rFonts w:ascii="Calibri" w:hAnsi="Calibri"/>
          <w:sz w:val="22"/>
        </w:rPr>
        <w:tab/>
        <w:t>površina izgrađenog područja zgrade [m</w:t>
      </w:r>
      <w:r>
        <w:rPr>
          <w:rFonts w:ascii="Calibri" w:hAnsi="Calibri"/>
          <w:sz w:val="22"/>
          <w:vertAlign w:val="superscript"/>
        </w:rPr>
        <w:t>2</w:t>
      </w:r>
      <w:r>
        <w:rPr>
          <w:rFonts w:ascii="Calibri" w:hAnsi="Calibri"/>
          <w:sz w:val="22"/>
        </w:rPr>
        <w:t>];</w:t>
      </w:r>
    </w:p>
    <w:p w14:paraId="4F543BE6" w14:textId="77777777" w:rsidR="000760AB" w:rsidRPr="000760AB" w:rsidRDefault="000760AB" w:rsidP="000760AB">
      <w:pPr>
        <w:spacing w:before="60" w:after="160" w:line="259" w:lineRule="auto"/>
        <w:ind w:left="284"/>
        <w:contextualSpacing/>
        <w:jc w:val="both"/>
        <w:rPr>
          <w:rFonts w:ascii="Calibri" w:eastAsia="Calibri" w:hAnsi="Calibri" w:cs="Calibri"/>
          <w:sz w:val="22"/>
          <w:szCs w:val="22"/>
        </w:rPr>
      </w:pPr>
      <w:r>
        <w:rPr>
          <w:rFonts w:ascii="Calibri" w:hAnsi="Calibri"/>
          <w:sz w:val="22"/>
        </w:rPr>
        <w:t>S</w:t>
      </w:r>
      <w:r>
        <w:rPr>
          <w:rFonts w:ascii="Calibri" w:hAnsi="Calibri"/>
          <w:sz w:val="22"/>
          <w:vertAlign w:val="subscript"/>
        </w:rPr>
        <w:t>c</w:t>
      </w:r>
      <w:r>
        <w:rPr>
          <w:rFonts w:ascii="Calibri" w:hAnsi="Calibri"/>
          <w:sz w:val="22"/>
        </w:rPr>
        <w:tab/>
        <w:t xml:space="preserve">površina </w:t>
      </w:r>
      <w:proofErr w:type="spellStart"/>
      <w:r>
        <w:rPr>
          <w:rFonts w:ascii="Calibri" w:hAnsi="Calibri"/>
          <w:sz w:val="22"/>
        </w:rPr>
        <w:t>neprometnog</w:t>
      </w:r>
      <w:proofErr w:type="spellEnd"/>
      <w:r>
        <w:rPr>
          <w:rFonts w:ascii="Calibri" w:hAnsi="Calibri"/>
          <w:sz w:val="22"/>
        </w:rPr>
        <w:t xml:space="preserve"> krova ili krova dostupnog samo za popravke [m</w:t>
      </w:r>
      <w:r>
        <w:rPr>
          <w:rFonts w:ascii="Calibri" w:hAnsi="Calibri"/>
          <w:sz w:val="22"/>
          <w:vertAlign w:val="superscript"/>
        </w:rPr>
        <w:t>2</w:t>
      </w:r>
      <w:r>
        <w:rPr>
          <w:rFonts w:ascii="Calibri" w:hAnsi="Calibri"/>
          <w:sz w:val="22"/>
        </w:rPr>
        <w:t>];</w:t>
      </w:r>
    </w:p>
    <w:p w14:paraId="6D8AB5FA" w14:textId="77777777" w:rsidR="000760AB" w:rsidRPr="000760AB" w:rsidRDefault="000760AB" w:rsidP="000760AB">
      <w:pPr>
        <w:spacing w:before="60" w:after="160" w:line="259" w:lineRule="auto"/>
        <w:ind w:left="284"/>
        <w:jc w:val="both"/>
        <w:rPr>
          <w:rFonts w:ascii="Calibri" w:eastAsia="Arial" w:hAnsi="Calibri" w:cs="Calibri"/>
          <w:kern w:val="2"/>
          <w:sz w:val="22"/>
        </w:rPr>
      </w:pPr>
      <w:proofErr w:type="spellStart"/>
      <w:r>
        <w:rPr>
          <w:rFonts w:ascii="Calibri" w:hAnsi="Calibri"/>
          <w:sz w:val="22"/>
        </w:rPr>
        <w:t>S</w:t>
      </w:r>
      <w:r>
        <w:rPr>
          <w:rFonts w:ascii="Calibri" w:hAnsi="Calibri"/>
          <w:sz w:val="22"/>
          <w:vertAlign w:val="subscript"/>
        </w:rPr>
        <w:t>oc</w:t>
      </w:r>
      <w:proofErr w:type="spellEnd"/>
      <w:r>
        <w:rPr>
          <w:rFonts w:ascii="Calibri" w:hAnsi="Calibri"/>
          <w:sz w:val="22"/>
        </w:rPr>
        <w:tab/>
        <w:t xml:space="preserve">površina </w:t>
      </w:r>
      <w:proofErr w:type="spellStart"/>
      <w:r>
        <w:rPr>
          <w:rFonts w:ascii="Calibri" w:hAnsi="Calibri"/>
          <w:sz w:val="22"/>
        </w:rPr>
        <w:t>neprometnog</w:t>
      </w:r>
      <w:proofErr w:type="spellEnd"/>
      <w:r>
        <w:rPr>
          <w:rFonts w:ascii="Calibri" w:hAnsi="Calibri"/>
          <w:sz w:val="22"/>
        </w:rPr>
        <w:t xml:space="preserve"> krova ili krova dostupnog samo za popravke na kojem se nalaze toplinski solarni kolektori [m</w:t>
      </w:r>
      <w:r>
        <w:rPr>
          <w:rFonts w:ascii="Calibri" w:hAnsi="Calibri"/>
          <w:sz w:val="22"/>
          <w:vertAlign w:val="superscript"/>
        </w:rPr>
        <w:t>2</w:t>
      </w:r>
      <w:r>
        <w:rPr>
          <w:rFonts w:ascii="Calibri" w:hAnsi="Calibri"/>
          <w:sz w:val="22"/>
        </w:rPr>
        <w:t>].</w:t>
      </w:r>
    </w:p>
    <w:p w14:paraId="7D742656"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2</w:t>
      </w:r>
      <w:r>
        <w:rPr>
          <w:rFonts w:ascii="Calibri" w:hAnsi="Calibri"/>
          <w:sz w:val="22"/>
        </w:rPr>
        <w:tab/>
        <w:t xml:space="preserve">U zgradama u kojima se, zbog urbanih ili arhitektonskih razloga ili zbog toga što su službeno zaštićene zgrade i kojima je tijelo koje dodjeljuje službenu zaštitu odredilo nepromjenjive elemente, ne može postići najmanja </w:t>
      </w:r>
      <w:r>
        <w:rPr>
          <w:rFonts w:ascii="Calibri" w:hAnsi="Calibri"/>
          <w:i/>
          <w:sz w:val="22"/>
        </w:rPr>
        <w:t xml:space="preserve">snaga </w:t>
      </w:r>
      <w:r>
        <w:rPr>
          <w:rFonts w:ascii="Calibri" w:hAnsi="Calibri"/>
          <w:i/>
          <w:sz w:val="22"/>
        </w:rPr>
        <w:lastRenderedPageBreak/>
        <w:t>za instalaciju</w:t>
      </w:r>
      <w:r>
        <w:rPr>
          <w:rFonts w:ascii="Calibri" w:hAnsi="Calibri"/>
          <w:sz w:val="22"/>
        </w:rPr>
        <w:t>, ta se nemogućnost opravdava analizom različitih alternativa i usvaja se rješenje koje doseže najveću moguću instaliranu snagu.”</w:t>
      </w:r>
    </w:p>
    <w:p w14:paraId="6BEFAE72" w14:textId="77777777" w:rsidR="000760AB" w:rsidRPr="000760AB" w:rsidRDefault="000760AB" w:rsidP="000760AB">
      <w:pPr>
        <w:numPr>
          <w:ilvl w:val="0"/>
          <w:numId w:val="17"/>
        </w:numPr>
        <w:spacing w:before="60" w:after="160" w:line="259" w:lineRule="auto"/>
        <w:ind w:left="284" w:firstLine="0"/>
        <w:contextualSpacing/>
        <w:jc w:val="both"/>
        <w:rPr>
          <w:rFonts w:ascii="Calibri" w:eastAsia="Arial" w:hAnsi="Calibri" w:cs="Calibri"/>
          <w:kern w:val="2"/>
          <w:sz w:val="22"/>
        </w:rPr>
      </w:pPr>
      <w:r>
        <w:rPr>
          <w:rFonts w:ascii="Calibri" w:hAnsi="Calibri"/>
          <w:sz w:val="22"/>
        </w:rPr>
        <w:t>U odjeljku HE 5, u stavku 4. „Opravdanje zahtjeva” dodaje se sljedeće:</w:t>
      </w:r>
    </w:p>
    <w:p w14:paraId="65043955"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 xml:space="preserve">(c) prema potrebi, razlozi koji sprečavaju postizanje najmanje potrebne </w:t>
      </w:r>
      <w:r>
        <w:rPr>
          <w:rFonts w:ascii="Calibri" w:hAnsi="Calibri"/>
          <w:i/>
          <w:sz w:val="22"/>
        </w:rPr>
        <w:t>snage za instalaciju</w:t>
      </w:r>
      <w:r>
        <w:rPr>
          <w:rFonts w:ascii="Calibri" w:hAnsi="Calibri"/>
          <w:sz w:val="22"/>
        </w:rPr>
        <w:t>, analiza alternativa i usvojeno rješenje kako bi se postigla najveća moguća instalirana snaga.”</w:t>
      </w:r>
    </w:p>
    <w:p w14:paraId="6E185DB3" w14:textId="77777777" w:rsidR="000760AB" w:rsidRPr="000760AB" w:rsidRDefault="000760AB" w:rsidP="000760AB">
      <w:pPr>
        <w:spacing w:after="160" w:line="259" w:lineRule="auto"/>
        <w:ind w:left="284"/>
        <w:jc w:val="both"/>
        <w:rPr>
          <w:rFonts w:ascii="Calibri" w:eastAsia="Calibri" w:hAnsi="Calibri" w:cs="Calibri"/>
          <w:sz w:val="22"/>
          <w:szCs w:val="22"/>
        </w:rPr>
      </w:pPr>
      <w:proofErr w:type="spellStart"/>
      <w:r>
        <w:rPr>
          <w:rFonts w:ascii="Calibri" w:hAnsi="Calibri"/>
          <w:sz w:val="22"/>
        </w:rPr>
        <w:t>ll</w:t>
      </w:r>
      <w:proofErr w:type="spellEnd"/>
      <w:r>
        <w:rPr>
          <w:rFonts w:ascii="Calibri" w:hAnsi="Calibri"/>
          <w:sz w:val="22"/>
        </w:rPr>
        <w:t xml:space="preserve">) U Osnovnom dokumentu DB-HE „Ušteda energije”, dodaje se odjeljak HE 6 s naslovom „Minimalni </w:t>
      </w:r>
      <w:r>
        <w:rPr>
          <w:rFonts w:ascii="Calibri" w:hAnsi="Calibri"/>
          <w:i/>
          <w:sz w:val="22"/>
        </w:rPr>
        <w:t>objekti infrastrukture za punjenje električnih vozila</w:t>
      </w:r>
      <w:r>
        <w:rPr>
          <w:rFonts w:ascii="Calibri" w:hAnsi="Calibri"/>
          <w:sz w:val="22"/>
        </w:rPr>
        <w:t xml:space="preserve">” i sljedeći sadržaj: </w:t>
      </w:r>
    </w:p>
    <w:p w14:paraId="1807669A" w14:textId="4733E6F7" w:rsidR="000760AB" w:rsidRPr="000760AB" w:rsidRDefault="000760AB" w:rsidP="000760AB">
      <w:pPr>
        <w:keepNext/>
        <w:ind w:left="284"/>
        <w:outlineLvl w:val="0"/>
        <w:rPr>
          <w:rFonts w:ascii="Calibri" w:eastAsia="Arial" w:hAnsi="Calibri" w:cs="Calibri"/>
          <w:kern w:val="2"/>
          <w:sz w:val="22"/>
          <w:szCs w:val="22"/>
        </w:rPr>
      </w:pPr>
      <w:bookmarkStart w:id="5" w:name="_Toc530396161"/>
      <w:bookmarkStart w:id="6" w:name="_Toc530395282"/>
      <w:r>
        <w:rPr>
          <w:rFonts w:ascii="Calibri" w:hAnsi="Calibri"/>
          <w:sz w:val="22"/>
        </w:rPr>
        <w:t>„Odjeljak HE 6</w:t>
      </w:r>
      <w:r>
        <w:rPr>
          <w:rFonts w:ascii="Calibri" w:hAnsi="Calibri"/>
          <w:sz w:val="22"/>
        </w:rPr>
        <w:br/>
        <w:t xml:space="preserve">Minimalni </w:t>
      </w:r>
      <w:r>
        <w:rPr>
          <w:rFonts w:ascii="Calibri" w:hAnsi="Calibri"/>
          <w:i/>
          <w:sz w:val="22"/>
        </w:rPr>
        <w:t>objekti infrastrukture za punjenje električnih vozil</w:t>
      </w:r>
      <w:bookmarkEnd w:id="5"/>
      <w:bookmarkEnd w:id="6"/>
      <w:r w:rsidR="009B1170" w:rsidRPr="009B1170">
        <w:rPr>
          <w:rFonts w:ascii="Calibri" w:hAnsi="Calibri"/>
          <w:i/>
          <w:iCs/>
          <w:sz w:val="22"/>
        </w:rPr>
        <w:t>a</w:t>
      </w:r>
    </w:p>
    <w:p w14:paraId="6EF7E441" w14:textId="77777777" w:rsidR="000760AB" w:rsidRPr="000760AB" w:rsidRDefault="000760AB" w:rsidP="000760AB">
      <w:pPr>
        <w:keepNext/>
        <w:widowControl w:val="0"/>
        <w:suppressAutoHyphens/>
        <w:spacing w:before="300" w:after="100"/>
        <w:ind w:left="284"/>
        <w:textAlignment w:val="baseline"/>
        <w:outlineLvl w:val="1"/>
        <w:rPr>
          <w:rFonts w:ascii="Calibri" w:eastAsia="Noto Sans CJK SC Regular" w:hAnsi="Calibri" w:cs="Calibri"/>
          <w:kern w:val="2"/>
          <w:sz w:val="22"/>
          <w:szCs w:val="22"/>
        </w:rPr>
      </w:pPr>
      <w:bookmarkStart w:id="7" w:name="_Toc530396162"/>
      <w:bookmarkStart w:id="8" w:name="_Toc530395283"/>
      <w:r>
        <w:rPr>
          <w:rFonts w:ascii="Calibri" w:hAnsi="Calibri"/>
          <w:sz w:val="22"/>
        </w:rPr>
        <w:t>1 Područje primjene</w:t>
      </w:r>
      <w:bookmarkEnd w:id="7"/>
      <w:bookmarkEnd w:id="8"/>
    </w:p>
    <w:p w14:paraId="36FC884D"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Zahtjevi utvrđeni u ovom odjeljku primjenjuju se na zgrade koje imaju parkiralište, bilo unutar ili izvan zgrade, u sljedećim slučajevima:</w:t>
      </w:r>
    </w:p>
    <w:p w14:paraId="1105C106"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novoizgrađene zgrade;</w:t>
      </w:r>
    </w:p>
    <w:p w14:paraId="24CACEDC"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postojeće zgrade, u sljedećim slučajevima:</w:t>
      </w:r>
    </w:p>
    <w:p w14:paraId="136E92EF"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promjene u karakterističnoj namjeni zgrade;</w:t>
      </w:r>
    </w:p>
    <w:p w14:paraId="14079978"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proširenja, u slučajevima koji uključuju intervencije na parkiralištu i površini ili ako se izgrađeni volumen jedinice ili</w:t>
      </w:r>
      <w:r>
        <w:rPr>
          <w:rFonts w:ascii="Calibri" w:hAnsi="Calibri"/>
          <w:i/>
          <w:sz w:val="22"/>
        </w:rPr>
        <w:t xml:space="preserve"> jedinica uporabe</w:t>
      </w:r>
      <w:r>
        <w:rPr>
          <w:rFonts w:ascii="Calibri" w:hAnsi="Calibri"/>
          <w:sz w:val="22"/>
        </w:rPr>
        <w:t xml:space="preserve"> na kojima se intervencija odvija povećava za više od 10 %, a povećana iskoristiva površina veća je od 50 m</w:t>
      </w:r>
      <w:r>
        <w:rPr>
          <w:rFonts w:ascii="Calibri" w:hAnsi="Calibri"/>
          <w:sz w:val="22"/>
          <w:vertAlign w:val="superscript"/>
        </w:rPr>
        <w:t>2</w:t>
      </w:r>
      <w:r>
        <w:rPr>
          <w:rFonts w:ascii="Calibri" w:hAnsi="Calibri"/>
          <w:sz w:val="22"/>
        </w:rPr>
        <w:t>;</w:t>
      </w:r>
    </w:p>
    <w:p w14:paraId="02973E6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preuređenja koja uključuju intervencije na parkiralištu i kojima se obnavlja više od 25 % ukupne površine završne </w:t>
      </w:r>
      <w:r>
        <w:rPr>
          <w:rFonts w:ascii="Calibri" w:hAnsi="Calibri"/>
          <w:i/>
          <w:sz w:val="22"/>
        </w:rPr>
        <w:t>oplate</w:t>
      </w:r>
      <w:r>
        <w:rPr>
          <w:rFonts w:ascii="Calibri" w:hAnsi="Calibri"/>
          <w:sz w:val="22"/>
        </w:rPr>
        <w:t xml:space="preserve"> zgrade;</w:t>
      </w:r>
    </w:p>
    <w:p w14:paraId="7F40C209"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intervencije u električnoj instalaciji zgrade koje utječu na više od 50 % snage ugrađene u zgradu prije intervencije, u slučajevima kada se parkiralište nalazi unutar zgrade</w:t>
      </w:r>
      <w:r>
        <w:rPr>
          <w:rFonts w:ascii="Calibri" w:hAnsi="Calibri"/>
          <w:sz w:val="22"/>
          <w:u w:color="FF0000"/>
        </w:rPr>
        <w:t>, pod uvjetom da građevinski poduzetnik koji provodi takvu intervenciju ima pravo djelovati u parkirališnom području;</w:t>
      </w:r>
    </w:p>
    <w:p w14:paraId="7260D95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strike/>
          <w:kern w:val="2"/>
          <w:sz w:val="22"/>
          <w:szCs w:val="22"/>
        </w:rPr>
      </w:pPr>
      <w:r>
        <w:rPr>
          <w:rFonts w:ascii="Calibri" w:hAnsi="Calibri"/>
          <w:sz w:val="22"/>
        </w:rPr>
        <w:t>intervencije u električnoj instalaciji parkirališta koje utječu na više od 50 % snage ugrađene na parkiralištu prije intervencije.</w:t>
      </w:r>
    </w:p>
    <w:p w14:paraId="087DE78C" w14:textId="77777777" w:rsidR="000760AB" w:rsidRPr="000760AB" w:rsidRDefault="000760AB" w:rsidP="00FD453F">
      <w:pPr>
        <w:numPr>
          <w:ilvl w:val="0"/>
          <w:numId w:val="34"/>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Sljedeće je izvan područja primjene:</w:t>
      </w:r>
    </w:p>
    <w:p w14:paraId="6128A7B8" w14:textId="77777777" w:rsidR="000760AB" w:rsidRPr="000760AB" w:rsidRDefault="000760AB" w:rsidP="00FD453F">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zgrade koje nisu privatne stambene zgrade s parkirnim prostorom od najviše 10 parkirnih mjesta;</w:t>
      </w:r>
    </w:p>
    <w:p w14:paraId="6FB73115"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 xml:space="preserve">(b) postojeće zgrade koje nisu privatne stambene zgrade s parkirnim prostorom od najviše 20 parkirnih mjesta i postojeće zgrade </w:t>
      </w:r>
      <w:r>
        <w:rPr>
          <w:rFonts w:ascii="Calibri" w:hAnsi="Calibri"/>
          <w:i/>
          <w:sz w:val="22"/>
        </w:rPr>
        <w:t>privatne stambene namjene</w:t>
      </w:r>
      <w:r>
        <w:rPr>
          <w:rFonts w:ascii="Calibri" w:hAnsi="Calibri"/>
          <w:sz w:val="22"/>
        </w:rPr>
        <w:t xml:space="preserve"> ako, u oba slučaja, troškovi usklađivanja s ovim stavkom premašuju 7 % troškova proširenja, promjene uporabe ili intervencije obnove koja dovodi do obveze usklađenosti. Kako bi se utvrdio trošak prethodno navedenih intervencija, uzima se u obzir njihov stvarni i efektivni trošak, shvaćen kao njihov fizički trošak izgradnje;</w:t>
      </w:r>
    </w:p>
    <w:p w14:paraId="61E2DA67"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(c) zgrade koje su službeno zaštićene jer su dio prijavljenog okoliša ili su zbog svoje posebne arhitektonske ili povijesne vrijednosti isključene iz ovih obveza u mjeri u kojoj bi usklađenost sa zahtjevima utvrđenima u ovom odjeljku mogla nerazumno izmijeniti njihov karakter ili izgled, a nepromjenjive elemente određuje službeno tijelo za zaštitu.</w:t>
      </w:r>
      <w:bookmarkStart w:id="9" w:name="_Toc530396163"/>
      <w:bookmarkStart w:id="10" w:name="_Toc530395284"/>
    </w:p>
    <w:p w14:paraId="56E19149" w14:textId="77777777" w:rsidR="000760AB" w:rsidRPr="000760AB" w:rsidRDefault="000760AB" w:rsidP="000760AB">
      <w:pPr>
        <w:spacing w:before="60" w:after="60"/>
        <w:ind w:left="567"/>
        <w:jc w:val="both"/>
        <w:rPr>
          <w:rFonts w:ascii="Calibri" w:hAnsi="Calibri" w:cs="Calibri"/>
          <w:sz w:val="22"/>
          <w:szCs w:val="22"/>
        </w:rPr>
      </w:pPr>
    </w:p>
    <w:p w14:paraId="268F7EA1" w14:textId="77777777" w:rsidR="000760AB" w:rsidRPr="000760AB" w:rsidRDefault="000760AB" w:rsidP="000760AB">
      <w:pPr>
        <w:spacing w:before="60" w:after="60"/>
        <w:ind w:left="284"/>
        <w:jc w:val="both"/>
        <w:rPr>
          <w:rFonts w:ascii="Calibri" w:hAnsi="Calibri" w:cs="Calibri"/>
          <w:sz w:val="22"/>
          <w:szCs w:val="22"/>
        </w:rPr>
      </w:pPr>
      <w:r>
        <w:rPr>
          <w:rFonts w:ascii="Calibri" w:hAnsi="Calibri"/>
          <w:sz w:val="22"/>
        </w:rPr>
        <w:t>2</w:t>
      </w:r>
      <w:r>
        <w:rPr>
          <w:rFonts w:ascii="Calibri" w:hAnsi="Calibri"/>
          <w:sz w:val="22"/>
        </w:rPr>
        <w:tab/>
        <w:t>Opis zahtjeva</w:t>
      </w:r>
      <w:bookmarkEnd w:id="9"/>
      <w:bookmarkEnd w:id="10"/>
    </w:p>
    <w:p w14:paraId="69F9A98C"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lastRenderedPageBreak/>
        <w:t>1</w:t>
      </w:r>
      <w:r>
        <w:rPr>
          <w:rFonts w:ascii="Calibri" w:hAnsi="Calibri"/>
          <w:sz w:val="22"/>
        </w:rPr>
        <w:tab/>
        <w:t xml:space="preserve">Zgrade imaju minimalnu infrastrukturu koja omogućuje punjenje </w:t>
      </w:r>
      <w:r>
        <w:rPr>
          <w:rFonts w:ascii="Calibri" w:hAnsi="Calibri"/>
          <w:i/>
          <w:sz w:val="22"/>
        </w:rPr>
        <w:t>električnih vozila</w:t>
      </w:r>
      <w:r>
        <w:rPr>
          <w:rFonts w:ascii="Calibri" w:hAnsi="Calibri"/>
          <w:sz w:val="22"/>
        </w:rPr>
        <w:t>.</w:t>
      </w:r>
    </w:p>
    <w:p w14:paraId="29EA4F8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 xml:space="preserve">Ova </w:t>
      </w:r>
      <w:r>
        <w:rPr>
          <w:rFonts w:ascii="Calibri" w:hAnsi="Calibri"/>
          <w:i/>
          <w:sz w:val="22"/>
        </w:rPr>
        <w:t>infrastruktura za punjenje električnih vozila</w:t>
      </w:r>
      <w:r>
        <w:rPr>
          <w:rFonts w:ascii="Calibri" w:hAnsi="Calibri"/>
          <w:sz w:val="22"/>
        </w:rPr>
        <w:t xml:space="preserve"> bit će u skladu s odredbama važećeg Elektrotehničkog propisa za niski napon i njegove dodatne tehničke upute (ITC) BT 52 „Instalacije za posebne namjene. Infrastruktura za punjenje </w:t>
      </w:r>
      <w:r>
        <w:rPr>
          <w:rFonts w:ascii="Calibri" w:hAnsi="Calibri"/>
          <w:i/>
          <w:sz w:val="22"/>
        </w:rPr>
        <w:t>električnih vozila</w:t>
      </w:r>
      <w:r>
        <w:rPr>
          <w:rFonts w:ascii="Calibri" w:hAnsi="Calibri"/>
          <w:sz w:val="22"/>
        </w:rPr>
        <w:t>”.</w:t>
      </w:r>
      <w:bookmarkStart w:id="11" w:name="_Toc530396164"/>
      <w:bookmarkStart w:id="12" w:name="_Toc530395285"/>
    </w:p>
    <w:p w14:paraId="1CF8D41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p>
    <w:p w14:paraId="10EC5F9A"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3</w:t>
      </w:r>
      <w:r>
        <w:rPr>
          <w:rFonts w:ascii="Calibri" w:hAnsi="Calibri"/>
          <w:sz w:val="22"/>
        </w:rPr>
        <w:tab/>
        <w:t>Kvantifikacija zahtjeva</w:t>
      </w:r>
      <w:bookmarkEnd w:id="11"/>
      <w:bookmarkEnd w:id="12"/>
    </w:p>
    <w:p w14:paraId="571C5F1A"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1</w:t>
      </w:r>
      <w:r>
        <w:rPr>
          <w:rFonts w:ascii="Calibri" w:hAnsi="Calibri"/>
          <w:sz w:val="22"/>
        </w:rPr>
        <w:tab/>
        <w:t xml:space="preserve">U zgradama za </w:t>
      </w:r>
      <w:r>
        <w:rPr>
          <w:rFonts w:ascii="Calibri" w:hAnsi="Calibri"/>
          <w:i/>
          <w:sz w:val="22"/>
        </w:rPr>
        <w:t>privatnu stambenu uporabu</w:t>
      </w:r>
      <w:r>
        <w:rPr>
          <w:rFonts w:ascii="Calibri" w:hAnsi="Calibri"/>
          <w:sz w:val="22"/>
        </w:rPr>
        <w:t xml:space="preserve"> sustavi ožičenja bit će instalirani kako bi se omogućila buduća opskrba </w:t>
      </w:r>
      <w:r>
        <w:rPr>
          <w:rFonts w:ascii="Calibri" w:hAnsi="Calibri"/>
          <w:i/>
          <w:sz w:val="22"/>
        </w:rPr>
        <w:t>stanica za punjenje</w:t>
      </w:r>
      <w:r>
        <w:rPr>
          <w:rFonts w:ascii="Calibri" w:hAnsi="Calibri"/>
          <w:sz w:val="22"/>
        </w:rPr>
        <w:t xml:space="preserve"> za 100 % parkirnih mjesta.</w:t>
      </w:r>
    </w:p>
    <w:p w14:paraId="76793F36"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2</w:t>
      </w:r>
      <w:r>
        <w:rPr>
          <w:rFonts w:ascii="Calibri" w:hAnsi="Calibri"/>
          <w:sz w:val="22"/>
        </w:rPr>
        <w:tab/>
        <w:t xml:space="preserve">U zgradama koje nisu privatne stambene zgrade bit će instalirani sustavi ožičenja kako bi se omogućila buduća opskrba </w:t>
      </w:r>
      <w:r>
        <w:rPr>
          <w:rFonts w:ascii="Calibri" w:hAnsi="Calibri"/>
          <w:i/>
          <w:sz w:val="22"/>
        </w:rPr>
        <w:t>stanica za punjenje</w:t>
      </w:r>
      <w:r>
        <w:rPr>
          <w:rFonts w:ascii="Calibri" w:hAnsi="Calibri"/>
          <w:sz w:val="22"/>
        </w:rPr>
        <w:t xml:space="preserve"> za najmanje 20 % parkirnih mjesta.</w:t>
      </w:r>
    </w:p>
    <w:p w14:paraId="247AE17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Osim toga, </w:t>
      </w:r>
      <w:r>
        <w:rPr>
          <w:rFonts w:ascii="Calibri" w:hAnsi="Calibri"/>
          <w:i/>
          <w:sz w:val="22"/>
        </w:rPr>
        <w:t>stanica za punjenje</w:t>
      </w:r>
      <w:r>
        <w:rPr>
          <w:rFonts w:ascii="Calibri" w:hAnsi="Calibri"/>
          <w:sz w:val="22"/>
        </w:rPr>
        <w:t xml:space="preserve"> bit će instalirana na svakih 40 parkirnih mjesta ili njihov dio.</w:t>
      </w:r>
    </w:p>
    <w:p w14:paraId="192987C0"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U zgradama koje nisu privatne stambene zgrade i koje su u vlasništvu opće državne uprave ili javnih tijela koja su s njom povezana ili koja o njoj ovise, odredba je veća od one koja je općenito utvrđena, pri čemu se postavlja</w:t>
      </w:r>
      <w:r>
        <w:rPr>
          <w:rFonts w:ascii="Calibri" w:hAnsi="Calibri"/>
          <w:color w:val="1F497D"/>
          <w:sz w:val="22"/>
        </w:rPr>
        <w:t xml:space="preserve"> </w:t>
      </w:r>
      <w:r>
        <w:rPr>
          <w:rFonts w:ascii="Calibri" w:hAnsi="Calibri"/>
          <w:sz w:val="22"/>
        </w:rPr>
        <w:t xml:space="preserve">jedna </w:t>
      </w:r>
      <w:r>
        <w:rPr>
          <w:rFonts w:ascii="Calibri" w:hAnsi="Calibri"/>
          <w:i/>
          <w:sz w:val="22"/>
        </w:rPr>
        <w:t>stanica za punjenje</w:t>
      </w:r>
      <w:r>
        <w:rPr>
          <w:rFonts w:ascii="Calibri" w:hAnsi="Calibri"/>
          <w:sz w:val="22"/>
        </w:rPr>
        <w:t xml:space="preserve"> na svakih 20 parkirnih mjesta ili njihov dio.</w:t>
      </w:r>
    </w:p>
    <w:p w14:paraId="69499695"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U slučaju parkirališta s pristupačnim parkirnim mjestima, kako je utvrđeno u Osnovnom dokumentu o sigurnosti uporabe i pristupačnosti (DB SUA), na svakih pet pristupačnih parkirnih mjesta postavlja se jedna </w:t>
      </w:r>
      <w:r>
        <w:rPr>
          <w:rFonts w:ascii="Calibri" w:hAnsi="Calibri"/>
          <w:i/>
          <w:sz w:val="22"/>
        </w:rPr>
        <w:t>stanica za punjenje</w:t>
      </w:r>
      <w:r>
        <w:rPr>
          <w:rFonts w:ascii="Calibri" w:hAnsi="Calibri"/>
          <w:sz w:val="22"/>
        </w:rPr>
        <w:t xml:space="preserve">. </w:t>
      </w:r>
      <w:r>
        <w:rPr>
          <w:rFonts w:ascii="Calibri" w:hAnsi="Calibri"/>
          <w:i/>
          <w:sz w:val="22"/>
        </w:rPr>
        <w:t>Stanice za punjenje</w:t>
      </w:r>
      <w:r>
        <w:rPr>
          <w:rFonts w:ascii="Calibri" w:hAnsi="Calibri"/>
          <w:sz w:val="22"/>
        </w:rPr>
        <w:t xml:space="preserve"> na tim lokacijama računaju se za potrebe usklađenosti s kvantifikacijom zahtjeva.</w:t>
      </w:r>
    </w:p>
    <w:p w14:paraId="4722B70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3</w:t>
      </w:r>
      <w:r>
        <w:rPr>
          <w:rFonts w:ascii="Calibri" w:hAnsi="Calibri"/>
          <w:sz w:val="22"/>
        </w:rPr>
        <w:tab/>
        <w:t xml:space="preserve">Za zgrade koje imaju jedinice za </w:t>
      </w:r>
      <w:r>
        <w:rPr>
          <w:rFonts w:ascii="Calibri" w:hAnsi="Calibri"/>
          <w:i/>
          <w:sz w:val="22"/>
        </w:rPr>
        <w:t xml:space="preserve">privatnu stambenu uporabu </w:t>
      </w:r>
      <w:r>
        <w:rPr>
          <w:rFonts w:ascii="Calibri" w:hAnsi="Calibri"/>
          <w:sz w:val="22"/>
        </w:rPr>
        <w:t>zajedno s jedinicama za različitu uporabu, u kojima se parkirališta povezana sa svakom uporabom ne razlikuju jasno, primjenjuje se kriterij za karakterističnu uporabu zgrade.</w:t>
      </w:r>
      <w:bookmarkStart w:id="13" w:name="_Toc530396167"/>
      <w:bookmarkStart w:id="14" w:name="_Toc530395288"/>
    </w:p>
    <w:p w14:paraId="19D587A1" w14:textId="77777777" w:rsidR="000760AB" w:rsidRPr="000760AB" w:rsidRDefault="000760AB" w:rsidP="000760AB">
      <w:pPr>
        <w:spacing w:before="120" w:after="60"/>
        <w:ind w:left="567"/>
        <w:jc w:val="both"/>
        <w:rPr>
          <w:rFonts w:ascii="Calibri" w:hAnsi="Calibri" w:cs="Calibri"/>
          <w:sz w:val="22"/>
          <w:szCs w:val="22"/>
        </w:rPr>
      </w:pPr>
    </w:p>
    <w:p w14:paraId="2FC0E269"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4</w:t>
      </w:r>
      <w:r>
        <w:rPr>
          <w:rFonts w:ascii="Calibri" w:hAnsi="Calibri"/>
          <w:sz w:val="22"/>
        </w:rPr>
        <w:tab/>
        <w:t>Obrazloženje zahtjeva</w:t>
      </w:r>
      <w:bookmarkEnd w:id="13"/>
      <w:bookmarkEnd w:id="14"/>
    </w:p>
    <w:p w14:paraId="15BAB575" w14:textId="77777777" w:rsidR="000760AB" w:rsidRPr="000760AB" w:rsidRDefault="000760AB" w:rsidP="000760AB">
      <w:pPr>
        <w:spacing w:before="240" w:after="100"/>
        <w:ind w:left="284"/>
        <w:jc w:val="both"/>
        <w:rPr>
          <w:rFonts w:ascii="Calibri" w:eastAsia="Arial" w:hAnsi="Calibri" w:cs="Calibri"/>
          <w:kern w:val="2"/>
          <w:sz w:val="22"/>
          <w:szCs w:val="22"/>
        </w:rPr>
      </w:pPr>
      <w:r>
        <w:rPr>
          <w:rFonts w:ascii="Calibri" w:hAnsi="Calibri"/>
          <w:sz w:val="22"/>
        </w:rPr>
        <w:t>1</w:t>
      </w:r>
      <w:r>
        <w:rPr>
          <w:rFonts w:ascii="Calibri" w:hAnsi="Calibri"/>
          <w:sz w:val="22"/>
        </w:rPr>
        <w:tab/>
        <w:t>Kako bi se dokazalo da zgrada ispunjava zahtjeve ovog osnovnog dokumenta, projektni dokumenti moraju sadržavati sljedeće informacije o zgradi ili njezinom odgovarajućem dijelu:</w:t>
      </w:r>
    </w:p>
    <w:p w14:paraId="36CFFEC7"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dijagram ožičenja koji se koristi za dimenzioniranje, kako je opisano u Elektrotehničkom propisu za niski napon;</w:t>
      </w:r>
    </w:p>
    <w:p w14:paraId="646DF7C0"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opis glavnog razvodnog kanala i pripremljenih vodova, navodeći postotak parkirnih mjesta sa sustavima ožičenja i najmanji potrebni postotak;</w:t>
      </w:r>
    </w:p>
    <w:p w14:paraId="69C66A52"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(c) broj ugrađenih </w:t>
      </w:r>
      <w:r>
        <w:rPr>
          <w:rFonts w:ascii="Calibri" w:hAnsi="Calibri"/>
          <w:i/>
          <w:sz w:val="22"/>
        </w:rPr>
        <w:t>stanica za punjenje</w:t>
      </w:r>
      <w:r>
        <w:rPr>
          <w:rFonts w:ascii="Calibri" w:hAnsi="Calibri"/>
          <w:sz w:val="22"/>
        </w:rPr>
        <w:t xml:space="preserve"> i najmanji broj koji proizlazi iz kvantifikacije zahtjeva;</w:t>
      </w:r>
    </w:p>
    <w:p w14:paraId="7BE9C95E"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(d) vrste </w:t>
      </w:r>
      <w:r>
        <w:rPr>
          <w:rFonts w:ascii="Calibri" w:hAnsi="Calibri"/>
          <w:i/>
          <w:sz w:val="22"/>
        </w:rPr>
        <w:t>stanica za punjenje</w:t>
      </w:r>
      <w:r>
        <w:rPr>
          <w:rFonts w:ascii="Calibri" w:hAnsi="Calibri"/>
          <w:sz w:val="22"/>
        </w:rPr>
        <w:t xml:space="preserve"> i njihove nazivne snage.</w:t>
      </w:r>
      <w:bookmarkStart w:id="15" w:name="_Toc530396168"/>
      <w:bookmarkStart w:id="16" w:name="_Toc530395289"/>
    </w:p>
    <w:p w14:paraId="52DF0579" w14:textId="77777777" w:rsidR="000760AB" w:rsidRPr="000760AB" w:rsidRDefault="000760AB" w:rsidP="000760AB">
      <w:pPr>
        <w:suppressAutoHyphens/>
        <w:spacing w:before="60" w:after="60"/>
        <w:ind w:left="567"/>
        <w:jc w:val="both"/>
        <w:textAlignment w:val="baseline"/>
        <w:rPr>
          <w:rFonts w:ascii="Calibri" w:eastAsia="Arial" w:hAnsi="Calibri" w:cs="Calibri"/>
          <w:kern w:val="2"/>
          <w:sz w:val="22"/>
          <w:szCs w:val="22"/>
          <w:lang w:eastAsia="zh-CN" w:bidi="hi-IN"/>
        </w:rPr>
      </w:pPr>
    </w:p>
    <w:p w14:paraId="50E1C334"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5</w:t>
      </w:r>
      <w:r>
        <w:rPr>
          <w:rFonts w:ascii="Calibri" w:hAnsi="Calibri"/>
          <w:sz w:val="22"/>
        </w:rPr>
        <w:tab/>
        <w:t>Izgradnja, održavanje i popravci</w:t>
      </w:r>
      <w:bookmarkEnd w:id="15"/>
      <w:bookmarkEnd w:id="16"/>
    </w:p>
    <w:p w14:paraId="000A9057"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7" w:name="_Toc530396169"/>
      <w:bookmarkStart w:id="18" w:name="_Toc530395290"/>
      <w:r>
        <w:rPr>
          <w:rFonts w:ascii="Calibri" w:hAnsi="Calibri"/>
          <w:sz w:val="22"/>
        </w:rPr>
        <w:t>5.1. Izvršenje</w:t>
      </w:r>
      <w:bookmarkEnd w:id="17"/>
      <w:bookmarkEnd w:id="18"/>
    </w:p>
    <w:p w14:paraId="3050030B"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Građevinski radovi na zgradi izvode se u skladu s projektom i njegovim izmjenama koje odobri upravitelj izgradnje podložno suglasnosti građevinskog poduzetnika, važećem zakonodavstvu, specifikacijama Elektrotehničkog propisa za niski napon i Dodatne tehničke upute ITC BT-52 „Instalacije za posebne namjene. Infrastruktura za punjenje </w:t>
      </w:r>
      <w:r>
        <w:rPr>
          <w:rFonts w:ascii="Calibri" w:hAnsi="Calibri"/>
          <w:i/>
          <w:sz w:val="22"/>
        </w:rPr>
        <w:t>električnih vozila</w:t>
      </w:r>
      <w:r>
        <w:rPr>
          <w:rFonts w:ascii="Calibri" w:hAnsi="Calibri"/>
          <w:sz w:val="22"/>
        </w:rPr>
        <w:t>”, standardima dobre građevinske prakse i uputama upravitelja izgradnje i voditelja provedbe projekta, kako je navedeno u članku 7. dijela I. CTE-a.</w:t>
      </w:r>
    </w:p>
    <w:p w14:paraId="089181A3"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9" w:name="_Toc530396170"/>
      <w:bookmarkStart w:id="20" w:name="_Toc530395291"/>
      <w:r>
        <w:rPr>
          <w:rFonts w:ascii="Calibri" w:hAnsi="Calibri"/>
          <w:sz w:val="22"/>
        </w:rPr>
        <w:lastRenderedPageBreak/>
        <w:t>5.2. Praćenje izvršenja radova</w:t>
      </w:r>
      <w:bookmarkEnd w:id="19"/>
      <w:bookmarkEnd w:id="20"/>
    </w:p>
    <w:p w14:paraId="5126F3A6"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Provedba</w:t>
      </w:r>
      <w:r>
        <w:rPr>
          <w:rFonts w:ascii="Calibri" w:hAnsi="Calibri"/>
          <w:color w:val="FF0000"/>
          <w:sz w:val="22"/>
        </w:rPr>
        <w:t xml:space="preserve"> </w:t>
      </w:r>
      <w:r>
        <w:rPr>
          <w:rFonts w:ascii="Calibri" w:hAnsi="Calibri"/>
          <w:sz w:val="22"/>
        </w:rPr>
        <w:t>radova prati se u skladu sa specifikacijama projekta, njegovim prilozima i izmjenama koje je odobrio upravitelj izgradnje i uputama voditelja provedbe projekta, slijedeći specifikacije Elektrotehničkih propisa za niski napon, u skladu s člankom 7. stavkom 3. dijela I. CTE-a i drugim primjenjivim propisima.</w:t>
      </w:r>
    </w:p>
    <w:p w14:paraId="5E5E124D"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Izvođenje radova provjerava se kako bi se osiguralo da se inspekcijski pregledi provode s potrebnom učestalosti, u skladu s projektnim specifikacijama.</w:t>
      </w:r>
    </w:p>
    <w:p w14:paraId="59F0FC7F"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3</w:t>
      </w:r>
      <w:r>
        <w:rPr>
          <w:rFonts w:ascii="Calibri" w:hAnsi="Calibri"/>
          <w:sz w:val="22"/>
        </w:rPr>
        <w:tab/>
        <w:t>Sve izmjene izvršene tijekom izvođenja radova bilježe se u dokumentaciji o dovršenim radovima i u svim slučajevima moraju biti ispunjeni minimalni uvjeti utvrđeni u ovom Osnovnom dokumentu.</w:t>
      </w:r>
    </w:p>
    <w:p w14:paraId="0D137CE4"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4</w:t>
      </w:r>
      <w:r>
        <w:rPr>
          <w:rFonts w:ascii="Calibri" w:hAnsi="Calibri"/>
          <w:sz w:val="22"/>
        </w:rPr>
        <w:tab/>
        <w:t>Dokumentacija koja se odnosi na značajke proizvoda, opreme i sustava ugrađenih u zgradu mora biti uključena u Knjigu o zgradi.</w:t>
      </w:r>
    </w:p>
    <w:p w14:paraId="3FAAE7C2"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1" w:name="_Toc530396171"/>
      <w:bookmarkStart w:id="22" w:name="_Toc530395292"/>
      <w:r>
        <w:rPr>
          <w:rFonts w:ascii="Calibri" w:hAnsi="Calibri"/>
          <w:sz w:val="22"/>
        </w:rPr>
        <w:t>5.3. Provjera završenih radova</w:t>
      </w:r>
      <w:bookmarkEnd w:id="21"/>
      <w:bookmarkEnd w:id="22"/>
    </w:p>
    <w:p w14:paraId="1A89C868"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Inspekcijski pregled dovršenih radova mora biti u skladu s kriterijima navedenima u članku 7. stavku 4. dijela I. CTE-a.</w:t>
      </w:r>
    </w:p>
    <w:p w14:paraId="32DA09D6"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U ovom odjeljku Osnovnog dokumenta nisu propisana završna ispitivanja.</w:t>
      </w:r>
    </w:p>
    <w:p w14:paraId="71B8183A"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3" w:name="_Toc530396172"/>
      <w:bookmarkStart w:id="24" w:name="_Toc530395293"/>
      <w:r>
        <w:rPr>
          <w:rFonts w:ascii="Calibri" w:hAnsi="Calibri"/>
          <w:sz w:val="22"/>
        </w:rPr>
        <w:t>5.4. Održavanje i popravci zgrade</w:t>
      </w:r>
      <w:bookmarkEnd w:id="23"/>
      <w:bookmarkEnd w:id="24"/>
    </w:p>
    <w:p w14:paraId="3E865FD5"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Plan održavanja uključen u Knjigu o zgradi uključuje operacije i učestalost potrebne za održavanje, tijekom vremena, parametara projektiranja i učinkovitosti </w:t>
      </w:r>
      <w:r>
        <w:rPr>
          <w:rFonts w:ascii="Calibri" w:hAnsi="Calibri"/>
          <w:i/>
          <w:sz w:val="22"/>
        </w:rPr>
        <w:t>infrastrukture za punjenje električnih vozila</w:t>
      </w:r>
      <w:r>
        <w:rPr>
          <w:rFonts w:ascii="Calibri" w:hAnsi="Calibri"/>
          <w:sz w:val="22"/>
        </w:rPr>
        <w:t>.</w:t>
      </w:r>
    </w:p>
    <w:p w14:paraId="44174479"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Isto tako, u Knjizi o zgradi dokumentirat će se sve intervencije, neovisno o tome radi li se o popravku, obnovi ili sanaciji, koje se provode tijekom cijelog vijeka trajanja zgrade.”</w:t>
      </w:r>
    </w:p>
    <w:p w14:paraId="4BAAA47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(mm) U Prilogu A brišu se pojmovi „Početno osvjetljenje” i „Refleksija”.</w:t>
      </w:r>
    </w:p>
    <w:p w14:paraId="6C74EA4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w:t>
      </w:r>
      <w:proofErr w:type="spellStart"/>
      <w:r>
        <w:rPr>
          <w:rFonts w:ascii="Calibri" w:hAnsi="Calibri"/>
          <w:sz w:val="22"/>
        </w:rPr>
        <w:t>nn</w:t>
      </w:r>
      <w:proofErr w:type="spellEnd"/>
      <w:r>
        <w:rPr>
          <w:rFonts w:ascii="Calibri" w:hAnsi="Calibri"/>
          <w:sz w:val="22"/>
        </w:rPr>
        <w:t>) U Prilogu A, u definiciji „</w:t>
      </w:r>
      <w:r>
        <w:rPr>
          <w:rFonts w:ascii="Calibri" w:hAnsi="Calibri"/>
          <w:i/>
          <w:sz w:val="22"/>
        </w:rPr>
        <w:t>Ukupnog koeficijenta prijenosa topline (putem oplate zgrade</w:t>
      </w:r>
      <w:r>
        <w:rPr>
          <w:rFonts w:ascii="Calibri" w:hAnsi="Calibri"/>
          <w:sz w:val="22"/>
        </w:rPr>
        <w:t xml:space="preserve">) (K)”, gdje glasi: “... K = X </w:t>
      </w:r>
      <w:proofErr w:type="spellStart"/>
      <w:r>
        <w:rPr>
          <w:rFonts w:ascii="Calibri" w:hAnsi="Calibri"/>
          <w:sz w:val="22"/>
        </w:rPr>
        <w:t>Hx</w:t>
      </w:r>
      <w:proofErr w:type="spellEnd"/>
      <w:r>
        <w:rPr>
          <w:rFonts w:ascii="Calibri" w:hAnsi="Calibri"/>
          <w:sz w:val="22"/>
        </w:rPr>
        <w:t>/</w:t>
      </w:r>
      <w:proofErr w:type="spellStart"/>
      <w:r>
        <w:rPr>
          <w:rFonts w:ascii="Calibri" w:hAnsi="Calibri"/>
          <w:sz w:val="22"/>
        </w:rPr>
        <w:t>int</w:t>
      </w:r>
      <w:proofErr w:type="spellEnd"/>
      <w:r>
        <w:rPr>
          <w:rFonts w:ascii="Calibri" w:hAnsi="Calibri"/>
          <w:sz w:val="22"/>
        </w:rPr>
        <w:t>...” trebalo bi glasiti „x”, „x” i „</w:t>
      </w:r>
      <w:proofErr w:type="spellStart"/>
      <w:r>
        <w:rPr>
          <w:rFonts w:ascii="Calibri" w:hAnsi="Calibri"/>
          <w:sz w:val="22"/>
        </w:rPr>
        <w:t>int</w:t>
      </w:r>
      <w:proofErr w:type="spellEnd"/>
      <w:r>
        <w:rPr>
          <w:rFonts w:ascii="Calibri" w:hAnsi="Calibri"/>
          <w:sz w:val="22"/>
        </w:rPr>
        <w:t xml:space="preserve">” kao indeks: “... K = </w:t>
      </w:r>
      <w:proofErr w:type="spellStart"/>
      <w:r>
        <w:rPr>
          <w:rFonts w:ascii="Calibri" w:hAnsi="Calibri"/>
          <w:sz w:val="22"/>
        </w:rPr>
        <w:t>Σ</w:t>
      </w:r>
      <w:r>
        <w:rPr>
          <w:rFonts w:ascii="Calibri" w:hAnsi="Calibri"/>
          <w:sz w:val="22"/>
          <w:vertAlign w:val="subscript"/>
        </w:rPr>
        <w:t>x</w:t>
      </w:r>
      <w:proofErr w:type="spellEnd"/>
      <w:r>
        <w:rPr>
          <w:rFonts w:ascii="Calibri" w:hAnsi="Calibri"/>
          <w:sz w:val="22"/>
        </w:rPr>
        <w:t xml:space="preserve"> </w:t>
      </w:r>
      <w:proofErr w:type="spellStart"/>
      <w:r>
        <w:rPr>
          <w:rFonts w:ascii="Calibri" w:hAnsi="Calibri"/>
          <w:sz w:val="22"/>
        </w:rPr>
        <w:t>H</w:t>
      </w:r>
      <w:r>
        <w:rPr>
          <w:rFonts w:ascii="Calibri" w:hAnsi="Calibri"/>
          <w:sz w:val="22"/>
          <w:vertAlign w:val="subscript"/>
        </w:rPr>
        <w:t>x</w:t>
      </w:r>
      <w:proofErr w:type="spellEnd"/>
      <w:r>
        <w:rPr>
          <w:rFonts w:ascii="Calibri" w:hAnsi="Calibri"/>
          <w:sz w:val="22"/>
        </w:rPr>
        <w:t xml:space="preserve"> / </w:t>
      </w:r>
      <w:proofErr w:type="spellStart"/>
      <w:r>
        <w:rPr>
          <w:rFonts w:ascii="Calibri" w:hAnsi="Calibri"/>
          <w:sz w:val="22"/>
        </w:rPr>
        <w:t>A</w:t>
      </w:r>
      <w:r>
        <w:rPr>
          <w:rFonts w:ascii="Calibri" w:hAnsi="Calibri"/>
          <w:sz w:val="22"/>
          <w:vertAlign w:val="subscript"/>
        </w:rPr>
        <w:t>int</w:t>
      </w:r>
      <w:proofErr w:type="spellEnd"/>
      <w:r>
        <w:rPr>
          <w:rFonts w:ascii="Calibri" w:hAnsi="Calibri"/>
          <w:sz w:val="22"/>
        </w:rPr>
        <w:t>...”, pojmovi „</w:t>
      </w:r>
      <w:proofErr w:type="spellStart"/>
      <w:r>
        <w:rPr>
          <w:rFonts w:ascii="Calibri" w:hAnsi="Calibri"/>
          <w:sz w:val="22"/>
        </w:rPr>
        <w:t>parietodinamički</w:t>
      </w:r>
      <w:proofErr w:type="spellEnd"/>
      <w:r>
        <w:rPr>
          <w:rFonts w:ascii="Calibri" w:hAnsi="Calibri"/>
          <w:sz w:val="22"/>
        </w:rPr>
        <w:t xml:space="preserve"> zidovi” i „</w:t>
      </w:r>
      <w:proofErr w:type="spellStart"/>
      <w:r>
        <w:rPr>
          <w:rFonts w:ascii="Calibri" w:hAnsi="Calibri"/>
          <w:sz w:val="22"/>
        </w:rPr>
        <w:t>Trombeovi</w:t>
      </w:r>
      <w:proofErr w:type="spellEnd"/>
      <w:r>
        <w:rPr>
          <w:rFonts w:ascii="Calibri" w:hAnsi="Calibri"/>
          <w:sz w:val="22"/>
        </w:rPr>
        <w:t xml:space="preserve"> zidovi” trebali bi biti u kurzivu.</w:t>
      </w:r>
    </w:p>
    <w:p w14:paraId="5C4DBA8E"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2CFABC1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w:t>
      </w:r>
      <w:proofErr w:type="spellStart"/>
      <w:r>
        <w:rPr>
          <w:rFonts w:ascii="Calibri" w:hAnsi="Calibri"/>
          <w:sz w:val="22"/>
        </w:rPr>
        <w:t>ññ</w:t>
      </w:r>
      <w:proofErr w:type="spellEnd"/>
      <w:r>
        <w:rPr>
          <w:rFonts w:ascii="Calibri" w:hAnsi="Calibri"/>
          <w:sz w:val="22"/>
        </w:rPr>
        <w:t>) U Prilogu A, u definiciji „kompaktnosti”, izraz „kompaktnost” u drugom stavku treba biti u kurzivu.</w:t>
      </w:r>
    </w:p>
    <w:p w14:paraId="2A0F9F45"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w:t>
      </w:r>
      <w:proofErr w:type="spellStart"/>
      <w:r>
        <w:rPr>
          <w:rFonts w:ascii="Calibri" w:hAnsi="Calibri"/>
          <w:sz w:val="22"/>
        </w:rPr>
        <w:t>oo</w:t>
      </w:r>
      <w:proofErr w:type="spellEnd"/>
      <w:r>
        <w:rPr>
          <w:rFonts w:ascii="Calibri" w:hAnsi="Calibri"/>
          <w:sz w:val="22"/>
        </w:rPr>
        <w:t>) U Prilogu A, u definiciji „operativni uvjeti”, izraz „privatna stambena namjena” treba biti u kurzivu.</w:t>
      </w:r>
    </w:p>
    <w:p w14:paraId="345DE1C6"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w:t>
      </w:r>
      <w:proofErr w:type="spellStart"/>
      <w:r>
        <w:rPr>
          <w:rFonts w:ascii="Calibri" w:hAnsi="Calibri"/>
          <w:sz w:val="22"/>
        </w:rPr>
        <w:t>pp</w:t>
      </w:r>
      <w:proofErr w:type="spellEnd"/>
      <w:r>
        <w:rPr>
          <w:rFonts w:ascii="Calibri" w:hAnsi="Calibri"/>
          <w:sz w:val="22"/>
        </w:rPr>
        <w:t xml:space="preserve">) U Prilogu A, u definiciji „potrošnja neobnovljive primarne energije”, gdje glasi: “... Potrošnja neobnovljive primarne energije...” trebalo bi glasiti „ep, </w:t>
      </w:r>
      <w:proofErr w:type="spellStart"/>
      <w:r>
        <w:rPr>
          <w:rFonts w:ascii="Calibri" w:hAnsi="Calibri"/>
          <w:sz w:val="22"/>
        </w:rPr>
        <w:t>nren</w:t>
      </w:r>
      <w:proofErr w:type="spellEnd"/>
      <w:r>
        <w:rPr>
          <w:rFonts w:ascii="Calibri" w:hAnsi="Calibri"/>
          <w:sz w:val="22"/>
        </w:rPr>
        <w:t>” u indeks: “... Potrošnja neobnovljive primarne energije (</w:t>
      </w:r>
      <w:proofErr w:type="spellStart"/>
      <w:r>
        <w:rPr>
          <w:rFonts w:ascii="Calibri" w:hAnsi="Calibri"/>
          <w:sz w:val="22"/>
        </w:rPr>
        <w:t>C</w:t>
      </w:r>
      <w:r>
        <w:rPr>
          <w:rFonts w:ascii="Calibri" w:hAnsi="Calibri"/>
          <w:sz w:val="22"/>
          <w:vertAlign w:val="subscript"/>
        </w:rPr>
        <w:t>ep,nren</w:t>
      </w:r>
      <w:proofErr w:type="spellEnd"/>
      <w:r>
        <w:rPr>
          <w:rFonts w:ascii="Calibri" w:hAnsi="Calibri"/>
          <w:sz w:val="22"/>
        </w:rPr>
        <w:t>)...”.</w:t>
      </w:r>
    </w:p>
    <w:p w14:paraId="10AB3C41"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14333C7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w:t>
      </w:r>
      <w:proofErr w:type="spellStart"/>
      <w:r>
        <w:rPr>
          <w:rFonts w:ascii="Calibri" w:hAnsi="Calibri"/>
          <w:sz w:val="22"/>
        </w:rPr>
        <w:t>qq</w:t>
      </w:r>
      <w:proofErr w:type="spellEnd"/>
      <w:r>
        <w:rPr>
          <w:rFonts w:ascii="Calibri" w:hAnsi="Calibri"/>
          <w:sz w:val="22"/>
        </w:rPr>
        <w:t>) U Prilogu A, u definiciji „Ukupna potrošnja primarne energije”, gdje glasi: “... Ukupna potrošnja primarne energije...” trebalo bi glasiti „</w:t>
      </w:r>
      <w:proofErr w:type="spellStart"/>
      <w:r>
        <w:rPr>
          <w:rFonts w:ascii="Calibri" w:hAnsi="Calibri"/>
          <w:sz w:val="22"/>
        </w:rPr>
        <w:t>ep,tot</w:t>
      </w:r>
      <w:proofErr w:type="spellEnd"/>
      <w:r>
        <w:rPr>
          <w:rFonts w:ascii="Calibri" w:hAnsi="Calibri"/>
          <w:sz w:val="22"/>
        </w:rPr>
        <w:t>” u indeks: “... Ukupna potrošnja primarne energije (</w:t>
      </w:r>
      <w:proofErr w:type="spellStart"/>
      <w:r>
        <w:rPr>
          <w:rFonts w:ascii="Calibri" w:hAnsi="Calibri"/>
          <w:sz w:val="22"/>
        </w:rPr>
        <w:t>C</w:t>
      </w:r>
      <w:r>
        <w:rPr>
          <w:rFonts w:ascii="Calibri" w:hAnsi="Calibri"/>
          <w:sz w:val="22"/>
          <w:vertAlign w:val="subscript"/>
        </w:rPr>
        <w:t>ep,tot</w:t>
      </w:r>
      <w:proofErr w:type="spellEnd"/>
      <w:r>
        <w:rPr>
          <w:rFonts w:ascii="Calibri" w:hAnsi="Calibri"/>
          <w:sz w:val="22"/>
        </w:rPr>
        <w:t>)...”.</w:t>
      </w:r>
    </w:p>
    <w:p w14:paraId="0CA46E11"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1B1F2FC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w:t>
      </w:r>
      <w:proofErr w:type="spellStart"/>
      <w:r>
        <w:rPr>
          <w:rFonts w:ascii="Calibri" w:hAnsi="Calibri"/>
          <w:sz w:val="22"/>
        </w:rPr>
        <w:t>rr</w:t>
      </w:r>
      <w:proofErr w:type="spellEnd"/>
      <w:r>
        <w:rPr>
          <w:rFonts w:ascii="Calibri" w:hAnsi="Calibri"/>
          <w:sz w:val="22"/>
        </w:rPr>
        <w:t>) U Prilogu A, u definiciji „solarne kontrole (</w:t>
      </w:r>
      <w:proofErr w:type="spellStart"/>
      <w:r>
        <w:rPr>
          <w:rFonts w:ascii="Calibri" w:hAnsi="Calibri"/>
          <w:sz w:val="22"/>
        </w:rPr>
        <w:t>q</w:t>
      </w:r>
      <w:r>
        <w:rPr>
          <w:rFonts w:ascii="Calibri" w:hAnsi="Calibri"/>
          <w:sz w:val="22"/>
          <w:vertAlign w:val="subscript"/>
        </w:rPr>
        <w:t>sol;ju</w:t>
      </w:r>
      <w:proofErr w:type="spellEnd"/>
      <w:r>
        <w:rPr>
          <w:rFonts w:ascii="Calibri" w:hAnsi="Calibri"/>
          <w:sz w:val="22"/>
        </w:rPr>
        <w:t>)”, gdje glasi: „... korisna površina prostora...” treba glasiti: „... korisna površina stambenih prostora...”. Točka i novi stavak na kraju definicije sastavnog dijela formule „</w:t>
      </w:r>
      <w:proofErr w:type="spellStart"/>
      <w:r>
        <w:rPr>
          <w:rFonts w:ascii="Calibri" w:hAnsi="Calibri"/>
          <w:sz w:val="22"/>
        </w:rPr>
        <w:t>Hsol;jul</w:t>
      </w:r>
      <w:proofErr w:type="spellEnd"/>
      <w:r>
        <w:rPr>
          <w:rFonts w:ascii="Calibri" w:hAnsi="Calibri"/>
          <w:sz w:val="22"/>
        </w:rPr>
        <w:t>” zamjenjuju se točkom sa zarezom, a definicija druge komponente formule dodaje se kako slijedi:</w:t>
      </w:r>
    </w:p>
    <w:p w14:paraId="1679E36E"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w:t>
      </w:r>
      <w:proofErr w:type="spellStart"/>
      <w:r>
        <w:rPr>
          <w:rFonts w:ascii="Calibri" w:hAnsi="Calibri"/>
          <w:sz w:val="22"/>
        </w:rPr>
        <w:t>A</w:t>
      </w:r>
      <w:r>
        <w:rPr>
          <w:rFonts w:ascii="Calibri" w:hAnsi="Calibri"/>
          <w:sz w:val="22"/>
          <w:vertAlign w:val="subscript"/>
        </w:rPr>
        <w:t>util</w:t>
      </w:r>
      <w:r>
        <w:rPr>
          <w:rFonts w:ascii="Calibri" w:hAnsi="Calibri"/>
          <w:sz w:val="22"/>
        </w:rPr>
        <w:t>područje</w:t>
      </w:r>
      <w:proofErr w:type="spellEnd"/>
      <w:r>
        <w:rPr>
          <w:rFonts w:ascii="Calibri" w:hAnsi="Calibri"/>
          <w:sz w:val="22"/>
        </w:rPr>
        <w:t xml:space="preserve"> za koje se smatra da je u skladu sa stavkom 4.6. odjeljka HE 0.”</w:t>
      </w:r>
    </w:p>
    <w:p w14:paraId="5D16B4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w:t>
      </w:r>
      <w:proofErr w:type="spellStart"/>
      <w:r>
        <w:rPr>
          <w:rFonts w:ascii="Calibri" w:hAnsi="Calibri"/>
          <w:sz w:val="22"/>
        </w:rPr>
        <w:t>ss</w:t>
      </w:r>
      <w:proofErr w:type="spellEnd"/>
      <w:r>
        <w:rPr>
          <w:rFonts w:ascii="Calibri" w:hAnsi="Calibri"/>
          <w:sz w:val="22"/>
        </w:rPr>
        <w:t xml:space="preserve">) U Prilogu A, u definiciji pojma „konačna energija”, riječi „Ona koju potrošači kupuju u obliku električne energije ili goriva koja se izravno upotrebljavaju” zamjenjuju se riječima „Ona koju se isporučuje sustavima zgrada za </w:t>
      </w:r>
      <w:r>
        <w:rPr>
          <w:rFonts w:ascii="Calibri" w:hAnsi="Calibri"/>
          <w:sz w:val="22"/>
        </w:rPr>
        <w:lastRenderedPageBreak/>
        <w:t>pružanje usluga; obično se pruža putem goriva, proizvodnje na licu mjesta ili posebnih mreža (električna energija, plin, centralizirano grijanje ili hlađenje itd.)”.</w:t>
      </w:r>
    </w:p>
    <w:p w14:paraId="4B18500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w:t>
      </w:r>
      <w:proofErr w:type="spellStart"/>
      <w:r>
        <w:rPr>
          <w:rFonts w:ascii="Calibri" w:hAnsi="Calibri"/>
          <w:sz w:val="22"/>
        </w:rPr>
        <w:t>tt</w:t>
      </w:r>
      <w:proofErr w:type="spellEnd"/>
      <w:r>
        <w:rPr>
          <w:rFonts w:ascii="Calibri" w:hAnsi="Calibri"/>
          <w:sz w:val="22"/>
        </w:rPr>
        <w:t>) U Prilogu A, u definiciji „klimatizirani stambeni prostor”, izraz „privatna stambena namjena” treba biti u kurzivu.</w:t>
      </w:r>
    </w:p>
    <w:p w14:paraId="7EC3AE4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w:t>
      </w:r>
      <w:proofErr w:type="spellStart"/>
      <w:r>
        <w:rPr>
          <w:rFonts w:ascii="Calibri" w:hAnsi="Calibri"/>
          <w:sz w:val="22"/>
        </w:rPr>
        <w:t>uu</w:t>
      </w:r>
      <w:proofErr w:type="spellEnd"/>
      <w:r>
        <w:rPr>
          <w:rFonts w:ascii="Calibri" w:hAnsi="Calibri"/>
          <w:sz w:val="22"/>
        </w:rPr>
        <w:t>) U Prilogu A, u definiciji „razdoblje uporabe”, izraz „privatna stambena namjena” u drugom podstavku trebao bi biti u kurzivu.</w:t>
      </w:r>
    </w:p>
    <w:p w14:paraId="3400E1E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w:t>
      </w:r>
      <w:proofErr w:type="spellStart"/>
      <w:r>
        <w:rPr>
          <w:rFonts w:ascii="Calibri" w:hAnsi="Calibri"/>
          <w:sz w:val="22"/>
        </w:rPr>
        <w:t>vv</w:t>
      </w:r>
      <w:proofErr w:type="spellEnd"/>
      <w:r>
        <w:rPr>
          <w:rFonts w:ascii="Calibri" w:hAnsi="Calibri"/>
          <w:sz w:val="22"/>
        </w:rPr>
        <w:t>) U Prilogu A, u definiciji pojma „Toplinski prijenos (U-vrijednost)”, na kraju definicije dodaje se sljedeća rečenica:</w:t>
      </w:r>
    </w:p>
    <w:p w14:paraId="20E76982"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„Izraženo u W/m</w:t>
      </w:r>
      <w:r>
        <w:rPr>
          <w:rFonts w:ascii="Calibri" w:hAnsi="Calibri"/>
          <w:sz w:val="22"/>
          <w:vertAlign w:val="superscript"/>
        </w:rPr>
        <w:t>2</w:t>
      </w:r>
      <w:r>
        <w:rPr>
          <w:rFonts w:ascii="Calibri" w:hAnsi="Calibri"/>
          <w:sz w:val="22"/>
        </w:rPr>
        <w:t>K.”</w:t>
      </w:r>
    </w:p>
    <w:p w14:paraId="68C76D1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w:t>
      </w:r>
      <w:proofErr w:type="spellStart"/>
      <w:r>
        <w:rPr>
          <w:rFonts w:ascii="Calibri" w:hAnsi="Calibri"/>
          <w:sz w:val="22"/>
        </w:rPr>
        <w:t>ww</w:t>
      </w:r>
      <w:proofErr w:type="spellEnd"/>
      <w:r>
        <w:rPr>
          <w:rFonts w:ascii="Calibri" w:hAnsi="Calibri"/>
          <w:sz w:val="22"/>
        </w:rPr>
        <w:t>) U Prilogu A, u definiciji „Vrijednost energetske učinkovitosti instalacije (VEEI)” izraz „privatna stambena namjena” treba biti u kurzivu.</w:t>
      </w:r>
    </w:p>
    <w:p w14:paraId="45B16639" w14:textId="77777777" w:rsidR="000760AB" w:rsidRPr="000760AB" w:rsidRDefault="000760AB" w:rsidP="000760AB">
      <w:pPr>
        <w:spacing w:after="160" w:line="259" w:lineRule="auto"/>
        <w:ind w:left="567" w:hanging="283"/>
        <w:jc w:val="both"/>
        <w:rPr>
          <w:rFonts w:ascii="Calibri" w:eastAsia="Calibri" w:hAnsi="Calibri" w:cs="Calibri"/>
          <w:sz w:val="22"/>
          <w:szCs w:val="22"/>
        </w:rPr>
      </w:pPr>
      <w:r>
        <w:rPr>
          <w:rFonts w:ascii="Calibri" w:hAnsi="Calibri"/>
          <w:sz w:val="22"/>
        </w:rPr>
        <w:t>(xx) Sljedeći pojmovi uključeni su u Prilog A „Terminologija”:</w:t>
      </w:r>
    </w:p>
    <w:p w14:paraId="41AB6223" w14:textId="77777777" w:rsidR="000760AB" w:rsidRPr="000760AB" w:rsidRDefault="000760AB" w:rsidP="00FD453F">
      <w:pPr>
        <w:spacing w:before="200" w:after="120"/>
        <w:ind w:left="284"/>
        <w:jc w:val="both"/>
        <w:rPr>
          <w:rFonts w:ascii="Calibri" w:eastAsia="Arial" w:hAnsi="Calibri" w:cs="Calibri"/>
          <w:kern w:val="2"/>
          <w:sz w:val="22"/>
        </w:rPr>
      </w:pPr>
      <w:r>
        <w:rPr>
          <w:rFonts w:ascii="Calibri" w:hAnsi="Calibri"/>
          <w:sz w:val="22"/>
        </w:rPr>
        <w:t>„</w:t>
      </w:r>
      <w:r>
        <w:rPr>
          <w:rFonts w:ascii="Calibri" w:hAnsi="Calibri"/>
          <w:b/>
          <w:i/>
          <w:sz w:val="22"/>
        </w:rPr>
        <w:t>Pomoćna oprema</w:t>
      </w:r>
      <w:r>
        <w:rPr>
          <w:rFonts w:ascii="Calibri" w:hAnsi="Calibri"/>
          <w:b/>
          <w:sz w:val="22"/>
        </w:rPr>
        <w:t xml:space="preserve">: </w:t>
      </w:r>
      <w:r>
        <w:rPr>
          <w:rFonts w:ascii="Calibri" w:hAnsi="Calibri"/>
          <w:sz w:val="22"/>
        </w:rPr>
        <w:t xml:space="preserve">električna ili elektronička oprema povezana s rasvjetom, različita za svaki tip rasvjete, čija je funkcija paljenje i kontrola radnih uvjeta. Ova pomoćna oprema, osim ako je elektronička, nastaje kombinacijom startera, </w:t>
      </w:r>
      <w:proofErr w:type="spellStart"/>
      <w:r>
        <w:rPr>
          <w:rFonts w:ascii="Calibri" w:hAnsi="Calibri"/>
          <w:sz w:val="22"/>
        </w:rPr>
        <w:t>predspojnog</w:t>
      </w:r>
      <w:proofErr w:type="spellEnd"/>
      <w:r>
        <w:rPr>
          <w:rFonts w:ascii="Calibri" w:hAnsi="Calibri"/>
          <w:sz w:val="22"/>
        </w:rPr>
        <w:t xml:space="preserve"> uređaja i kondenzatora.</w:t>
      </w:r>
    </w:p>
    <w:p w14:paraId="66E0B2DA"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w:t>
      </w:r>
      <w:r>
        <w:rPr>
          <w:rFonts w:ascii="Calibri" w:hAnsi="Calibri"/>
          <w:b/>
          <w:i/>
          <w:sz w:val="22"/>
        </w:rPr>
        <w:t>Stanica za punjenje</w:t>
      </w:r>
      <w:r>
        <w:rPr>
          <w:rFonts w:ascii="Calibri" w:hAnsi="Calibri"/>
          <w:b/>
          <w:sz w:val="22"/>
        </w:rPr>
        <w:t xml:space="preserve">: </w:t>
      </w:r>
      <w:r>
        <w:rPr>
          <w:rFonts w:ascii="Calibri" w:hAnsi="Calibri"/>
          <w:sz w:val="22"/>
        </w:rPr>
        <w:t xml:space="preserve">skup elemenata potrebnih za spajanje električnog vozila na fiksnu električnu instalaciju za punjenje. </w:t>
      </w:r>
      <w:r>
        <w:rPr>
          <w:rFonts w:ascii="Calibri" w:hAnsi="Calibri"/>
          <w:i/>
          <w:sz w:val="22"/>
        </w:rPr>
        <w:t>Stanice za punjenje</w:t>
      </w:r>
      <w:r>
        <w:rPr>
          <w:rFonts w:ascii="Calibri" w:hAnsi="Calibri"/>
          <w:sz w:val="22"/>
        </w:rPr>
        <w:t xml:space="preserve"> klasificirane su kao:</w:t>
      </w:r>
    </w:p>
    <w:p w14:paraId="553A42BD"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1.</w:t>
      </w:r>
      <w:r>
        <w:rPr>
          <w:rFonts w:ascii="Calibri" w:hAnsi="Calibri"/>
          <w:sz w:val="22"/>
        </w:rPr>
        <w:tab/>
        <w:t xml:space="preserve">Jedno mjesto za punjenje, koje se sastoji od potrebnih zaštita, jedne ili više utičnica koje nisu specifične za </w:t>
      </w:r>
      <w:r>
        <w:rPr>
          <w:rFonts w:ascii="Calibri" w:hAnsi="Calibri"/>
          <w:i/>
          <w:sz w:val="22"/>
        </w:rPr>
        <w:t>električno vozilo</w:t>
      </w:r>
      <w:r>
        <w:rPr>
          <w:rFonts w:ascii="Calibri" w:hAnsi="Calibri"/>
          <w:sz w:val="22"/>
        </w:rPr>
        <w:t xml:space="preserve"> i, ako je primjenjivo, ovojnice.</w:t>
      </w:r>
    </w:p>
    <w:p w14:paraId="371F3BEE" w14:textId="77777777" w:rsidR="000760AB" w:rsidRPr="000760AB" w:rsidRDefault="000760AB" w:rsidP="00FD453F">
      <w:pPr>
        <w:spacing w:before="200" w:after="100"/>
        <w:ind w:left="284"/>
        <w:jc w:val="both"/>
        <w:rPr>
          <w:rFonts w:ascii="Calibri" w:eastAsia="Arial" w:hAnsi="Calibri" w:cs="Calibri"/>
          <w:b/>
          <w:bCs/>
          <w:i/>
          <w:iCs/>
          <w:kern w:val="2"/>
          <w:sz w:val="22"/>
          <w:szCs w:val="22"/>
        </w:rPr>
      </w:pPr>
      <w:r>
        <w:rPr>
          <w:rFonts w:ascii="Calibri" w:hAnsi="Calibri"/>
          <w:sz w:val="22"/>
        </w:rPr>
        <w:t>2.</w:t>
      </w:r>
      <w:r>
        <w:rPr>
          <w:rFonts w:ascii="Calibri" w:hAnsi="Calibri"/>
          <w:sz w:val="22"/>
        </w:rPr>
        <w:tab/>
        <w:t xml:space="preserve">Mjesto za punjenje tipa SAVE </w:t>
      </w:r>
      <w:r>
        <w:rPr>
          <w:rFonts w:ascii="Calibri" w:hAnsi="Calibri"/>
          <w:i/>
          <w:sz w:val="22"/>
        </w:rPr>
        <w:t>(Poseban sustav napajanja električnih vozila)</w:t>
      </w:r>
      <w:r>
        <w:rPr>
          <w:rFonts w:ascii="Calibri" w:hAnsi="Calibri"/>
          <w:sz w:val="22"/>
        </w:rPr>
        <w:t>.”</w:t>
      </w:r>
    </w:p>
    <w:p w14:paraId="444AE92F"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Infrastruktura za punjenje električnih vozila</w:t>
      </w:r>
      <w:r>
        <w:rPr>
          <w:rFonts w:ascii="Calibri" w:hAnsi="Calibri"/>
          <w:b/>
          <w:sz w:val="22"/>
        </w:rPr>
        <w:t xml:space="preserve">: </w:t>
      </w:r>
      <w:r>
        <w:rPr>
          <w:rFonts w:ascii="Calibri" w:hAnsi="Calibri"/>
          <w:sz w:val="22"/>
        </w:rPr>
        <w:t xml:space="preserve">skup fizičkih i logičkih uređaja namijenjenih za punjenje električnih vozila koji ispunjavaju zahtjeve u pogledu sigurnosti i dostupnosti koji su predviđeni za svaki pojedini slučaj u Elektrotehničkom propisu za niski napon, koji mogu pružati potpunu i sveobuhvatnu uslugu punjenja. Uključuje </w:t>
      </w:r>
      <w:r>
        <w:rPr>
          <w:rFonts w:ascii="Calibri" w:hAnsi="Calibri"/>
          <w:i/>
          <w:sz w:val="22"/>
        </w:rPr>
        <w:t>stanice za punjenje</w:t>
      </w:r>
      <w:r>
        <w:rPr>
          <w:rFonts w:ascii="Calibri" w:hAnsi="Calibri"/>
          <w:sz w:val="22"/>
        </w:rPr>
        <w:t xml:space="preserve">, upravljački sustav, električne vodove, električne upravljačke i zaštitne ploče i mjernu opremu, namijenjene isključivo za punjenje </w:t>
      </w:r>
      <w:r>
        <w:rPr>
          <w:rFonts w:ascii="Calibri" w:hAnsi="Calibri"/>
          <w:i/>
          <w:sz w:val="22"/>
        </w:rPr>
        <w:t>električnih vozila</w:t>
      </w:r>
      <w:r>
        <w:rPr>
          <w:rFonts w:ascii="Calibri" w:hAnsi="Calibri"/>
          <w:sz w:val="22"/>
        </w:rPr>
        <w:t>.”</w:t>
      </w:r>
    </w:p>
    <w:p w14:paraId="08E0941B"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i/>
          <w:sz w:val="22"/>
        </w:rPr>
        <w:t>Poseban sustav napajanja električnih vozila (SAVE)</w:t>
      </w:r>
      <w:r>
        <w:rPr>
          <w:rFonts w:ascii="Calibri" w:hAnsi="Calibri"/>
          <w:b/>
          <w:sz w:val="22"/>
        </w:rPr>
        <w:t>:</w:t>
      </w:r>
      <w:r>
        <w:rPr>
          <w:rFonts w:ascii="Calibri" w:hAnsi="Calibri"/>
          <w:sz w:val="22"/>
        </w:rPr>
        <w:t xml:space="preserve"> sklop opreme sastavljen za napajanje električnom energijom za punjenje električnog vozila uključujući zaštitu stanice za punjenje, priključnog kabela (s faznim, neutralnim i zaštitnim vodičima) baze ili priključka utičnice i, ako je primjenjivo, pretvarača izmjenične i istosmjerne struje. Taj sustav, prema potrebi, omogućuje komunikaciju između </w:t>
      </w:r>
      <w:r>
        <w:rPr>
          <w:rFonts w:ascii="Calibri" w:hAnsi="Calibri"/>
          <w:i/>
          <w:sz w:val="22"/>
        </w:rPr>
        <w:t>električnog vozila</w:t>
      </w:r>
      <w:r>
        <w:rPr>
          <w:rFonts w:ascii="Calibri" w:hAnsi="Calibri"/>
          <w:sz w:val="22"/>
        </w:rPr>
        <w:t xml:space="preserve"> i fiksne instalacije.”</w:t>
      </w:r>
    </w:p>
    <w:p w14:paraId="2A9E9618" w14:textId="77777777" w:rsidR="000760AB" w:rsidRPr="000760AB" w:rsidRDefault="000760AB" w:rsidP="00FD453F">
      <w:pPr>
        <w:spacing w:before="200" w:after="100"/>
        <w:ind w:left="284"/>
        <w:jc w:val="both"/>
        <w:rPr>
          <w:rFonts w:ascii="Calibri" w:eastAsia="Arial" w:hAnsi="Calibri" w:cs="Calibri"/>
          <w:strike/>
          <w:kern w:val="2"/>
          <w:sz w:val="22"/>
          <w:szCs w:val="22"/>
        </w:rPr>
      </w:pPr>
      <w:r>
        <w:rPr>
          <w:rFonts w:ascii="Calibri" w:hAnsi="Calibri"/>
          <w:sz w:val="22"/>
        </w:rPr>
        <w:t>„</w:t>
      </w:r>
      <w:r>
        <w:rPr>
          <w:rFonts w:ascii="Calibri" w:hAnsi="Calibri"/>
          <w:b/>
          <w:i/>
          <w:sz w:val="22"/>
        </w:rPr>
        <w:t>Privatna stambena namjena</w:t>
      </w:r>
      <w:r>
        <w:rPr>
          <w:rFonts w:ascii="Calibri" w:hAnsi="Calibri"/>
          <w:sz w:val="22"/>
        </w:rPr>
        <w:t>: Zgrada ili površina namijenjena stalnom boravištu, bez obzira na vrstu zgrade: samostojeća kuća, stambena zgrada itd., i za javni i privatni razvoj.”</w:t>
      </w:r>
    </w:p>
    <w:p w14:paraId="20F0D8BC" w14:textId="77777777" w:rsidR="000760AB" w:rsidRPr="000760AB" w:rsidRDefault="000760AB" w:rsidP="00FD453F">
      <w:pPr>
        <w:spacing w:before="200" w:after="100"/>
        <w:ind w:left="284"/>
        <w:jc w:val="both"/>
        <w:rPr>
          <w:rFonts w:ascii="Calibri" w:eastAsia="Arial" w:hAnsi="Calibri" w:cs="Calibri"/>
          <w:kern w:val="2"/>
          <w:sz w:val="22"/>
        </w:rPr>
      </w:pPr>
      <w:r>
        <w:rPr>
          <w:rFonts w:ascii="Calibri" w:hAnsi="Calibri"/>
          <w:sz w:val="22"/>
        </w:rPr>
        <w:t>„</w:t>
      </w:r>
      <w:r>
        <w:rPr>
          <w:rFonts w:ascii="Calibri" w:hAnsi="Calibri"/>
          <w:b/>
          <w:i/>
          <w:sz w:val="22"/>
        </w:rPr>
        <w:t>Električno vozilo</w:t>
      </w:r>
      <w:r>
        <w:rPr>
          <w:rFonts w:ascii="Calibri" w:hAnsi="Calibri"/>
          <w:sz w:val="22"/>
        </w:rPr>
        <w:t xml:space="preserve">: motorno vozilo opremljeno pogonskom skupinom s najmanje jednim </w:t>
      </w:r>
      <w:proofErr w:type="spellStart"/>
      <w:r>
        <w:rPr>
          <w:rFonts w:ascii="Calibri" w:hAnsi="Calibri"/>
          <w:sz w:val="22"/>
        </w:rPr>
        <w:t>neperifernim</w:t>
      </w:r>
      <w:proofErr w:type="spellEnd"/>
      <w:r>
        <w:rPr>
          <w:rFonts w:ascii="Calibri" w:hAnsi="Calibri"/>
          <w:sz w:val="22"/>
        </w:rPr>
        <w:t xml:space="preserve"> električnim mehanizmom koji radi kao pretvarač energije i opremljeno sustavom za pohranu električne energije s mogućnošću ponovnog punjenja, koji se može napuniti izvana.”</w:t>
      </w:r>
    </w:p>
    <w:p w14:paraId="52B758BF"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w:t>
      </w:r>
      <w:proofErr w:type="spellStart"/>
      <w:r>
        <w:rPr>
          <w:rFonts w:ascii="Calibri" w:hAnsi="Calibri"/>
          <w:sz w:val="22"/>
        </w:rPr>
        <w:t>yy</w:t>
      </w:r>
      <w:proofErr w:type="spellEnd"/>
      <w:r>
        <w:rPr>
          <w:rFonts w:ascii="Calibri" w:hAnsi="Calibri"/>
          <w:sz w:val="22"/>
        </w:rPr>
        <w:t>) U Prilogu C, pojam „oplata” u naslovu i pojam „nestambeni prostori” u stavku 1. točki (a) moraju biti u kurzivu.</w:t>
      </w:r>
    </w:p>
    <w:p w14:paraId="5ED476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lastRenderedPageBreak/>
        <w:t>(</w:t>
      </w:r>
      <w:proofErr w:type="spellStart"/>
      <w:r>
        <w:rPr>
          <w:rFonts w:ascii="Calibri" w:hAnsi="Calibri"/>
          <w:sz w:val="22"/>
        </w:rPr>
        <w:t>zz</w:t>
      </w:r>
      <w:proofErr w:type="spellEnd"/>
      <w:r>
        <w:rPr>
          <w:rFonts w:ascii="Calibri" w:hAnsi="Calibri"/>
          <w:sz w:val="22"/>
        </w:rPr>
        <w:t xml:space="preserve">) U Prilogu D, izrazi „Radni uvjeti”, „profili uporabe” i „privatna stambena uporaba” moraju biti u kurzivu u naslovu, u stavku 2. i tablicama Tablica A-Prilog D, Tablica b-Prilog D i Tablica c-Prilog D. </w:t>
      </w:r>
    </w:p>
    <w:p w14:paraId="17E305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w:t>
      </w:r>
      <w:proofErr w:type="spellStart"/>
      <w:r>
        <w:rPr>
          <w:rFonts w:ascii="Calibri" w:hAnsi="Calibri"/>
          <w:sz w:val="22"/>
        </w:rPr>
        <w:t>aaa</w:t>
      </w:r>
      <w:proofErr w:type="spellEnd"/>
      <w:r>
        <w:rPr>
          <w:rFonts w:ascii="Calibri" w:hAnsi="Calibri"/>
          <w:sz w:val="22"/>
        </w:rPr>
        <w:t xml:space="preserve">) U Prilogu D, stavak „2. </w:t>
      </w:r>
      <w:r>
        <w:rPr>
          <w:rFonts w:ascii="Calibri" w:hAnsi="Calibri"/>
          <w:i/>
          <w:sz w:val="22"/>
        </w:rPr>
        <w:t>Radni uvjeti</w:t>
      </w:r>
      <w:r>
        <w:rPr>
          <w:rFonts w:ascii="Calibri" w:hAnsi="Calibri"/>
          <w:sz w:val="22"/>
        </w:rPr>
        <w:t xml:space="preserve"> i </w:t>
      </w:r>
      <w:r>
        <w:rPr>
          <w:rFonts w:ascii="Calibri" w:hAnsi="Calibri"/>
          <w:i/>
          <w:sz w:val="22"/>
        </w:rPr>
        <w:t>profili uporabe</w:t>
      </w:r>
      <w:r>
        <w:rPr>
          <w:rFonts w:ascii="Calibri" w:hAnsi="Calibri"/>
          <w:sz w:val="22"/>
        </w:rPr>
        <w:t xml:space="preserve">…” trebalo bi ponovno numerirati „3. </w:t>
      </w:r>
      <w:r>
        <w:rPr>
          <w:rFonts w:ascii="Calibri" w:hAnsi="Calibri"/>
          <w:i/>
          <w:sz w:val="22"/>
        </w:rPr>
        <w:t>Radni uvjeti</w:t>
      </w:r>
      <w:r>
        <w:rPr>
          <w:rFonts w:ascii="Calibri" w:hAnsi="Calibri"/>
          <w:sz w:val="22"/>
        </w:rPr>
        <w:t xml:space="preserve"> i </w:t>
      </w:r>
      <w:r>
        <w:rPr>
          <w:rFonts w:ascii="Calibri" w:hAnsi="Calibri"/>
          <w:i/>
          <w:sz w:val="22"/>
        </w:rPr>
        <w:t>profili uporabe</w:t>
      </w:r>
      <w:r>
        <w:rPr>
          <w:rFonts w:ascii="Calibri" w:hAnsi="Calibri"/>
          <w:sz w:val="22"/>
        </w:rPr>
        <w:t>…”</w:t>
      </w:r>
    </w:p>
    <w:p w14:paraId="7B66B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w:t>
      </w:r>
      <w:proofErr w:type="spellStart"/>
      <w:r>
        <w:rPr>
          <w:rFonts w:ascii="Calibri" w:hAnsi="Calibri"/>
          <w:sz w:val="22"/>
        </w:rPr>
        <w:t>bbb</w:t>
      </w:r>
      <w:proofErr w:type="spellEnd"/>
      <w:r>
        <w:rPr>
          <w:rFonts w:ascii="Calibri" w:hAnsi="Calibri"/>
          <w:sz w:val="22"/>
        </w:rPr>
        <w:t>) U Prilogu D, u podstavku 4. tekst „Priznati dokument” zamjenjuje se tekstom „Priznati dokument energetskog certifikata za zgrade”.</w:t>
      </w:r>
    </w:p>
    <w:p w14:paraId="2E3E9125"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(ccc) U Prilogu E, izraz „privatna stambena uporaba” u stavku 1. trebao bi biti u kurzivu.</w:t>
      </w:r>
    </w:p>
    <w:p w14:paraId="31530518"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w:t>
      </w:r>
      <w:proofErr w:type="spellStart"/>
      <w:r>
        <w:rPr>
          <w:rFonts w:ascii="Calibri" w:hAnsi="Calibri"/>
          <w:sz w:val="22"/>
        </w:rPr>
        <w:t>ddd</w:t>
      </w:r>
      <w:proofErr w:type="spellEnd"/>
      <w:r>
        <w:rPr>
          <w:rFonts w:ascii="Calibri" w:hAnsi="Calibri"/>
          <w:sz w:val="22"/>
        </w:rPr>
        <w:t>) U Prilogu F, izraz „privatna stambena namjena” treba biti u kurzivu i u stavku 1. i u Tablici a-Prilog F.</w:t>
      </w:r>
    </w:p>
    <w:p w14:paraId="58F73C97" w14:textId="77777777" w:rsidR="000760AB" w:rsidRPr="000760AB" w:rsidRDefault="000760AB" w:rsidP="000760AB">
      <w:pPr>
        <w:spacing w:after="160" w:line="259" w:lineRule="auto"/>
        <w:ind w:left="567" w:hanging="283"/>
        <w:jc w:val="both"/>
        <w:rPr>
          <w:rFonts w:ascii="Calibri" w:eastAsia="Arial" w:hAnsi="Calibri" w:cs="Calibri"/>
          <w:kern w:val="2"/>
          <w:sz w:val="22"/>
          <w:szCs w:val="22"/>
        </w:rPr>
      </w:pPr>
      <w:r>
        <w:rPr>
          <w:rFonts w:ascii="Calibri" w:hAnsi="Calibri"/>
          <w:sz w:val="22"/>
        </w:rPr>
        <w:t>(</w:t>
      </w:r>
      <w:proofErr w:type="spellStart"/>
      <w:r>
        <w:rPr>
          <w:rFonts w:ascii="Calibri" w:hAnsi="Calibri"/>
          <w:sz w:val="22"/>
        </w:rPr>
        <w:t>eee</w:t>
      </w:r>
      <w:proofErr w:type="spellEnd"/>
      <w:r>
        <w:rPr>
          <w:rFonts w:ascii="Calibri" w:hAnsi="Calibri"/>
          <w:sz w:val="22"/>
        </w:rPr>
        <w:t xml:space="preserve">) U Prilogu H, iza naslova stavka umeće se sljedeći tekst:  </w:t>
      </w:r>
    </w:p>
    <w:p w14:paraId="1FDC42A7"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„Određivanje </w:t>
      </w:r>
      <w:r>
        <w:rPr>
          <w:rFonts w:ascii="Calibri" w:hAnsi="Calibri"/>
          <w:i/>
          <w:sz w:val="22"/>
        </w:rPr>
        <w:t xml:space="preserve">propusnosti zraka </w:t>
      </w:r>
      <w:r>
        <w:rPr>
          <w:rFonts w:ascii="Calibri" w:hAnsi="Calibri"/>
          <w:sz w:val="22"/>
        </w:rPr>
        <w:t xml:space="preserve">kod zgrada mora se provesti jednom od sljedećih metoda.” </w:t>
      </w:r>
    </w:p>
    <w:p w14:paraId="5FF5B3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w:t>
      </w:r>
      <w:proofErr w:type="spellStart"/>
      <w:r>
        <w:rPr>
          <w:rFonts w:ascii="Calibri" w:hAnsi="Calibri"/>
          <w:sz w:val="22"/>
        </w:rPr>
        <w:t>fff</w:t>
      </w:r>
      <w:proofErr w:type="spellEnd"/>
      <w:r>
        <w:rPr>
          <w:rFonts w:ascii="Calibri" w:hAnsi="Calibri"/>
          <w:sz w:val="22"/>
        </w:rPr>
        <w:t xml:space="preserve">) U Prilogu H, tekst „Vrijednost omjera promjene zraka na 50 Pa, n50, može se dobiti ispitivanjem prema metodi B norme UNE-EN 13829:2002 Određivanje propusnosti zraka kod zgrada. Metoda regulacije tlaka pomoću ventilatora.” zamjenjuje se sljedećim: „Vrijednost </w:t>
      </w:r>
      <w:r>
        <w:rPr>
          <w:rFonts w:ascii="Calibri" w:hAnsi="Calibri"/>
          <w:i/>
          <w:sz w:val="22"/>
        </w:rPr>
        <w:t>omjera promjene zraka</w:t>
      </w:r>
      <w:r>
        <w:rPr>
          <w:rFonts w:ascii="Calibri" w:hAnsi="Calibri"/>
          <w:sz w:val="22"/>
        </w:rPr>
        <w:t xml:space="preserve"> pri 50 Pa, n</w:t>
      </w:r>
      <w:r>
        <w:rPr>
          <w:rFonts w:ascii="Calibri" w:hAnsi="Calibri"/>
          <w:sz w:val="22"/>
          <w:vertAlign w:val="subscript"/>
        </w:rPr>
        <w:t>50</w:t>
      </w:r>
      <w:r>
        <w:rPr>
          <w:rFonts w:ascii="Calibri" w:hAnsi="Calibri"/>
          <w:sz w:val="22"/>
        </w:rPr>
        <w:t xml:space="preserve"> dobiva se ispitivanjem primjenom metode 1 ili 2 norme UNE-EN ISO 9972: 2019 </w:t>
      </w:r>
      <w:r>
        <w:rPr>
          <w:rFonts w:ascii="Calibri" w:hAnsi="Calibri"/>
          <w:i/>
          <w:sz w:val="22"/>
        </w:rPr>
        <w:t>Toplinske značajke zgrada. Određivanje propusnosti zraka kod zgrada. Metoda razlike tlakova.”.</w:t>
      </w:r>
    </w:p>
    <w:p w14:paraId="6FED2289"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w:t>
      </w:r>
      <w:proofErr w:type="spellStart"/>
      <w:r>
        <w:rPr>
          <w:rFonts w:ascii="Calibri" w:hAnsi="Calibri"/>
          <w:sz w:val="22"/>
        </w:rPr>
        <w:t>ggg</w:t>
      </w:r>
      <w:proofErr w:type="spellEnd"/>
      <w:r>
        <w:rPr>
          <w:rFonts w:ascii="Calibri" w:hAnsi="Calibri"/>
          <w:sz w:val="22"/>
        </w:rPr>
        <w:t>) U Prilogu H, stavku 2., gdje glasi: „... 2. Vrijednost omjera promjene zraka na 50 Pa, n</w:t>
      </w:r>
      <w:r>
        <w:rPr>
          <w:rFonts w:ascii="Calibri" w:hAnsi="Calibri"/>
          <w:sz w:val="22"/>
          <w:vertAlign w:val="subscript"/>
        </w:rPr>
        <w:t>50</w:t>
      </w:r>
      <w:r>
        <w:rPr>
          <w:rFonts w:ascii="Calibri" w:hAnsi="Calibri"/>
          <w:sz w:val="22"/>
        </w:rPr>
        <w:t xml:space="preserve"> može se izračunati iz sljedeće jednadžbe:”, treba glasiti: „... 1. Vrijednost </w:t>
      </w:r>
      <w:r>
        <w:rPr>
          <w:rFonts w:ascii="Calibri" w:hAnsi="Calibri"/>
          <w:i/>
          <w:sz w:val="22"/>
        </w:rPr>
        <w:t>omjera promjene zraka</w:t>
      </w:r>
      <w:r>
        <w:rPr>
          <w:rFonts w:ascii="Calibri" w:hAnsi="Calibri"/>
          <w:sz w:val="22"/>
        </w:rPr>
        <w:t xml:space="preserve"> pri 50 Pa, n</w:t>
      </w:r>
      <w:r>
        <w:rPr>
          <w:rFonts w:ascii="Calibri" w:hAnsi="Calibri"/>
          <w:sz w:val="22"/>
          <w:vertAlign w:val="subscript"/>
        </w:rPr>
        <w:t>50</w:t>
      </w:r>
      <w:r>
        <w:rPr>
          <w:rFonts w:ascii="Calibri" w:hAnsi="Calibri"/>
          <w:sz w:val="22"/>
        </w:rPr>
        <w:t xml:space="preserve"> referentnim vrijednostima dobiva se iz sljedeće jednadžbe:”, gdje glasi: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 </w:t>
      </w:r>
      <w:proofErr w:type="spellStart"/>
      <w:r>
        <w:rPr>
          <w:rFonts w:ascii="Calibri" w:hAnsi="Calibri"/>
          <w:sz w:val="22"/>
        </w:rPr>
        <w:t>C</w:t>
      </w:r>
      <w:r>
        <w:rPr>
          <w:rFonts w:ascii="Calibri" w:hAnsi="Calibri"/>
          <w:sz w:val="22"/>
          <w:vertAlign w:val="subscript"/>
        </w:rPr>
        <w:t>h</w:t>
      </w:r>
      <w:proofErr w:type="spellEnd"/>
      <w:r>
        <w:rPr>
          <w:rFonts w:ascii="Calibri" w:hAnsi="Calibri"/>
          <w:sz w:val="22"/>
        </w:rPr>
        <w:t xml:space="preserve"> · A</w:t>
      </w:r>
      <w:r>
        <w:rPr>
          <w:rFonts w:ascii="Calibri" w:hAnsi="Calibri"/>
          <w:sz w:val="22"/>
          <w:vertAlign w:val="subscript"/>
        </w:rPr>
        <w:t>h</w:t>
      </w:r>
      <w:r>
        <w:rPr>
          <w:rFonts w:ascii="Calibri" w:hAnsi="Calibri"/>
          <w:sz w:val="22"/>
        </w:rPr>
        <w:t>) / V” treba glasiti: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 </w:t>
      </w:r>
      <w:proofErr w:type="spellStart"/>
      <w:r>
        <w:rPr>
          <w:rFonts w:ascii="Calibri" w:hAnsi="Calibri"/>
          <w:sz w:val="22"/>
        </w:rPr>
        <w:t>C</w:t>
      </w:r>
      <w:r>
        <w:rPr>
          <w:rFonts w:ascii="Calibri" w:hAnsi="Calibri"/>
          <w:sz w:val="22"/>
          <w:vertAlign w:val="subscript"/>
        </w:rPr>
        <w:t>h</w:t>
      </w:r>
      <w:proofErr w:type="spellEnd"/>
      <w:r>
        <w:rPr>
          <w:rFonts w:ascii="Calibri" w:hAnsi="Calibri"/>
          <w:sz w:val="22"/>
        </w:rPr>
        <w:t xml:space="preserve"> · A</w:t>
      </w:r>
      <w:r>
        <w:rPr>
          <w:rFonts w:ascii="Calibri" w:hAnsi="Calibri"/>
          <w:sz w:val="22"/>
          <w:vertAlign w:val="subscript"/>
        </w:rPr>
        <w:t>h</w:t>
      </w:r>
      <w:r>
        <w:rPr>
          <w:rFonts w:ascii="Calibri" w:hAnsi="Calibri"/>
          <w:sz w:val="22"/>
        </w:rPr>
        <w:t xml:space="preserve">) / </w:t>
      </w:r>
      <w:proofErr w:type="spellStart"/>
      <w:r>
        <w:rPr>
          <w:rFonts w:ascii="Calibri" w:hAnsi="Calibri"/>
          <w:sz w:val="22"/>
        </w:rPr>
        <w:t>V</w:t>
      </w:r>
      <w:r>
        <w:rPr>
          <w:rFonts w:ascii="Calibri" w:hAnsi="Calibri"/>
          <w:sz w:val="22"/>
          <w:vertAlign w:val="subscript"/>
        </w:rPr>
        <w:t>int</w:t>
      </w:r>
      <w:proofErr w:type="spellEnd"/>
      <w:r>
        <w:rPr>
          <w:rFonts w:ascii="Calibri" w:hAnsi="Calibri"/>
          <w:sz w:val="22"/>
        </w:rPr>
        <w:t>”, gdje glasi: „V je unutarnji volumen oplate, u [m</w:t>
      </w:r>
      <w:r>
        <w:rPr>
          <w:rFonts w:ascii="Calibri" w:hAnsi="Calibri"/>
          <w:sz w:val="22"/>
          <w:vertAlign w:val="superscript"/>
        </w:rPr>
        <w:t>3</w:t>
      </w:r>
      <w:r>
        <w:rPr>
          <w:rFonts w:ascii="Calibri" w:hAnsi="Calibri"/>
          <w:sz w:val="22"/>
        </w:rPr>
        <w:t>]” treba glasiti: „</w:t>
      </w:r>
      <w:proofErr w:type="spellStart"/>
      <w:r>
        <w:rPr>
          <w:rFonts w:ascii="Calibri" w:hAnsi="Calibri"/>
          <w:sz w:val="22"/>
        </w:rPr>
        <w:t>V</w:t>
      </w:r>
      <w:r>
        <w:rPr>
          <w:rFonts w:ascii="Calibri" w:hAnsi="Calibri"/>
          <w:sz w:val="22"/>
          <w:vertAlign w:val="subscript"/>
        </w:rPr>
        <w:t>int</w:t>
      </w:r>
      <w:proofErr w:type="spellEnd"/>
      <w:r>
        <w:rPr>
          <w:rFonts w:ascii="Calibri" w:hAnsi="Calibri"/>
          <w:sz w:val="22"/>
        </w:rPr>
        <w:t xml:space="preserve"> je unutarnji volumen zraka </w:t>
      </w:r>
      <w:r>
        <w:rPr>
          <w:rFonts w:ascii="Calibri" w:hAnsi="Calibri"/>
          <w:i/>
          <w:sz w:val="22"/>
        </w:rPr>
        <w:t>oplate</w:t>
      </w:r>
      <w:r>
        <w:rPr>
          <w:rFonts w:ascii="Calibri" w:hAnsi="Calibri"/>
          <w:sz w:val="22"/>
        </w:rPr>
        <w:t>, u [m</w:t>
      </w:r>
      <w:r>
        <w:rPr>
          <w:rFonts w:ascii="Calibri" w:hAnsi="Calibri"/>
          <w:sz w:val="22"/>
          <w:vertAlign w:val="superscript"/>
        </w:rPr>
        <w:t>3</w:t>
      </w:r>
      <w:r>
        <w:rPr>
          <w:rFonts w:ascii="Calibri" w:hAnsi="Calibri"/>
          <w:sz w:val="22"/>
        </w:rPr>
        <w:t>]”, i gdje glasi: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je površina neprozirnog dijela </w:t>
      </w:r>
      <w:r>
        <w:rPr>
          <w:rFonts w:ascii="Calibri" w:hAnsi="Calibri"/>
          <w:i/>
          <w:sz w:val="22"/>
        </w:rPr>
        <w:t>oplate</w:t>
      </w:r>
      <w:r>
        <w:rPr>
          <w:rFonts w:ascii="Calibri" w:hAnsi="Calibri"/>
          <w:sz w:val="22"/>
        </w:rPr>
        <w:t>, u [m</w:t>
      </w:r>
      <w:r>
        <w:rPr>
          <w:rFonts w:ascii="Calibri" w:hAnsi="Calibri"/>
          <w:sz w:val="22"/>
          <w:vertAlign w:val="superscript"/>
        </w:rPr>
        <w:t>2</w:t>
      </w:r>
      <w:r>
        <w:rPr>
          <w:rFonts w:ascii="Calibri" w:hAnsi="Calibri"/>
          <w:sz w:val="22"/>
        </w:rPr>
        <w:t>]” treba glasiti: „</w:t>
      </w:r>
      <w:proofErr w:type="spellStart"/>
      <w:r>
        <w:rPr>
          <w:rFonts w:ascii="Calibri" w:hAnsi="Calibri"/>
          <w:sz w:val="22"/>
        </w:rPr>
        <w:t>A</w:t>
      </w:r>
      <w:r>
        <w:rPr>
          <w:rFonts w:ascii="Calibri" w:hAnsi="Calibri"/>
          <w:sz w:val="22"/>
          <w:vertAlign w:val="subscript"/>
        </w:rPr>
        <w:t>o</w:t>
      </w:r>
      <w:proofErr w:type="spellEnd"/>
      <w:r>
        <w:rPr>
          <w:rFonts w:ascii="Calibri" w:hAnsi="Calibri"/>
          <w:sz w:val="22"/>
        </w:rPr>
        <w:t xml:space="preserve"> je površina neprozirnog dijela </w:t>
      </w:r>
      <w:r>
        <w:rPr>
          <w:rFonts w:ascii="Calibri" w:hAnsi="Calibri"/>
          <w:i/>
          <w:sz w:val="22"/>
        </w:rPr>
        <w:t>oplate</w:t>
      </w:r>
      <w:r>
        <w:rPr>
          <w:rFonts w:ascii="Calibri" w:hAnsi="Calibri"/>
          <w:sz w:val="22"/>
        </w:rPr>
        <w:t xml:space="preserve"> u dodiru s vanjskim zrakom na [m</w:t>
      </w:r>
      <w:r>
        <w:rPr>
          <w:rFonts w:ascii="Calibri" w:hAnsi="Calibri"/>
          <w:sz w:val="22"/>
          <w:vertAlign w:val="superscript"/>
        </w:rPr>
        <w:t>2</w:t>
      </w:r>
      <w:r>
        <w:rPr>
          <w:rFonts w:ascii="Calibri" w:hAnsi="Calibri"/>
          <w:sz w:val="22"/>
        </w:rPr>
        <w:t xml:space="preserve">]”. </w:t>
      </w:r>
    </w:p>
    <w:p w14:paraId="7752C220"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w:t>
      </w:r>
      <w:proofErr w:type="spellStart"/>
      <w:r>
        <w:rPr>
          <w:rFonts w:ascii="Calibri" w:hAnsi="Calibri"/>
          <w:sz w:val="22"/>
        </w:rPr>
        <w:t>hhh</w:t>
      </w:r>
      <w:proofErr w:type="spellEnd"/>
      <w:r>
        <w:rPr>
          <w:rFonts w:ascii="Calibri" w:hAnsi="Calibri"/>
          <w:sz w:val="22"/>
        </w:rPr>
        <w:t>) U Prilogu H, izrazi „oplata” i „rupe” trebali bi biti u kurzivu u opisu pojmova C</w:t>
      </w:r>
      <w:r>
        <w:rPr>
          <w:rFonts w:ascii="Calibri" w:hAnsi="Calibri"/>
          <w:sz w:val="22"/>
          <w:vertAlign w:val="subscript"/>
        </w:rPr>
        <w:t>o</w:t>
      </w:r>
      <w:r>
        <w:rPr>
          <w:rFonts w:ascii="Calibri" w:hAnsi="Calibri"/>
          <w:sz w:val="22"/>
        </w:rPr>
        <w:t xml:space="preserve">, </w:t>
      </w:r>
      <w:proofErr w:type="spellStart"/>
      <w:r>
        <w:rPr>
          <w:rFonts w:ascii="Calibri" w:hAnsi="Calibri"/>
          <w:sz w:val="22"/>
        </w:rPr>
        <w:t>C</w:t>
      </w:r>
      <w:r>
        <w:rPr>
          <w:rFonts w:ascii="Calibri" w:hAnsi="Calibri"/>
          <w:sz w:val="22"/>
          <w:vertAlign w:val="subscript"/>
        </w:rPr>
        <w:t>h</w:t>
      </w:r>
      <w:proofErr w:type="spellEnd"/>
      <w:r>
        <w:rPr>
          <w:rFonts w:ascii="Calibri" w:hAnsi="Calibri"/>
          <w:sz w:val="22"/>
        </w:rPr>
        <w:t>, A</w:t>
      </w:r>
      <w:r>
        <w:rPr>
          <w:rFonts w:ascii="Calibri" w:hAnsi="Calibri"/>
          <w:sz w:val="22"/>
          <w:vertAlign w:val="subscript"/>
        </w:rPr>
        <w:t>h</w:t>
      </w:r>
      <w:r>
        <w:rPr>
          <w:rFonts w:ascii="Calibri" w:hAnsi="Calibri"/>
          <w:sz w:val="22"/>
        </w:rPr>
        <w:t xml:space="preserve"> i u Tablici a-Prilog H.</w:t>
      </w:r>
    </w:p>
    <w:p w14:paraId="3CEE363E" w14:textId="77777777" w:rsidR="000760AB" w:rsidRPr="000760AB" w:rsidRDefault="000760AB" w:rsidP="00FD453F">
      <w:pPr>
        <w:spacing w:after="160" w:line="259" w:lineRule="auto"/>
        <w:ind w:left="13" w:hanging="13"/>
        <w:jc w:val="both"/>
        <w:rPr>
          <w:rFonts w:ascii="Calibri" w:eastAsia="Calibri" w:hAnsi="Calibri" w:cs="Calibri"/>
          <w:sz w:val="22"/>
          <w:szCs w:val="22"/>
        </w:rPr>
      </w:pPr>
      <w:r>
        <w:rPr>
          <w:rFonts w:ascii="Calibri" w:hAnsi="Calibri"/>
          <w:sz w:val="22"/>
        </w:rPr>
        <w:t>Četiri.</w:t>
      </w:r>
      <w:r>
        <w:rPr>
          <w:rFonts w:ascii="Calibri" w:hAnsi="Calibri"/>
          <w:b/>
          <w:sz w:val="22"/>
        </w:rPr>
        <w:t xml:space="preserve"> </w:t>
      </w:r>
      <w:r>
        <w:rPr>
          <w:rFonts w:ascii="Calibri" w:hAnsi="Calibri"/>
          <w:sz w:val="22"/>
        </w:rPr>
        <w:t xml:space="preserve">U Osnovni dokument DB-SUA „Sigurnost uporabe i pristupačnost” uključen u dio II. Tehničkog propisa o gradnji uvode se sljedeće izmjene: </w:t>
      </w:r>
    </w:p>
    <w:p w14:paraId="19A3C2A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U Prilogu A definicija „pristupačnog parkirnog mjesta” uključuje crticu s tekstom:</w:t>
      </w:r>
    </w:p>
    <w:p w14:paraId="3A6FBAF1"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 U slučaju da </w:t>
      </w:r>
      <w:r>
        <w:rPr>
          <w:rFonts w:ascii="Calibri" w:hAnsi="Calibri"/>
          <w:i/>
          <w:sz w:val="22"/>
        </w:rPr>
        <w:t>pristupačno parkirno mjesto</w:t>
      </w:r>
      <w:r>
        <w:rPr>
          <w:rFonts w:ascii="Calibri" w:hAnsi="Calibri"/>
          <w:sz w:val="22"/>
        </w:rPr>
        <w:t xml:space="preserve"> ima stanicu za punjenje električnih vozila, </w:t>
      </w:r>
      <w:r>
        <w:rPr>
          <w:rFonts w:ascii="Calibri" w:hAnsi="Calibri"/>
          <w:i/>
          <w:sz w:val="22"/>
        </w:rPr>
        <w:t>pristupačan itinerar</w:t>
      </w:r>
      <w:r>
        <w:rPr>
          <w:rFonts w:ascii="Calibri" w:hAnsi="Calibri"/>
          <w:sz w:val="22"/>
        </w:rPr>
        <w:t xml:space="preserve"> također uključuje tu stanicu za punjenje. Izlazi za napajanje i priključci tih stanica za punjenje </w:t>
      </w:r>
      <w:proofErr w:type="spellStart"/>
      <w:r>
        <w:rPr>
          <w:rFonts w:ascii="Calibri" w:hAnsi="Calibri"/>
          <w:sz w:val="22"/>
        </w:rPr>
        <w:t>kromatski</w:t>
      </w:r>
      <w:proofErr w:type="spellEnd"/>
      <w:r>
        <w:rPr>
          <w:rFonts w:ascii="Calibri" w:hAnsi="Calibri"/>
          <w:sz w:val="22"/>
        </w:rPr>
        <w:t xml:space="preserve"> su u suprotnosti s okolinom, postavljeni na visini između 80 i 120 cm, a udaljenost od kutova mora biti najmanje 35 cm.”</w:t>
      </w:r>
    </w:p>
    <w:p w14:paraId="6B637874"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Pet. Sljedeće izmjene uvedene su u Osnovni dokument DB-HS „Zdravlje”, koji je uključen u dio II.:</w:t>
      </w:r>
    </w:p>
    <w:p w14:paraId="6210F03A"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bookmarkStart w:id="25" w:name="_Hlk103704636"/>
      <w:r>
        <w:rPr>
          <w:rFonts w:ascii="Calibri" w:hAnsi="Calibri"/>
          <w:sz w:val="22"/>
        </w:rPr>
        <w:t>(a) U odjeljku HS 4, u podstavku 3.2.2.1. pod točkom 2. rečenica „minimalni doprinos solarne energije za proizvodnju tople vode u kućanstvu” zamjenjuje se rečenicom „minimalni doprinos obnovljive energije za pokrivanje potražnje za toplom vodom u kućanstvu”.</w:t>
      </w:r>
    </w:p>
    <w:p w14:paraId="3EDCC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(b) U odjeljku HS 4, u podstavku 6.2. točka „(e) cijevi od polivinil klorida klorirane (PVC-C) u skladu s UNE-EN ISO 15874-1:2013, UNE-EN ISO 15874-2:2013 i UNE-EN ISO 15874-3:2013;” zamjenjuje se točkom „(e) cijevi </w:t>
      </w:r>
      <w:proofErr w:type="spellStart"/>
      <w:r>
        <w:rPr>
          <w:rFonts w:ascii="Calibri" w:hAnsi="Calibri"/>
          <w:sz w:val="22"/>
        </w:rPr>
        <w:t>polikloriranih</w:t>
      </w:r>
      <w:proofErr w:type="spellEnd"/>
      <w:r>
        <w:rPr>
          <w:rFonts w:ascii="Calibri" w:hAnsi="Calibri"/>
          <w:sz w:val="22"/>
        </w:rPr>
        <w:t xml:space="preserve"> vinil klorida (PVC-C) u skladu s UNE-EN ISO 15877-1:2009 (+UNE-EN ISO 15877-1:2009/A1): 2011.), UNE-EN ISO 15877-2:2009 (+UNE-EN ISO 15877-2:2009/A1: 2011.) i UNE-EN ISO 15877-3:2009 (+UNE-EN ISO 15877-3:2009/A1: 2011.);”.</w:t>
      </w:r>
    </w:p>
    <w:p w14:paraId="36823CBB"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lastRenderedPageBreak/>
        <w:t xml:space="preserve">(c) U odjeljku HS 4, u podstavku 6.2. točka „(h) </w:t>
      </w:r>
      <w:proofErr w:type="spellStart"/>
      <w:r>
        <w:rPr>
          <w:rFonts w:ascii="Calibri" w:hAnsi="Calibri"/>
          <w:sz w:val="22"/>
        </w:rPr>
        <w:t>polibutilen</w:t>
      </w:r>
      <w:proofErr w:type="spellEnd"/>
      <w:r>
        <w:rPr>
          <w:rFonts w:ascii="Calibri" w:hAnsi="Calibri"/>
          <w:sz w:val="22"/>
        </w:rPr>
        <w:t xml:space="preserve"> cijevi (PB) u skladu s UNE-EN ISO 15876-1:2017, UNE-EN ISO 15876-2:2017 i UNE-EN ISO 15876-3:2017;” zamjenjuje se točkom „(h) </w:t>
      </w:r>
      <w:proofErr w:type="spellStart"/>
      <w:r>
        <w:rPr>
          <w:rFonts w:ascii="Calibri" w:hAnsi="Calibri"/>
          <w:sz w:val="22"/>
        </w:rPr>
        <w:t>polibutilen</w:t>
      </w:r>
      <w:proofErr w:type="spellEnd"/>
      <w:r>
        <w:rPr>
          <w:rFonts w:ascii="Calibri" w:hAnsi="Calibri"/>
          <w:sz w:val="22"/>
        </w:rPr>
        <w:t xml:space="preserve"> cijevi (PB) u skladu s UNE-EN ISO 15876-1:2017, UNE-EN ISO 15876-2:2017 i UNE-EN ISO 15876-3:2017;”.</w:t>
      </w:r>
    </w:p>
    <w:p w14:paraId="3D6093F2"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(d) U</w:t>
      </w:r>
      <w:r>
        <w:rPr>
          <w:rFonts w:ascii="Calibri" w:hAnsi="Calibri"/>
          <w:b/>
          <w:sz w:val="22"/>
        </w:rPr>
        <w:t xml:space="preserve"> </w:t>
      </w:r>
      <w:r>
        <w:rPr>
          <w:rFonts w:ascii="Calibri" w:hAnsi="Calibri"/>
          <w:sz w:val="22"/>
        </w:rPr>
        <w:t xml:space="preserve">odjeljku HS 4, Dodatku C, gdje glasi: „Plastični cijevni sustavi za instalacije s toplom i hladnom vodom. </w:t>
      </w:r>
      <w:proofErr w:type="spellStart"/>
      <w:r>
        <w:rPr>
          <w:rFonts w:ascii="Calibri" w:hAnsi="Calibri"/>
          <w:sz w:val="22"/>
        </w:rPr>
        <w:t>Polibutilen</w:t>
      </w:r>
      <w:proofErr w:type="spellEnd"/>
      <w:r>
        <w:rPr>
          <w:rFonts w:ascii="Calibri" w:hAnsi="Calibri"/>
          <w:sz w:val="22"/>
        </w:rPr>
        <w:t xml:space="preserve"> (PB). 1. dio: Općenito” treba glasiti: „Plastični cijevni sustavi za instalacije s toplom i hladnom vodom. </w:t>
      </w:r>
      <w:proofErr w:type="spellStart"/>
      <w:r>
        <w:rPr>
          <w:rFonts w:ascii="Calibri" w:hAnsi="Calibri"/>
          <w:sz w:val="22"/>
        </w:rPr>
        <w:t>Polibuten</w:t>
      </w:r>
      <w:proofErr w:type="spellEnd"/>
      <w:r>
        <w:rPr>
          <w:rFonts w:ascii="Calibri" w:hAnsi="Calibri"/>
          <w:sz w:val="22"/>
        </w:rPr>
        <w:t xml:space="preserve"> (PB). 1. dio: Općenito</w:t>
      </w:r>
    </w:p>
    <w:p w14:paraId="3D1885B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(e) U</w:t>
      </w:r>
      <w:r>
        <w:rPr>
          <w:rFonts w:ascii="Calibri" w:hAnsi="Calibri"/>
          <w:b/>
          <w:sz w:val="22"/>
        </w:rPr>
        <w:t xml:space="preserve"> </w:t>
      </w:r>
      <w:r>
        <w:rPr>
          <w:rFonts w:ascii="Calibri" w:hAnsi="Calibri"/>
          <w:sz w:val="22"/>
        </w:rPr>
        <w:t xml:space="preserve">odjeljku HS 4, Dodatku C, gdje glasi: „Plastični cijevni sustavi za instalacije s toplom i hladnom vodom. </w:t>
      </w:r>
      <w:proofErr w:type="spellStart"/>
      <w:r>
        <w:rPr>
          <w:rFonts w:ascii="Calibri" w:hAnsi="Calibri"/>
          <w:sz w:val="22"/>
        </w:rPr>
        <w:t>Polibutilen</w:t>
      </w:r>
      <w:proofErr w:type="spellEnd"/>
      <w:r>
        <w:rPr>
          <w:rFonts w:ascii="Calibri" w:hAnsi="Calibri"/>
          <w:sz w:val="22"/>
        </w:rPr>
        <w:t xml:space="preserve"> (PB). 2. dio: Cijevi” treba glasiti: „Plastični cijevni sustavi za instalacije s toplom i hladnom vodom. </w:t>
      </w:r>
      <w:proofErr w:type="spellStart"/>
      <w:r>
        <w:rPr>
          <w:rFonts w:ascii="Calibri" w:hAnsi="Calibri"/>
          <w:sz w:val="22"/>
        </w:rPr>
        <w:t>Polibuten</w:t>
      </w:r>
      <w:proofErr w:type="spellEnd"/>
      <w:r>
        <w:rPr>
          <w:rFonts w:ascii="Calibri" w:hAnsi="Calibri"/>
          <w:sz w:val="22"/>
        </w:rPr>
        <w:t xml:space="preserve"> (PB). 2. dio: Cijevi.</w:t>
      </w:r>
    </w:p>
    <w:p w14:paraId="70CF10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(f) U</w:t>
      </w:r>
      <w:r>
        <w:rPr>
          <w:rFonts w:ascii="Calibri" w:hAnsi="Calibri"/>
          <w:b/>
          <w:sz w:val="22"/>
        </w:rPr>
        <w:t xml:space="preserve"> </w:t>
      </w:r>
      <w:r>
        <w:rPr>
          <w:rFonts w:ascii="Calibri" w:hAnsi="Calibri"/>
          <w:sz w:val="22"/>
        </w:rPr>
        <w:t xml:space="preserve">odjeljku HS 4, Dodatku C, gdje glasi: „Plastični cijevni sustavi za instalacije s toplom i hladnom vodom. </w:t>
      </w:r>
      <w:proofErr w:type="spellStart"/>
      <w:r>
        <w:rPr>
          <w:rFonts w:ascii="Calibri" w:hAnsi="Calibri"/>
          <w:sz w:val="22"/>
        </w:rPr>
        <w:t>Polibutilen</w:t>
      </w:r>
      <w:proofErr w:type="spellEnd"/>
      <w:r>
        <w:rPr>
          <w:rFonts w:ascii="Calibri" w:hAnsi="Calibri"/>
          <w:sz w:val="22"/>
        </w:rPr>
        <w:t xml:space="preserve"> (PB). 3. dio: Priključci” treba glasiti: „Plastični cijevni sustavi za instalacije s toplom i hladnom vodom. </w:t>
      </w:r>
      <w:proofErr w:type="spellStart"/>
      <w:r>
        <w:rPr>
          <w:rFonts w:ascii="Calibri" w:hAnsi="Calibri"/>
          <w:sz w:val="22"/>
        </w:rPr>
        <w:t>Polibuten</w:t>
      </w:r>
      <w:proofErr w:type="spellEnd"/>
      <w:r>
        <w:rPr>
          <w:rFonts w:ascii="Calibri" w:hAnsi="Calibri"/>
          <w:sz w:val="22"/>
        </w:rPr>
        <w:t xml:space="preserve"> (PB). 3. dio: Priključci.</w:t>
      </w:r>
    </w:p>
    <w:p w14:paraId="52A9A5FD"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 U odjeljku HS 4, Dodatku C, nakon upućivanja na normu „UNE-EN ISO 15876-3: 2017</w:t>
      </w:r>
      <w:r>
        <w:rPr>
          <w:rFonts w:ascii="Calibri" w:hAnsi="Calibri"/>
          <w:sz w:val="22"/>
        </w:rPr>
        <w:tab/>
        <w:t xml:space="preserve">Plastični cijevni sustavi za instalacije s toplom i hladnom vodom. </w:t>
      </w:r>
      <w:proofErr w:type="spellStart"/>
      <w:r>
        <w:rPr>
          <w:rFonts w:ascii="Calibri" w:hAnsi="Calibri"/>
          <w:sz w:val="22"/>
        </w:rPr>
        <w:t>Polibuten</w:t>
      </w:r>
      <w:proofErr w:type="spellEnd"/>
      <w:r>
        <w:rPr>
          <w:rFonts w:ascii="Calibri" w:hAnsi="Calibri"/>
          <w:sz w:val="22"/>
        </w:rPr>
        <w:t xml:space="preserve"> (PB). 3. dio: Priključci” dodaju se sljedeće norme:</w:t>
      </w:r>
    </w:p>
    <w:p w14:paraId="5151AE28"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15877-1:2009 Plastični cijevni sustavi za instalacije s toplom i hladnom vodom. Klorirani poli (vinil klorid) (PVC-C). 1. dio: Opće odredbe (+UNE-EN ISO 15877-1:2009/A1:2011)  </w:t>
      </w:r>
    </w:p>
    <w:p w14:paraId="459306CD"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3478D13F"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15877-2:2009 Plastični cijevni sustavi za instalacije s toplom i hladnom vodom. Klorirani poli (vinil klorid) (PVC-C). 2. dio: Cijevi. (+UNE-EN ISO 15877-2:2009/A1:2011) </w:t>
      </w:r>
    </w:p>
    <w:p w14:paraId="1A003182"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147816FB" w14:textId="3B192627" w:rsid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UNE-EN ISO 15877-3:2009 Plastični cijevni sustavi za instalacije s toplom i hladnom vodom. Klorirani poli (vinil klorid) (PVC-C). 3. dio: Priključci. (+UNE-EN ISO 15877-3:2009/A1:2011)</w:t>
      </w:r>
    </w:p>
    <w:p w14:paraId="4ED97A3D" w14:textId="77777777" w:rsidR="00FD453F" w:rsidRPr="000760AB" w:rsidRDefault="00FD453F" w:rsidP="000760AB">
      <w:pPr>
        <w:spacing w:after="120" w:line="259" w:lineRule="auto"/>
        <w:ind w:left="284"/>
        <w:contextualSpacing/>
        <w:jc w:val="both"/>
        <w:rPr>
          <w:rFonts w:ascii="Calibri" w:eastAsia="Calibri" w:hAnsi="Calibri"/>
          <w:sz w:val="22"/>
          <w:szCs w:val="22"/>
          <w:lang w:eastAsia="en-US"/>
        </w:rPr>
      </w:pPr>
    </w:p>
    <w:bookmarkEnd w:id="25"/>
    <w:p w14:paraId="5E164AFD"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Prva prijelazna odredba. </w:t>
      </w:r>
      <w:r>
        <w:rPr>
          <w:rFonts w:ascii="Calibri" w:hAnsi="Calibri"/>
          <w:i/>
          <w:sz w:val="22"/>
        </w:rPr>
        <w:t>Zgrade izuzete od odredaba ove Kraljevske uredbe.</w:t>
      </w:r>
    </w:p>
    <w:p w14:paraId="1847A16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Izmjene Tehničkog propisa o gradnji (CTE) donesene ovom Kraljevskom uredbom ne primjenjuju se na nove zgrade ili radove na postojećim zgradama za koje je, u oba slučaja, već podnesen zahtjev za izdavanje općinske dozvole za radove u trenutku stupanja na snagu ove Kraljevske uredbe. </w:t>
      </w:r>
    </w:p>
    <w:p w14:paraId="0F07CFE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Takvi radovi počinju unutar maksimalnog razdoblja valjanosti navedene dozvole, u skladu s propisima koji je reguliraju ili, ako to nije moguće, u roku od šest mjeseci od izdavanja navedene dozvole. Ako nisu, projekti se moraju prilagoditi izmjenama CTE-a koje su odobrene ovom Kraljevskom uredbom.</w:t>
      </w:r>
    </w:p>
    <w:p w14:paraId="39C072F7"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Druga prijelazna odredba. </w:t>
      </w:r>
      <w:r>
        <w:rPr>
          <w:rFonts w:ascii="Calibri" w:hAnsi="Calibri"/>
          <w:i/>
          <w:sz w:val="22"/>
        </w:rPr>
        <w:t>Zgrade za koje je primjena odredaba ove Kraljevske uredbe dobrovoljna.</w:t>
      </w:r>
    </w:p>
    <w:p w14:paraId="27074C9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Izmjene Tehničkog propisa o gradnji odobrene ovom Kraljevskom uredbom dobrovoljno se primjenjuju na nove građevinske radove i na radove na postojećim zgradama za koje je u oba slučaja zatražena općinska dozvola za radove u roku od šest mjeseci od stupanja na snagu ove Kraljevske uredbe. </w:t>
      </w:r>
    </w:p>
    <w:p w14:paraId="5E12150B"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Takvi radovi počinju unutar maksimalnog razdoblja valjanosti navedene dozvole, u skladu s propisima koji je reguliraju ili, ako to nije moguće, u roku od šest mjeseci od izdavanja navedene dozvole. Ako nisu, projekti se moraju prilagoditi izmjenama CTE-a koje su odobrene ovom Kraljevskom uredbom.</w:t>
      </w:r>
    </w:p>
    <w:p w14:paraId="76BE3F2E"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Treća prijelazna odredba. </w:t>
      </w:r>
      <w:r>
        <w:rPr>
          <w:rFonts w:ascii="Calibri" w:hAnsi="Calibri"/>
          <w:i/>
          <w:sz w:val="22"/>
        </w:rPr>
        <w:t>Zgrade za koje je obvezna primjena odredaba ove Kraljevske uredbe.</w:t>
      </w:r>
    </w:p>
    <w:p w14:paraId="7B8AAF09"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Primjena izmjena Tehničkog propisa o gradnji (CTE) donesenih ovom Kraljevskom uredbom obvezna je za nove zgrade ili radove na postojećim zgradama za koje je podnesen zahtjev za izdavanje općinske dozvole za gradnju nakon devet mjeseci od stupanja na snagu ove odredbe.</w:t>
      </w:r>
    </w:p>
    <w:p w14:paraId="1269D8B2"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Prva završna odredba. </w:t>
      </w:r>
      <w:r>
        <w:rPr>
          <w:rFonts w:ascii="Calibri" w:hAnsi="Calibri"/>
          <w:i/>
          <w:sz w:val="22"/>
        </w:rPr>
        <w:t>Izmjenom Kraljevske uredbe 1053/2014 od 12. prosinca kojom se odobrava nova Dodatna tehnička uputa (ITC) BT 52 „Instalacije za posebne namjene. Infrastruktura za punjenje električnih vozila” Elektrotehničkih propisa za niski napon, odobrena Kraljevskom uredbom 842/2002 od 2. kolovoza, mijenjaju se i druge dodatne tehničke upute.</w:t>
      </w:r>
    </w:p>
    <w:p w14:paraId="01AAD1DA"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Kraljevska uredba 1053/2014 od 12. prosinca kojom se odobrava nova Dodatna tehnička uputa (ITC) BT 52 „Instalacije za posebne namjene. Infrastruktura za punjenje električnih vozila” Elektrotehničkih propisa za niski napon, odobrena Kraljevskom uredbom 842/2002 od 2. kolovoza, i druge dodatne tehničke upute mijenjaju se kako slijedi: </w:t>
      </w:r>
    </w:p>
    <w:p w14:paraId="1141399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Jedan. Prva dodatna odredba mijenja se i glasi kako slijedi:</w:t>
      </w:r>
    </w:p>
    <w:p w14:paraId="0E4C1654"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„Prva dodatna odredba. Minimalni strukturni objekti za punjenje električnih vozila na parkiralištima koja nisu namijenjena zgradama, koja su novogradnja ili predmet opsežnih obnova, te na javnim cestama.</w:t>
      </w:r>
    </w:p>
    <w:p w14:paraId="18015A47"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 xml:space="preserve">1. Na novoizgrađenim parkiralištima ili parkiralištima na kojima se provodi opsežna obnova a koja se ne nalaze u zgradi ili na nju nadovezuju, a time i izvan područja primjene Dokumenta o osnovnoj uštedi energije (DB HE) Tehničkog propisa o gradnji, mora se postaviti najmanje jedna punionica za svakih 40 parkirnih mjesta ili njihov dio. Parkiralište se smatra novogradnjom kada se projekt izgradnje podnese nadležnoj javnoj upravi na obradu nakon stupanja na snagu ove Kraljevske uredbe. </w:t>
      </w:r>
    </w:p>
    <w:p w14:paraId="06F10D65"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 xml:space="preserve">2. Moraju se zajamčiti instalacije potrebne za opskrbu stanica za punjenje smještenih u prostorima za električna vozila na javnim cestama predviđenima u </w:t>
      </w:r>
      <w:proofErr w:type="spellStart"/>
      <w:r>
        <w:rPr>
          <w:rFonts w:ascii="Calibri" w:hAnsi="Calibri"/>
          <w:sz w:val="22"/>
        </w:rPr>
        <w:t>nadopćinskim</w:t>
      </w:r>
      <w:proofErr w:type="spellEnd"/>
      <w:r>
        <w:rPr>
          <w:rFonts w:ascii="Calibri" w:hAnsi="Calibri"/>
          <w:sz w:val="22"/>
        </w:rPr>
        <w:t xml:space="preserve"> ili općinskim Planovima održive mobilnosti.”</w:t>
      </w:r>
    </w:p>
    <w:p w14:paraId="689B86A0"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Dva. Odjeljak 3.2. DODATNA TEHNIČKA UPUTA (INSTRUCCIÓN TÉCNICA COMPLEMENTARIA – ITC) BT-52 mijenja se i glasi:</w:t>
      </w:r>
    </w:p>
    <w:p w14:paraId="3188850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„3.2 Instalacija na parkiralištima ili zajedničkim parkirališnim mjestima koja graniče sa zgradama ili građevinskim kompleksima. </w:t>
      </w:r>
    </w:p>
    <w:p w14:paraId="5D648D1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Električne instalacije za punjenje </w:t>
      </w:r>
      <w:r>
        <w:rPr>
          <w:rFonts w:ascii="Calibri" w:hAnsi="Calibri"/>
          <w:color w:val="000000"/>
          <w:sz w:val="22"/>
        </w:rPr>
        <w:t>električnih vozila</w:t>
      </w:r>
      <w:r>
        <w:rPr>
          <w:rFonts w:ascii="Calibri" w:hAnsi="Calibri"/>
          <w:sz w:val="22"/>
        </w:rPr>
        <w:t xml:space="preserve"> smještene na parkiralištima ili parkiralištima unutar zgrada ili parkiralištima koja se nadovezuju na zgrade ili stambene objekte moraju slijediti bilo koji od prethodno opisanih sustava.</w:t>
      </w:r>
      <w:r>
        <w:rPr>
          <w:rFonts w:ascii="Calibri" w:hAnsi="Calibri"/>
          <w:color w:val="000000"/>
          <w:sz w:val="22"/>
        </w:rPr>
        <w:t xml:space="preserve"> </w:t>
      </w:r>
      <w:r>
        <w:rPr>
          <w:rFonts w:ascii="Calibri" w:hAnsi="Calibri"/>
          <w:sz w:val="22"/>
        </w:rPr>
        <w:t>U istoj se zgradi mogu koristiti različiti sustavi pod uvjetom da su ispunjeni svi zahtjevi utvrđeni u ovom (ITC) BT-52.</w:t>
      </w:r>
    </w:p>
    <w:p w14:paraId="7585E852"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U sustavu 4.a strujni krug za punjenje mora biti u skladu s uvjetima instalacije opisanima u (ITC) BT-15, upotrebom kabela i sustava za vođenje kabela istih vrsta i karakteristika kao i za pojedinačno priključivanje, a presjek kabela izračunava se u skladu s općim zahtjevima odjeljka 5. ovog ITC-a. Nije potrebno predvidjeti proširenje presjeka kabela kako bi se odredio promjer ili poprečne dimenzije sustava za vođenje kabela koji će se koristiti. </w:t>
      </w:r>
    </w:p>
    <w:p w14:paraId="2D2E95B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Sustav 4.b upotrebljava se kada je napajanje punionica projektirano kao sastavni dio ili produžetak električne instalacije koja služi za opće usluge garaže.</w:t>
      </w:r>
    </w:p>
    <w:p w14:paraId="6F33488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Kako u postojećim tako i u novim instalacijama, a kako bi se olakšala uporaba odabranog električnog sustava, tablice s općom zaštitom i drugim uređajima za punjenje električnih vozila mogu se nalaziti u prostorijama namijenjenima za tu svrhu ili u zajedničkim prostorima.</w:t>
      </w:r>
    </w:p>
    <w:p w14:paraId="1D7341B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 xml:space="preserve">Električna </w:t>
      </w:r>
      <w:proofErr w:type="spellStart"/>
      <w:r>
        <w:rPr>
          <w:rFonts w:ascii="Calibri" w:hAnsi="Calibri"/>
          <w:sz w:val="22"/>
        </w:rPr>
        <w:t>predinstalacija</w:t>
      </w:r>
      <w:proofErr w:type="spellEnd"/>
      <w:r>
        <w:rPr>
          <w:rFonts w:ascii="Calibri" w:hAnsi="Calibri"/>
          <w:sz w:val="22"/>
        </w:rPr>
        <w:t xml:space="preserve"> za punjenje električnih vozila na parkiralištima koja se nalaze u zgradama ili se nadovezuju na zgrade ili stambene objekte olakšava naknadnu uporabu bilo kojeg od mogućih instalacijskih sustava. To uključuje sljedeće elemente: </w:t>
      </w:r>
    </w:p>
    <w:p w14:paraId="69AC999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(a) Ugradnja sustava za vođenje kabela od centralizacije brojila i uz glavne ceste na parkiralištima kako bi se kasnije mogle napajati punionice koje se mogu nalaziti na pojedinačnim parkirnim mjestima ili parkiralištima. Ako je </w:t>
      </w:r>
      <w:proofErr w:type="spellStart"/>
      <w:r>
        <w:rPr>
          <w:rFonts w:ascii="Calibri" w:hAnsi="Calibri"/>
          <w:sz w:val="22"/>
        </w:rPr>
        <w:t>predinstalacija</w:t>
      </w:r>
      <w:proofErr w:type="spellEnd"/>
      <w:r>
        <w:rPr>
          <w:rFonts w:ascii="Calibri" w:hAnsi="Calibri"/>
          <w:sz w:val="22"/>
        </w:rPr>
        <w:t xml:space="preserve"> planirana za 100 % prostora, sustavi za vođenje kabela moraju doseći svako parkirno mjesto. Ako </w:t>
      </w:r>
      <w:proofErr w:type="spellStart"/>
      <w:r>
        <w:rPr>
          <w:rFonts w:ascii="Calibri" w:hAnsi="Calibri"/>
          <w:sz w:val="22"/>
        </w:rPr>
        <w:t>predinstalacija</w:t>
      </w:r>
      <w:proofErr w:type="spellEnd"/>
      <w:r>
        <w:rPr>
          <w:rFonts w:ascii="Calibri" w:hAnsi="Calibri"/>
          <w:sz w:val="22"/>
        </w:rPr>
        <w:t xml:space="preserve"> nije planirana za 100 % prostora, određuju se prostori za koje se razmatra sukladnost s regulatornim odredbama o sustavima za vođenje kabela i ti sustavi moraju doprijeti do svakog od tih prostora.</w:t>
      </w:r>
    </w:p>
    <w:p w14:paraId="1D8D11B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 Centralizacija brojila određuje se prema električnoj shemi odabranoj za punjenje električnog vozila i kako je navedeno u (ITC) BT-16. Pričuvni moduli moraju biti ugrađeni za najmanje 20 % garažnih prostora koji nisu povezani s stambenim prostorom, a ako su svi prostori povezani s stambenim objektima najmanje jedan pričuvni modul. Ti pričuvni moduli moraju imati kapacitet za smještaj glavnog brojila i uređaja za zaštitu od preopterećenja povezanih s mjeračem, bilo s osiguračima ili prekidačima strujnih krugova.</w:t>
      </w:r>
    </w:p>
    <w:p w14:paraId="47ED8DD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Utičnice ili priključci ugrađeni u stanicu za punjenje i njezini automatski zaštitni prekidači moraju biti u skladu s jednom od mogućnosti navedenih u odjeljku 5.4.”</w:t>
      </w:r>
    </w:p>
    <w:p w14:paraId="7F6774A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Tri. Prvi podstavak odjeljak 5.4. DODATNE TEHNIČKE UPUTE (ITC) BT-52 mijenja se i glasi:</w:t>
      </w:r>
    </w:p>
    <w:p w14:paraId="3EF40F8D"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„5.4. Mjesto priključenja. </w:t>
      </w:r>
      <w:bookmarkStart w:id="26" w:name="_Hlk81468651"/>
      <w:r>
        <w:rPr>
          <w:rFonts w:ascii="Calibri" w:hAnsi="Calibri"/>
          <w:sz w:val="22"/>
        </w:rPr>
        <w:t xml:space="preserve">Mjesto priključenja mora biti smješteno pored kvadrata za napajanje i mora biti trajno instalirano u ograđenom prostoru. </w:t>
      </w:r>
    </w:p>
    <w:bookmarkEnd w:id="26"/>
    <w:p w14:paraId="3405740F"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Minimalna visina ugradnje utičnica i priključaka je 60 cm iznad razine tla. </w:t>
      </w:r>
      <w:bookmarkStart w:id="27" w:name="_Hlk81468224"/>
      <w:r>
        <w:rPr>
          <w:rFonts w:ascii="Calibri" w:hAnsi="Calibri"/>
          <w:sz w:val="22"/>
        </w:rPr>
        <w:t xml:space="preserve">Ako je stanica za punjenje namijenjena za javnu uporabu, najveća visina iznosi 120 cm. Na pristupačnim parkirnim mjestima, utičnice i priključci moraju imati </w:t>
      </w:r>
      <w:proofErr w:type="spellStart"/>
      <w:r>
        <w:rPr>
          <w:rFonts w:ascii="Calibri" w:hAnsi="Calibri"/>
          <w:sz w:val="22"/>
        </w:rPr>
        <w:t>kromatski</w:t>
      </w:r>
      <w:proofErr w:type="spellEnd"/>
      <w:r>
        <w:rPr>
          <w:rFonts w:ascii="Calibri" w:hAnsi="Calibri"/>
          <w:sz w:val="22"/>
        </w:rPr>
        <w:t xml:space="preserve"> kontrast s okolinom, moraju biti smješteni na visini između 80 i 120 cm, a udaljenost od kutnih spojeva mora biti najmanje 35 cm.”</w:t>
      </w:r>
      <w:bookmarkEnd w:id="27"/>
    </w:p>
    <w:p w14:paraId="504223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Druga završna odredba. </w:t>
      </w:r>
      <w:r>
        <w:rPr>
          <w:rFonts w:ascii="Calibri" w:hAnsi="Calibri"/>
          <w:i/>
          <w:sz w:val="22"/>
        </w:rPr>
        <w:t>Prenošenje prava Europske unije.</w:t>
      </w:r>
    </w:p>
    <w:p w14:paraId="144ADEB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Ovom Kraljevskom uredbom u Španjolsko pravo prenose se članci 8.2., 8.4., 8.5. i 8.6. Direktive 2010/31/EU Europskog parlamenta i Vijeća o energetskim svojstvima zgrada, kako je izmijenjena Direktivom (EU) 2018/844 Europskog parlamenta i Vijeća od 30. svibnja 2018. o izmjeni Direktive 2010/31/EU</w:t>
      </w:r>
      <w:r>
        <w:t xml:space="preserve"> </w:t>
      </w:r>
      <w:bookmarkStart w:id="28" w:name="_Hlk92814279"/>
      <w:r>
        <w:rPr>
          <w:rFonts w:ascii="Calibri" w:hAnsi="Calibri"/>
          <w:sz w:val="22"/>
        </w:rPr>
        <w:t>o energetskim svojstvima zgrada</w:t>
      </w:r>
      <w:r>
        <w:t xml:space="preserve"> </w:t>
      </w:r>
      <w:bookmarkEnd w:id="28"/>
      <w:r>
        <w:rPr>
          <w:rFonts w:ascii="Calibri" w:hAnsi="Calibri"/>
          <w:sz w:val="22"/>
        </w:rPr>
        <w:t>i Direktive 2012/27/EU o energetskoj učinkovitosti.</w:t>
      </w:r>
    </w:p>
    <w:p w14:paraId="174DF2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Treća završna odredba. </w:t>
      </w:r>
      <w:r>
        <w:rPr>
          <w:rFonts w:ascii="Calibri" w:hAnsi="Calibri"/>
          <w:i/>
          <w:sz w:val="22"/>
        </w:rPr>
        <w:t>Stupanje na snagu.</w:t>
      </w:r>
    </w:p>
    <w:p w14:paraId="244EE74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Ova Kraljevska uredba stupa na snagu na dan objave u Službenom listu.</w:t>
      </w:r>
    </w:p>
    <w:p w14:paraId="020B8256" w14:textId="77777777" w:rsidR="000760AB" w:rsidRPr="000760AB" w:rsidRDefault="000760AB" w:rsidP="000760AB">
      <w:pPr>
        <w:spacing w:after="160" w:line="259" w:lineRule="auto"/>
        <w:jc w:val="both"/>
        <w:rPr>
          <w:rFonts w:ascii="Calibri" w:eastAsia="Calibri" w:hAnsi="Calibri" w:cs="Calibri"/>
          <w:sz w:val="20"/>
          <w:szCs w:val="20"/>
          <w:lang w:eastAsia="en-US"/>
        </w:rPr>
      </w:pPr>
    </w:p>
    <w:p w14:paraId="05F2435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PODNOSI SE VIJEĆU MINISTARA</w:t>
      </w:r>
    </w:p>
    <w:p w14:paraId="3A0D8D70" w14:textId="77777777" w:rsidR="001F7365" w:rsidRPr="00081F25" w:rsidRDefault="001F7365" w:rsidP="001F7365">
      <w:pPr>
        <w:autoSpaceDE w:val="0"/>
        <w:autoSpaceDN w:val="0"/>
        <w:adjustRightInd w:val="0"/>
        <w:jc w:val="center"/>
        <w:rPr>
          <w:rFonts w:asciiTheme="minorHAnsi" w:hAnsiTheme="minorHAnsi" w:cstheme="minorHAnsi"/>
          <w:sz w:val="22"/>
          <w:szCs w:val="22"/>
        </w:rPr>
      </w:pPr>
    </w:p>
    <w:p w14:paraId="34F7C3B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U Madridu dana            2022.</w:t>
      </w:r>
    </w:p>
    <w:p w14:paraId="201B84D8"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p w14:paraId="5AC40BA3"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1"/>
      </w:tblGrid>
      <w:tr w:rsidR="001F7365" w:rsidRPr="00081F25" w14:paraId="26BBB77F" w14:textId="77777777" w:rsidTr="000D4A40">
        <w:trPr>
          <w:trHeight w:val="2150"/>
        </w:trPr>
        <w:tc>
          <w:tcPr>
            <w:tcW w:w="5141" w:type="dxa"/>
            <w:tcBorders>
              <w:top w:val="nil"/>
              <w:left w:val="nil"/>
              <w:bottom w:val="nil"/>
              <w:right w:val="nil"/>
            </w:tcBorders>
            <w:shd w:val="clear" w:color="auto" w:fill="auto"/>
          </w:tcPr>
          <w:p w14:paraId="2DFF5CC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lastRenderedPageBreak/>
              <w:t>MINISTRICA PROMETA, MOBILNOSTI I PROGRAMA ZA GRADOVE</w:t>
            </w:r>
          </w:p>
          <w:p w14:paraId="38965193"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9C438BC"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7C1774F"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540B0B0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46B22890"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3BCAF82D"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roofErr w:type="spellStart"/>
            <w:r>
              <w:rPr>
                <w:rFonts w:asciiTheme="minorHAnsi" w:hAnsiTheme="minorHAnsi"/>
                <w:sz w:val="22"/>
              </w:rPr>
              <w:t>Raquel</w:t>
            </w:r>
            <w:proofErr w:type="spellEnd"/>
            <w:r>
              <w:rPr>
                <w:rFonts w:asciiTheme="minorHAnsi" w:hAnsiTheme="minorHAnsi"/>
                <w:sz w:val="22"/>
              </w:rPr>
              <w:t xml:space="preserve"> Sánchez </w:t>
            </w:r>
            <w:proofErr w:type="spellStart"/>
            <w:r>
              <w:rPr>
                <w:rFonts w:asciiTheme="minorHAnsi" w:hAnsiTheme="minorHAnsi"/>
                <w:sz w:val="22"/>
              </w:rPr>
              <w:t>Jiménez</w:t>
            </w:r>
            <w:proofErr w:type="spellEnd"/>
          </w:p>
        </w:tc>
        <w:tc>
          <w:tcPr>
            <w:tcW w:w="5141" w:type="dxa"/>
            <w:tcBorders>
              <w:top w:val="nil"/>
              <w:left w:val="nil"/>
              <w:bottom w:val="nil"/>
              <w:right w:val="nil"/>
            </w:tcBorders>
          </w:tcPr>
          <w:p w14:paraId="749FA458" w14:textId="77777777" w:rsidR="001F7365" w:rsidRPr="004A2722"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TREĆA POTPREDSJEDNICA VLADE I MINISTRICA EKOLOŠKE TRANZICIJE I DEMOGRAFSKOG IZAZOVA</w:t>
            </w:r>
          </w:p>
          <w:p w14:paraId="2B70C78B"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A3F7D7"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4D67AC80"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1D518996"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5C180639"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B3A488"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roofErr w:type="spellStart"/>
            <w:r>
              <w:rPr>
                <w:rFonts w:asciiTheme="minorHAnsi" w:hAnsiTheme="minorHAnsi"/>
                <w:sz w:val="22"/>
              </w:rPr>
              <w:t>Teresa</w:t>
            </w:r>
            <w:proofErr w:type="spellEnd"/>
            <w:r>
              <w:rPr>
                <w:rFonts w:asciiTheme="minorHAnsi" w:hAnsiTheme="minorHAnsi"/>
                <w:sz w:val="22"/>
              </w:rPr>
              <w:t xml:space="preserve"> </w:t>
            </w:r>
            <w:proofErr w:type="spellStart"/>
            <w:r>
              <w:rPr>
                <w:rFonts w:asciiTheme="minorHAnsi" w:hAnsiTheme="minorHAnsi"/>
                <w:sz w:val="22"/>
              </w:rPr>
              <w:t>Ribera</w:t>
            </w:r>
            <w:proofErr w:type="spellEnd"/>
            <w:r>
              <w:rPr>
                <w:rFonts w:asciiTheme="minorHAnsi" w:hAnsiTheme="minorHAnsi"/>
                <w:sz w:val="22"/>
              </w:rPr>
              <w:t xml:space="preserve"> Rodríguez</w:t>
            </w:r>
          </w:p>
        </w:tc>
      </w:tr>
    </w:tbl>
    <w:p w14:paraId="15FD4F1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sectPr w:rsidR="008577E8">
      <w:headerReference w:type="default" r:id="rId7"/>
      <w:footerReference w:type="even" r:id="rId8"/>
      <w:footerReference w:type="default" r:id="rId9"/>
      <w:headerReference w:type="first" r:id="rId10"/>
      <w:pgSz w:w="11906" w:h="16838" w:code="9"/>
      <w:pgMar w:top="1701" w:right="737" w:bottom="726" w:left="737"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8492" w14:textId="77777777" w:rsidR="0054077C" w:rsidRDefault="0054077C">
      <w:r>
        <w:separator/>
      </w:r>
    </w:p>
  </w:endnote>
  <w:endnote w:type="continuationSeparator" w:id="0">
    <w:p w14:paraId="7C0671A4" w14:textId="77777777" w:rsidR="0054077C" w:rsidRDefault="0054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Gill Sans MT">
    <w:altName w:val="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ADC" w14:textId="77777777"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A43C3" w14:textId="77777777" w:rsidR="00C93CCC" w:rsidRDefault="00C93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B7FA" w14:textId="7ED610BC"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417">
      <w:rPr>
        <w:rStyle w:val="PageNumber"/>
      </w:rPr>
      <w:t>2</w:t>
    </w:r>
    <w:r>
      <w:rPr>
        <w:rStyle w:val="PageNumber"/>
      </w:rPr>
      <w:fldChar w:fldCharType="end"/>
    </w:r>
  </w:p>
  <w:p w14:paraId="7719E668" w14:textId="77777777" w:rsidR="00C93CCC" w:rsidRDefault="00C93C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D27A9" w14:textId="77777777" w:rsidR="0054077C" w:rsidRDefault="0054077C">
      <w:r>
        <w:separator/>
      </w:r>
    </w:p>
  </w:footnote>
  <w:footnote w:type="continuationSeparator" w:id="0">
    <w:p w14:paraId="6C7DE798" w14:textId="77777777" w:rsidR="0054077C" w:rsidRDefault="00540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C93CCC" w14:paraId="19D5BC5E" w14:textId="77777777">
      <w:trPr>
        <w:cantSplit/>
        <w:trHeight w:val="991"/>
        <w:jc w:val="center"/>
      </w:trPr>
      <w:tc>
        <w:tcPr>
          <w:tcW w:w="1346" w:type="dxa"/>
        </w:tcPr>
        <w:p w14:paraId="7D1E4812" w14:textId="77777777" w:rsidR="00C93CCC" w:rsidRDefault="00C93CCC">
          <w:pPr>
            <w:pStyle w:val="Header"/>
            <w:tabs>
              <w:tab w:val="clear" w:pos="4252"/>
              <w:tab w:val="clear" w:pos="8504"/>
            </w:tabs>
          </w:pPr>
        </w:p>
      </w:tc>
      <w:tc>
        <w:tcPr>
          <w:tcW w:w="7726" w:type="dxa"/>
        </w:tcPr>
        <w:p w14:paraId="0DBFE409" w14:textId="77777777" w:rsidR="00C93CCC" w:rsidRDefault="00C93CCC">
          <w:pPr>
            <w:pStyle w:val="Header"/>
            <w:tabs>
              <w:tab w:val="clear" w:pos="4252"/>
              <w:tab w:val="left" w:pos="2127"/>
              <w:tab w:val="left" w:pos="6521"/>
            </w:tabs>
          </w:pPr>
        </w:p>
      </w:tc>
      <w:bookmarkStart w:id="29" w:name="_MON_1030527131"/>
      <w:bookmarkEnd w:id="29"/>
      <w:tc>
        <w:tcPr>
          <w:tcW w:w="1843" w:type="dxa"/>
        </w:tcPr>
        <w:p w14:paraId="159BECBD" w14:textId="77777777" w:rsidR="00C93CCC" w:rsidRDefault="00C93CCC">
          <w:pPr>
            <w:pStyle w:val="Header"/>
            <w:tabs>
              <w:tab w:val="clear" w:pos="4252"/>
              <w:tab w:val="left" w:pos="6521"/>
            </w:tabs>
            <w:spacing w:before="120" w:after="120"/>
            <w:jc w:val="right"/>
            <w:rPr>
              <w:rFonts w:ascii="Gill Sans MT" w:hAnsi="Gill Sans MT"/>
              <w:sz w:val="10"/>
            </w:rPr>
          </w:pPr>
          <w:r>
            <w:object w:dxaOrig="1081" w:dyaOrig="1141" w14:anchorId="41648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4.35pt" fillcolor="window">
                <v:imagedata r:id="rId1" o:title=""/>
              </v:shape>
              <o:OLEObject Type="Embed" ProgID="Word.Picture.8" ShapeID="_x0000_i1025" DrawAspect="Content" ObjectID="_1724479859" r:id="rId2"/>
            </w:object>
          </w:r>
        </w:p>
      </w:tc>
    </w:tr>
  </w:tbl>
  <w:p w14:paraId="37A83458" w14:textId="77777777" w:rsidR="00C93CCC" w:rsidRDefault="00C93CCC">
    <w:pPr>
      <w:pStyle w:val="Header"/>
    </w:pPr>
  </w:p>
  <w:p w14:paraId="4AECF7C6" w14:textId="6EDD15A4" w:rsidR="00C93CCC" w:rsidRDefault="00FD453F">
    <w:pPr>
      <w:pStyle w:val="Header"/>
    </w:pPr>
    <w:r>
      <w:rPr>
        <w:noProof/>
        <w:sz w:val="20"/>
      </w:rPr>
      <mc:AlternateContent>
        <mc:Choice Requires="wps">
          <w:drawing>
            <wp:anchor distT="0" distB="0" distL="114300" distR="114300" simplePos="0" relativeHeight="251658240" behindDoc="0" locked="0" layoutInCell="0" allowOverlap="1" wp14:anchorId="4819963E" wp14:editId="4FA1022B">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C89DAC6"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9963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IAACwEAAAOAAAAZHJzL2Uyb0RvYy54bWysU1Fv0zAQfkfiP1h+p0mrtmxR02l0FCGN&#10;gTT4AY7jNBaOz5zdJuXXc3a6rhrwgnAky5c7f3f33efVzdAZdlDoNdiSTyc5Z8pKqLXdlfzb1+2b&#10;K858ELYWBqwq+VF5frN+/WrVu0LNoAVTK2QEYn3Ru5K3Ibgiy7xsVSf8BJyy5GwAOxHIxF1Wo+gJ&#10;vTPZLM+XWQ9YOwSpvKe/d6OTrxN+0ygZPjeNV4GZklNtIe2Y9iru2Xolih0K12p5KkP8QxWd0JaS&#10;nqHuRBBsj/o3qE5LBA9NmEjoMmgaLVXqgbqZ5i+6eWyFU6kXIse7M03+/8HKh8Oj+4IsDO9goAGm&#10;Jry7B/ndMwubVtidukWEvlWipsTTSFnWO1+crkaqfeEjSNV/gpqGLPYBEtDQYBdZoT4ZodMAjmfS&#10;1RCYpJ/Lq3k+m5FLku9qSV+expKJ4um6Qx8+KOhYPJQcaaoJXhzufYjliOIpJGbzYHS91cYkA3fV&#10;xiA7CFLANq3UwYswY1lf8uvFbDEy8FeIPK0/QXQ6kJSN7qiNc5AoIm/vbZ2EFoQ245lKNvZEZORu&#10;ZDEM1UCBkdAK6iNRijBKlp4YHVrAn5z1JNeS+x97gYoz89HSWK6n83nUdzLmi7eRULz0VJceYSVB&#10;lTxwNh43YXwTe4d611KmUQgWbmmUjU4kP1d1qpskmbg/PZ+o+Us7RT0/8vUvAAAA//8DAFBLAwQU&#10;AAYACAAAACEAcwv7UOMAAAANAQAADwAAAGRycy9kb3ducmV2LnhtbEyPwU7DMBBE70j8g7VIXFBr&#10;J5S0DXEqhASCGxQEVzfeJhH2OthuGv4e9wS3Wc1o9k21maxhI/rQO5KQzQUwpMbpnloJ728PsxWw&#10;EBVpZRyhhB8MsKnPzypVanekVxy3sWWphEKpJHQxDiXnoenQqjB3A1Ly9s5bFdPpW669OqZya3gu&#10;RMGt6il96NSA9x02X9uDlbBaPI2f4fn65aMp9mYdr5bj47eX8vJiursFFnGKf2E44Sd0qBPTzh1I&#10;B2YkzLJl2hIl5PkiA3ZKiELkwHZJ3azzDHhd8f8r6l8AAAD//wMAUEsBAi0AFAAGAAgAAAAhALaD&#10;OJL+AAAA4QEAABMAAAAAAAAAAAAAAAAAAAAAAFtDb250ZW50X1R5cGVzXS54bWxQSwECLQAUAAYA&#10;CAAAACEAOP0h/9YAAACUAQAACwAAAAAAAAAAAAAAAAAvAQAAX3JlbHMvLnJlbHNQSwECLQAUAAYA&#10;CAAAACEAP/sPsRUCAAAsBAAADgAAAAAAAAAAAAAAAAAuAgAAZHJzL2Uyb0RvYy54bWxQSwECLQAU&#10;AAYACAAAACEAcwv7UOMAAAANAQAADwAAAAAAAAAAAAAAAABvBAAAZHJzL2Rvd25yZXYueG1sUEsF&#10;BgAAAAAEAAQA8wAAAH8FAAAAAA==&#10;" o:allowincell="f">
              <v:textbox>
                <w:txbxContent>
                  <w:p w14:paraId="0C89DAC6" w14:textId="77777777" w:rsidR="00C93CCC" w:rsidRDefault="00C93CCC"/>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77" w:type="dxa"/>
      <w:jc w:val="center"/>
      <w:tblLayout w:type="fixed"/>
      <w:tblCellMar>
        <w:left w:w="70" w:type="dxa"/>
        <w:right w:w="70" w:type="dxa"/>
      </w:tblCellMar>
      <w:tblLook w:val="0000" w:firstRow="0" w:lastRow="0" w:firstColumn="0" w:lastColumn="0" w:noHBand="0" w:noVBand="0"/>
    </w:tblPr>
    <w:tblGrid>
      <w:gridCol w:w="1357"/>
      <w:gridCol w:w="3728"/>
      <w:gridCol w:w="2020"/>
      <w:gridCol w:w="3772"/>
    </w:tblGrid>
    <w:tr w:rsidR="00546D77" w14:paraId="1E577442" w14:textId="77777777" w:rsidTr="00546D77">
      <w:trPr>
        <w:cantSplit/>
        <w:trHeight w:val="427"/>
        <w:jc w:val="center"/>
      </w:trPr>
      <w:tc>
        <w:tcPr>
          <w:tcW w:w="1357" w:type="dxa"/>
          <w:vMerge w:val="restart"/>
        </w:tcPr>
        <w:p w14:paraId="6CB9E49B" w14:textId="77777777" w:rsidR="00546D77" w:rsidRDefault="00546D77">
          <w:pPr>
            <w:pStyle w:val="Header"/>
            <w:tabs>
              <w:tab w:val="clear" w:pos="4252"/>
              <w:tab w:val="clear" w:pos="8504"/>
            </w:tabs>
            <w:ind w:left="-41" w:right="1318"/>
          </w:pPr>
          <w:r>
            <w:object w:dxaOrig="1081" w:dyaOrig="1141" w14:anchorId="18A5A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95pt;height:59.45pt" fillcolor="window">
                <v:imagedata r:id="rId1" o:title=""/>
              </v:shape>
              <o:OLEObject Type="Embed" ProgID="Word.Picture.8" ShapeID="_x0000_i1026" DrawAspect="Content" ObjectID="_1724479860" r:id="rId2"/>
            </w:object>
          </w:r>
        </w:p>
      </w:tc>
      <w:tc>
        <w:tcPr>
          <w:tcW w:w="3728" w:type="dxa"/>
          <w:vMerge w:val="restart"/>
        </w:tcPr>
        <w:p w14:paraId="6198FA01" w14:textId="77777777" w:rsidR="00546D77" w:rsidRPr="008D3E08" w:rsidRDefault="00546D77">
          <w:pPr>
            <w:pStyle w:val="Header"/>
            <w:tabs>
              <w:tab w:val="clear" w:pos="4252"/>
              <w:tab w:val="left" w:pos="-819"/>
              <w:tab w:val="left" w:pos="6521"/>
            </w:tabs>
            <w:ind w:right="-7"/>
            <w:rPr>
              <w:sz w:val="22"/>
              <w:szCs w:val="22"/>
            </w:rPr>
          </w:pPr>
          <w:r>
            <w:rPr>
              <w:sz w:val="22"/>
            </w:rPr>
            <w:t xml:space="preserve">MINISTARSTVO </w:t>
          </w:r>
        </w:p>
        <w:p w14:paraId="72B91BEF" w14:textId="0FE9D540" w:rsidR="00546D77" w:rsidRPr="008D3E08" w:rsidRDefault="00546D77">
          <w:pPr>
            <w:pStyle w:val="Header"/>
            <w:tabs>
              <w:tab w:val="clear" w:pos="4252"/>
              <w:tab w:val="left" w:pos="-819"/>
              <w:tab w:val="left" w:pos="6521"/>
            </w:tabs>
            <w:ind w:right="-7"/>
            <w:rPr>
              <w:sz w:val="22"/>
              <w:szCs w:val="22"/>
            </w:rPr>
          </w:pPr>
          <w:r>
            <w:rPr>
              <w:sz w:val="22"/>
            </w:rPr>
            <w:t>PROMETA, MOBILNOSTI I PROGRAMA ZA GRADOVE</w:t>
          </w:r>
        </w:p>
        <w:p w14:paraId="17DC2EEB" w14:textId="77777777" w:rsidR="008D3E08" w:rsidRPr="008D3E08" w:rsidRDefault="008D3E08">
          <w:pPr>
            <w:pStyle w:val="Header"/>
            <w:tabs>
              <w:tab w:val="clear" w:pos="4252"/>
              <w:tab w:val="left" w:pos="-819"/>
              <w:tab w:val="left" w:pos="6521"/>
            </w:tabs>
            <w:ind w:right="-7"/>
            <w:rPr>
              <w:sz w:val="22"/>
              <w:szCs w:val="22"/>
            </w:rPr>
          </w:pPr>
        </w:p>
        <w:p w14:paraId="76421220" w14:textId="2838AE55" w:rsidR="008D3E08" w:rsidRDefault="008D3E08">
          <w:pPr>
            <w:pStyle w:val="Header"/>
            <w:tabs>
              <w:tab w:val="clear" w:pos="4252"/>
              <w:tab w:val="left" w:pos="-819"/>
              <w:tab w:val="left" w:pos="6521"/>
            </w:tabs>
            <w:ind w:right="-7"/>
            <w:rPr>
              <w:rFonts w:ascii="Gill Sans MT" w:hAnsi="Gill Sans MT"/>
              <w:sz w:val="16"/>
            </w:rPr>
          </w:pPr>
          <w:r>
            <w:rPr>
              <w:sz w:val="22"/>
            </w:rPr>
            <w:t>MINISTARSTVO EKOLOŠKE TRANZICIJE I DEMOGRAFSKOG IZAZOVA</w:t>
          </w:r>
        </w:p>
      </w:tc>
      <w:tc>
        <w:tcPr>
          <w:tcW w:w="2020" w:type="dxa"/>
          <w:vMerge w:val="restart"/>
        </w:tcPr>
        <w:p w14:paraId="5FBE566D"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40676BB" w14:textId="77777777" w:rsidR="00546D77" w:rsidRDefault="00546D77">
          <w:pPr>
            <w:pStyle w:val="Header"/>
            <w:tabs>
              <w:tab w:val="clear" w:pos="4252"/>
              <w:tab w:val="left" w:pos="6521"/>
            </w:tabs>
            <w:spacing w:before="100"/>
          </w:pPr>
        </w:p>
        <w:p w14:paraId="2705A353" w14:textId="77777777" w:rsidR="00546D77" w:rsidRDefault="00546D77">
          <w:pPr>
            <w:pStyle w:val="Header"/>
            <w:tabs>
              <w:tab w:val="clear" w:pos="4252"/>
              <w:tab w:val="left" w:pos="6521"/>
            </w:tabs>
            <w:spacing w:before="100"/>
          </w:pPr>
        </w:p>
      </w:tc>
    </w:tr>
    <w:tr w:rsidR="00546D77" w14:paraId="4DD47A0F" w14:textId="77777777" w:rsidTr="00546D77">
      <w:trPr>
        <w:cantSplit/>
        <w:trHeight w:hRule="exact" w:val="100"/>
        <w:jc w:val="center"/>
      </w:trPr>
      <w:tc>
        <w:tcPr>
          <w:tcW w:w="1357" w:type="dxa"/>
          <w:vMerge/>
        </w:tcPr>
        <w:p w14:paraId="1C13B7EF" w14:textId="77777777" w:rsidR="00546D77" w:rsidRDefault="00546D77">
          <w:pPr>
            <w:pStyle w:val="Header"/>
            <w:tabs>
              <w:tab w:val="clear" w:pos="4252"/>
              <w:tab w:val="clear" w:pos="8504"/>
            </w:tabs>
            <w:ind w:left="-41" w:right="1176"/>
          </w:pPr>
        </w:p>
      </w:tc>
      <w:tc>
        <w:tcPr>
          <w:tcW w:w="3728" w:type="dxa"/>
          <w:vMerge/>
        </w:tcPr>
        <w:p w14:paraId="3B8408E4"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5355EE17" w14:textId="77777777" w:rsidR="00546D77" w:rsidRDefault="00546D77">
          <w:pPr>
            <w:pStyle w:val="Header"/>
            <w:tabs>
              <w:tab w:val="clear" w:pos="4252"/>
              <w:tab w:val="left" w:pos="-819"/>
              <w:tab w:val="left" w:pos="6521"/>
            </w:tabs>
            <w:rPr>
              <w:rFonts w:ascii="Gill Sans MT" w:hAnsi="Gill Sans MT"/>
              <w:sz w:val="16"/>
            </w:rPr>
          </w:pPr>
        </w:p>
      </w:tc>
      <w:tc>
        <w:tcPr>
          <w:tcW w:w="3772" w:type="dxa"/>
        </w:tcPr>
        <w:p w14:paraId="229BCB56" w14:textId="77777777" w:rsidR="00546D77" w:rsidRDefault="00546D77">
          <w:pPr>
            <w:pStyle w:val="Header"/>
            <w:tabs>
              <w:tab w:val="clear" w:pos="4252"/>
              <w:tab w:val="left" w:pos="6521"/>
            </w:tabs>
            <w:ind w:right="782"/>
            <w:rPr>
              <w:rFonts w:ascii="Gill Sans MT" w:hAnsi="Gill Sans MT"/>
              <w:sz w:val="14"/>
            </w:rPr>
          </w:pPr>
        </w:p>
      </w:tc>
    </w:tr>
    <w:tr w:rsidR="00546D77" w14:paraId="5B3C05C1" w14:textId="77777777" w:rsidTr="00546D77">
      <w:trPr>
        <w:cantSplit/>
        <w:trHeight w:hRule="exact" w:val="427"/>
        <w:jc w:val="center"/>
      </w:trPr>
      <w:tc>
        <w:tcPr>
          <w:tcW w:w="1357" w:type="dxa"/>
          <w:vMerge/>
        </w:tcPr>
        <w:p w14:paraId="6B5B66CA" w14:textId="77777777" w:rsidR="00546D77" w:rsidRDefault="00546D77">
          <w:pPr>
            <w:pStyle w:val="Header"/>
            <w:tabs>
              <w:tab w:val="clear" w:pos="4252"/>
              <w:tab w:val="clear" w:pos="8504"/>
            </w:tabs>
            <w:ind w:left="-41" w:right="1176"/>
          </w:pPr>
        </w:p>
      </w:tc>
      <w:tc>
        <w:tcPr>
          <w:tcW w:w="3728" w:type="dxa"/>
          <w:vMerge/>
        </w:tcPr>
        <w:p w14:paraId="2C834F51"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869AAF"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7AE9179E" w14:textId="77777777" w:rsidR="00546D77" w:rsidRDefault="00546D77">
          <w:pPr>
            <w:pStyle w:val="Header"/>
            <w:tabs>
              <w:tab w:val="clear" w:pos="4252"/>
              <w:tab w:val="left" w:pos="6521"/>
            </w:tabs>
            <w:spacing w:before="100"/>
            <w:ind w:right="782"/>
          </w:pPr>
          <w:r>
            <w:rPr>
              <w:rFonts w:ascii="Gill Sans MT" w:hAnsi="Gill Sans MT"/>
              <w:sz w:val="14"/>
            </w:rPr>
            <w:t>REF.:</w:t>
          </w:r>
        </w:p>
      </w:tc>
    </w:tr>
    <w:tr w:rsidR="00546D77" w14:paraId="245FEC80" w14:textId="77777777" w:rsidTr="00546D77">
      <w:trPr>
        <w:cantSplit/>
        <w:trHeight w:hRule="exact" w:val="600"/>
        <w:jc w:val="center"/>
      </w:trPr>
      <w:tc>
        <w:tcPr>
          <w:tcW w:w="1357" w:type="dxa"/>
          <w:vMerge/>
        </w:tcPr>
        <w:p w14:paraId="28B5929C" w14:textId="77777777" w:rsidR="00546D77" w:rsidRDefault="00546D77">
          <w:pPr>
            <w:pStyle w:val="Header"/>
            <w:tabs>
              <w:tab w:val="clear" w:pos="4252"/>
              <w:tab w:val="clear" w:pos="8504"/>
            </w:tabs>
            <w:ind w:left="-41" w:right="1176"/>
          </w:pPr>
        </w:p>
      </w:tc>
      <w:tc>
        <w:tcPr>
          <w:tcW w:w="3728" w:type="dxa"/>
          <w:vMerge/>
        </w:tcPr>
        <w:p w14:paraId="58C627D0" w14:textId="77777777" w:rsidR="00546D77" w:rsidRDefault="00546D77">
          <w:pPr>
            <w:pStyle w:val="Header"/>
            <w:tabs>
              <w:tab w:val="clear" w:pos="4252"/>
              <w:tab w:val="left" w:pos="-819"/>
              <w:tab w:val="left" w:pos="6521"/>
            </w:tabs>
            <w:rPr>
              <w:rFonts w:ascii="Gill Sans MT" w:hAnsi="Gill Sans MT"/>
              <w:sz w:val="16"/>
            </w:rPr>
          </w:pPr>
        </w:p>
      </w:tc>
      <w:tc>
        <w:tcPr>
          <w:tcW w:w="2020" w:type="dxa"/>
          <w:vMerge/>
        </w:tcPr>
        <w:p w14:paraId="44F238CB" w14:textId="77777777" w:rsidR="00546D77" w:rsidRDefault="00546D77">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1B79A29C" w14:textId="77777777" w:rsidR="00546D77" w:rsidRDefault="00546D77">
          <w:pPr>
            <w:pStyle w:val="Header"/>
            <w:tabs>
              <w:tab w:val="clear" w:pos="4252"/>
              <w:tab w:val="left" w:pos="6521"/>
            </w:tabs>
            <w:spacing w:before="100"/>
            <w:ind w:right="782"/>
          </w:pPr>
          <w:r>
            <w:rPr>
              <w:rFonts w:ascii="Gill Sans MT" w:hAnsi="Gill Sans MT"/>
              <w:sz w:val="14"/>
            </w:rPr>
            <w:t>REF.C.M.:</w:t>
          </w:r>
        </w:p>
      </w:tc>
    </w:tr>
  </w:tbl>
  <w:p w14:paraId="0F00BC53" w14:textId="5A2A6B0E" w:rsidR="00C93CCC" w:rsidRDefault="00FD453F">
    <w:pPr>
      <w:pStyle w:val="Header"/>
    </w:pPr>
    <w:r>
      <w:rPr>
        <w:noProof/>
        <w:sz w:val="20"/>
      </w:rPr>
      <mc:AlternateContent>
        <mc:Choice Requires="wps">
          <w:drawing>
            <wp:anchor distT="0" distB="0" distL="114300" distR="114300" simplePos="0" relativeHeight="251657216" behindDoc="0" locked="0" layoutInCell="0" allowOverlap="1" wp14:anchorId="25F39437" wp14:editId="6D6516D9">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930644B"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943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54GQIAADM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xcrZfpYoEujr5svtpkL7OYg+WPz411/q2AjgSjoBanGuHZ6d75UA7LH0NCNgdKVgepVDzY&#10;ptwrS04MFXCIa0L/KUxp0hd0ky2ykYG/QqRx/Qmikx6lrGRX0PUliOWBtze6ikLzTKrRxpKVnogM&#10;3I0s+qEciKwmlgOvJVRnZNbCqFz8aWi0YL9T0qNqC+q+HZkVlKh3GqezmS+XQebxsMxeBV7ttae8&#10;9jDNEaqgnpLR3PvxaxyNlU2LmUY9aLjFidYycv1U1VQ+KjOOYPpFQfrX5xj19Nd3PwAAAP//AwBQ&#10;SwMEFAAGAAgAAAAhAM9mnc3hAAAADQEAAA8AAABkcnMvZG93bnJldi54bWxMj8FOwzAQRO9I/IO1&#10;SFxQa6dUaQlxKoQEghsUBFc32SYR9jrYbhr+nu0JbjPa0duZcjM5K0YMsfekIZsrEEi1b3pqNby/&#10;PczWIGIy1BjrCTX8YIRNdX5WmqLxR3rFcZtawRCKhdHQpTQUUsa6Q2fi3A9IfNv74ExiG1rZBHNk&#10;uLNyoVQunemJP3RmwPsO66/twWlYL5/Gz/h8/fJR53t7k65W4+N30PryYrq7BZFwSn9hONXn6lBx&#10;p50/UBOF1TDLVrwlMUwpFqeEytUCxI5Vni0zkFUp/6+ofgEAAP//AwBQSwECLQAUAAYACAAAACEA&#10;toM4kv4AAADhAQAAEwAAAAAAAAAAAAAAAAAAAAAAW0NvbnRlbnRfVHlwZXNdLnhtbFBLAQItABQA&#10;BgAIAAAAIQA4/SH/1gAAAJQBAAALAAAAAAAAAAAAAAAAAC8BAABfcmVscy8ucmVsc1BLAQItABQA&#10;BgAIAAAAIQA5Xc54GQIAADMEAAAOAAAAAAAAAAAAAAAAAC4CAABkcnMvZTJvRG9jLnhtbFBLAQIt&#10;ABQABgAIAAAAIQDPZp3N4QAAAA0BAAAPAAAAAAAAAAAAAAAAAHMEAABkcnMvZG93bnJldi54bWxQ&#10;SwUGAAAAAAQABADzAAAAgQUAAAAA&#10;" o:allowincell="f">
              <v:textbox>
                <w:txbxContent>
                  <w:p w14:paraId="0930644B" w14:textId="77777777" w:rsidR="00C93CCC" w:rsidRDefault="00C93CCC"/>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29115" w:hanging="840"/>
      </w:pPr>
      <w:rPr>
        <w:rFonts w:hint="default"/>
      </w:rPr>
    </w:lvl>
    <w:lvl w:ilvl="1" w:tplc="0C0A0019" w:tentative="1">
      <w:start w:val="1"/>
      <w:numFmt w:val="lowerLetter"/>
      <w:lvlText w:val="%2."/>
      <w:lvlJc w:val="left"/>
      <w:pPr>
        <w:ind w:left="29355" w:hanging="360"/>
      </w:pPr>
    </w:lvl>
    <w:lvl w:ilvl="2" w:tplc="0C0A001B" w:tentative="1">
      <w:start w:val="1"/>
      <w:numFmt w:val="lowerRoman"/>
      <w:lvlText w:val="%3."/>
      <w:lvlJc w:val="right"/>
      <w:pPr>
        <w:ind w:left="30075" w:hanging="180"/>
      </w:pPr>
    </w:lvl>
    <w:lvl w:ilvl="3" w:tplc="0C0A000F" w:tentative="1">
      <w:start w:val="1"/>
      <w:numFmt w:val="decimal"/>
      <w:lvlText w:val="%4."/>
      <w:lvlJc w:val="left"/>
      <w:pPr>
        <w:ind w:left="30795" w:hanging="360"/>
      </w:pPr>
    </w:lvl>
    <w:lvl w:ilvl="4" w:tplc="0C0A0019" w:tentative="1">
      <w:start w:val="1"/>
      <w:numFmt w:val="lowerLetter"/>
      <w:lvlText w:val="%5."/>
      <w:lvlJc w:val="left"/>
      <w:pPr>
        <w:ind w:left="31515" w:hanging="360"/>
      </w:pPr>
    </w:lvl>
    <w:lvl w:ilvl="5" w:tplc="0C0A001B" w:tentative="1">
      <w:start w:val="1"/>
      <w:numFmt w:val="lowerRoman"/>
      <w:lvlText w:val="%6."/>
      <w:lvlJc w:val="right"/>
      <w:pPr>
        <w:ind w:left="32235" w:hanging="180"/>
      </w:pPr>
    </w:lvl>
    <w:lvl w:ilvl="6" w:tplc="0C0A000F" w:tentative="1">
      <w:start w:val="1"/>
      <w:numFmt w:val="decimal"/>
      <w:lvlText w:val="%7."/>
      <w:lvlJc w:val="left"/>
      <w:pPr>
        <w:ind w:left="-32581" w:hanging="360"/>
      </w:pPr>
    </w:lvl>
    <w:lvl w:ilvl="7" w:tplc="0C0A0019" w:tentative="1">
      <w:start w:val="1"/>
      <w:numFmt w:val="lowerLetter"/>
      <w:lvlText w:val="%8."/>
      <w:lvlJc w:val="left"/>
      <w:pPr>
        <w:ind w:left="-31861" w:hanging="360"/>
      </w:pPr>
    </w:lvl>
    <w:lvl w:ilvl="8" w:tplc="0C0A001B" w:tentative="1">
      <w:start w:val="1"/>
      <w:numFmt w:val="lowerRoman"/>
      <w:lvlText w:val="%9."/>
      <w:lvlJc w:val="right"/>
      <w:pPr>
        <w:ind w:left="-31141"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45B39"/>
    <w:multiLevelType w:val="hybridMultilevel"/>
    <w:tmpl w:val="C6BEE67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885190B"/>
    <w:multiLevelType w:val="hybridMultilevel"/>
    <w:tmpl w:val="EDF2153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253EF"/>
    <w:multiLevelType w:val="multilevel"/>
    <w:tmpl w:val="666816C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 w15:restartNumberingAfterBreak="0">
    <w:nsid w:val="19FA4502"/>
    <w:multiLevelType w:val="multilevel"/>
    <w:tmpl w:val="F062902C"/>
    <w:lvl w:ilvl="0">
      <w:start w:val="1"/>
      <w:numFmt w:val="lowerLetter"/>
      <w:lvlText w:val="%1)"/>
      <w:lvlJc w:val="left"/>
      <w:pPr>
        <w:ind w:left="644"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FBB6F6B"/>
    <w:multiLevelType w:val="hybridMultilevel"/>
    <w:tmpl w:val="68A05250"/>
    <w:lvl w:ilvl="0" w:tplc="0C0A0017">
      <w:start w:val="1"/>
      <w:numFmt w:val="lowerLetter"/>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3" w15:restartNumberingAfterBreak="0">
    <w:nsid w:val="26D74DAF"/>
    <w:multiLevelType w:val="hybridMultilevel"/>
    <w:tmpl w:val="CBD8B54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5"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F1E1148"/>
    <w:multiLevelType w:val="hybridMultilevel"/>
    <w:tmpl w:val="5922E64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F73D0"/>
    <w:multiLevelType w:val="hybridMultilevel"/>
    <w:tmpl w:val="4B264938"/>
    <w:lvl w:ilvl="0" w:tplc="0C0A0017">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B7108E"/>
    <w:multiLevelType w:val="hybridMultilevel"/>
    <w:tmpl w:val="B512019C"/>
    <w:lvl w:ilvl="0" w:tplc="9F2A7DC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54742056"/>
    <w:multiLevelType w:val="hybridMultilevel"/>
    <w:tmpl w:val="E222D0B2"/>
    <w:lvl w:ilvl="0" w:tplc="6FDEFA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5F81EE4"/>
    <w:multiLevelType w:val="hybridMultilevel"/>
    <w:tmpl w:val="C4CAF34C"/>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33" w15:restartNumberingAfterBreak="0">
    <w:nsid w:val="7BBB7816"/>
    <w:multiLevelType w:val="hybridMultilevel"/>
    <w:tmpl w:val="4EE4F85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806165444">
    <w:abstractNumId w:val="13"/>
  </w:num>
  <w:num w:numId="2" w16cid:durableId="640647079">
    <w:abstractNumId w:val="3"/>
  </w:num>
  <w:num w:numId="3" w16cid:durableId="776681883">
    <w:abstractNumId w:val="2"/>
  </w:num>
  <w:num w:numId="4" w16cid:durableId="295841785">
    <w:abstractNumId w:val="18"/>
  </w:num>
  <w:num w:numId="5" w16cid:durableId="838276280">
    <w:abstractNumId w:val="28"/>
  </w:num>
  <w:num w:numId="6" w16cid:durableId="571279413">
    <w:abstractNumId w:val="31"/>
  </w:num>
  <w:num w:numId="7" w16cid:durableId="782578975">
    <w:abstractNumId w:val="12"/>
  </w:num>
  <w:num w:numId="8" w16cid:durableId="1270163073">
    <w:abstractNumId w:val="12"/>
    <w:lvlOverride w:ilvl="0">
      <w:startOverride w:val="1"/>
    </w:lvlOverride>
  </w:num>
  <w:num w:numId="9" w16cid:durableId="158887420">
    <w:abstractNumId w:val="1"/>
  </w:num>
  <w:num w:numId="10" w16cid:durableId="1676878742">
    <w:abstractNumId w:val="29"/>
  </w:num>
  <w:num w:numId="11" w16cid:durableId="2055226268">
    <w:abstractNumId w:val="5"/>
  </w:num>
  <w:num w:numId="12" w16cid:durableId="1522432203">
    <w:abstractNumId w:val="20"/>
  </w:num>
  <w:num w:numId="13" w16cid:durableId="291982446">
    <w:abstractNumId w:val="19"/>
  </w:num>
  <w:num w:numId="14" w16cid:durableId="2104302648">
    <w:abstractNumId w:val="0"/>
  </w:num>
  <w:num w:numId="15" w16cid:durableId="594635587">
    <w:abstractNumId w:val="24"/>
  </w:num>
  <w:num w:numId="16" w16cid:durableId="649208695">
    <w:abstractNumId w:val="9"/>
  </w:num>
  <w:num w:numId="17" w16cid:durableId="1010789022">
    <w:abstractNumId w:val="11"/>
  </w:num>
  <w:num w:numId="18" w16cid:durableId="772552138">
    <w:abstractNumId w:val="14"/>
  </w:num>
  <w:num w:numId="19" w16cid:durableId="338392972">
    <w:abstractNumId w:val="16"/>
  </w:num>
  <w:num w:numId="20" w16cid:durableId="677078459">
    <w:abstractNumId w:val="22"/>
  </w:num>
  <w:num w:numId="21" w16cid:durableId="888809413">
    <w:abstractNumId w:val="15"/>
  </w:num>
  <w:num w:numId="22" w16cid:durableId="487944804">
    <w:abstractNumId w:val="10"/>
  </w:num>
  <w:num w:numId="23" w16cid:durableId="1331299523">
    <w:abstractNumId w:val="32"/>
  </w:num>
  <w:num w:numId="24" w16cid:durableId="262542336">
    <w:abstractNumId w:val="6"/>
  </w:num>
  <w:num w:numId="25" w16cid:durableId="669719516">
    <w:abstractNumId w:val="4"/>
  </w:num>
  <w:num w:numId="26" w16cid:durableId="809595804">
    <w:abstractNumId w:val="17"/>
  </w:num>
  <w:num w:numId="27" w16cid:durableId="940382160">
    <w:abstractNumId w:val="30"/>
  </w:num>
  <w:num w:numId="28" w16cid:durableId="644630731">
    <w:abstractNumId w:val="27"/>
  </w:num>
  <w:num w:numId="29" w16cid:durableId="438450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5157183">
    <w:abstractNumId w:val="26"/>
  </w:num>
  <w:num w:numId="31" w16cid:durableId="681014506">
    <w:abstractNumId w:val="33"/>
  </w:num>
  <w:num w:numId="32" w16cid:durableId="82923998">
    <w:abstractNumId w:val="8"/>
  </w:num>
  <w:num w:numId="33" w16cid:durableId="609434477">
    <w:abstractNumId w:val="7"/>
  </w:num>
  <w:num w:numId="34" w16cid:durableId="1394111462">
    <w:abstractNumId w:val="23"/>
  </w:num>
  <w:num w:numId="35" w16cid:durableId="581530033">
    <w:abstractNumId w:val="25"/>
  </w:num>
  <w:num w:numId="36" w16cid:durableId="98462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370F1"/>
    <w:rsid w:val="000760AB"/>
    <w:rsid w:val="000C089F"/>
    <w:rsid w:val="001F7365"/>
    <w:rsid w:val="002B64A6"/>
    <w:rsid w:val="004D344F"/>
    <w:rsid w:val="00513973"/>
    <w:rsid w:val="0054077C"/>
    <w:rsid w:val="00546D77"/>
    <w:rsid w:val="00717198"/>
    <w:rsid w:val="007C6042"/>
    <w:rsid w:val="008577E8"/>
    <w:rsid w:val="008D3E08"/>
    <w:rsid w:val="00991C0F"/>
    <w:rsid w:val="009B1170"/>
    <w:rsid w:val="009B305A"/>
    <w:rsid w:val="00B00277"/>
    <w:rsid w:val="00B369EC"/>
    <w:rsid w:val="00BC3417"/>
    <w:rsid w:val="00C93CCC"/>
    <w:rsid w:val="00CE0018"/>
    <w:rsid w:val="00D60A1D"/>
    <w:rsid w:val="00E379B2"/>
    <w:rsid w:val="00E605F9"/>
    <w:rsid w:val="00EA33B6"/>
    <w:rsid w:val="00EB4797"/>
    <w:rsid w:val="00F00583"/>
    <w:rsid w:val="00F34379"/>
    <w:rsid w:val="00F43C1F"/>
    <w:rsid w:val="00F96586"/>
    <w:rsid w:val="00FD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B9D97"/>
  <w15:chartTrackingRefBased/>
  <w15:docId w15:val="{D5C0325E-C9FD-4E76-A1D4-6A1D1B8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60AB"/>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0760AB"/>
    <w:pPr>
      <w:keepNext/>
      <w:spacing w:before="240" w:after="60"/>
      <w:outlineLvl w:val="1"/>
    </w:pPr>
    <w:rPr>
      <w:rFonts w:ascii="Calibri Light" w:hAnsi="Calibri Light"/>
      <w:color w:val="2E74B5"/>
      <w:sz w:val="26"/>
      <w:szCs w:val="26"/>
    </w:rPr>
  </w:style>
  <w:style w:type="paragraph" w:styleId="Heading4">
    <w:name w:val="heading 4"/>
    <w:basedOn w:val="Normal"/>
    <w:next w:val="Normal"/>
    <w:link w:val="Heading4Char"/>
    <w:uiPriority w:val="9"/>
    <w:unhideWhenUsed/>
    <w:qFormat/>
    <w:rsid w:val="000760AB"/>
    <w:pPr>
      <w:keepNext/>
      <w:suppressAutoHyphens/>
      <w:spacing w:before="240" w:after="60"/>
      <w:outlineLvl w:val="3"/>
    </w:pPr>
    <w:rPr>
      <w:rFonts w:ascii="Calibri" w:hAnsi="Calibr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lockText">
    <w:name w:val="Block Text"/>
    <w:basedOn w:val="Normal"/>
    <w:pPr>
      <w:ind w:left="540" w:right="892"/>
      <w:jc w:val="both"/>
    </w:pPr>
    <w:rPr>
      <w:rFonts w:ascii="Arial" w:hAnsi="Arial"/>
      <w:sz w:val="28"/>
    </w:rPr>
  </w:style>
  <w:style w:type="paragraph" w:styleId="FootnoteText">
    <w:name w:val="footnote text"/>
    <w:basedOn w:val="Normal"/>
    <w:link w:val="FootnoteTextChar"/>
    <w:rsid w:val="008577E8"/>
    <w:rPr>
      <w:sz w:val="20"/>
      <w:szCs w:val="20"/>
    </w:rPr>
  </w:style>
  <w:style w:type="character" w:customStyle="1" w:styleId="FootnoteTextChar">
    <w:name w:val="Footnote Text Char"/>
    <w:link w:val="FootnoteText"/>
    <w:rsid w:val="008577E8"/>
    <w:rPr>
      <w:lang w:val="hr-HR" w:eastAsia="es-ES" w:bidi="ar-SA"/>
    </w:rPr>
  </w:style>
  <w:style w:type="paragraph" w:customStyle="1" w:styleId="Ttulo11">
    <w:name w:val="Título 11"/>
    <w:basedOn w:val="Normal"/>
    <w:next w:val="Normal"/>
    <w:uiPriority w:val="9"/>
    <w:qFormat/>
    <w:rsid w:val="000760AB"/>
    <w:pPr>
      <w:keepNext/>
      <w:keepLines/>
      <w:spacing w:before="240" w:line="259" w:lineRule="auto"/>
      <w:outlineLvl w:val="0"/>
    </w:pPr>
    <w:rPr>
      <w:rFonts w:ascii="Calibri Light" w:hAnsi="Calibri Light"/>
      <w:color w:val="2E74B5"/>
      <w:sz w:val="32"/>
      <w:szCs w:val="32"/>
      <w:lang w:eastAsia="en-US"/>
    </w:rPr>
  </w:style>
  <w:style w:type="paragraph" w:customStyle="1" w:styleId="Ttulo21">
    <w:name w:val="Título 21"/>
    <w:basedOn w:val="Normal"/>
    <w:next w:val="Normal"/>
    <w:uiPriority w:val="9"/>
    <w:semiHidden/>
    <w:unhideWhenUsed/>
    <w:qFormat/>
    <w:rsid w:val="000760AB"/>
    <w:pPr>
      <w:keepNext/>
      <w:keepLines/>
      <w:spacing w:before="40" w:line="259" w:lineRule="auto"/>
      <w:outlineLvl w:val="1"/>
    </w:pPr>
    <w:rPr>
      <w:rFonts w:ascii="Calibri Light" w:hAnsi="Calibri Light"/>
      <w:color w:val="2E74B5"/>
      <w:sz w:val="26"/>
      <w:szCs w:val="26"/>
      <w:lang w:eastAsia="en-US"/>
    </w:rPr>
  </w:style>
  <w:style w:type="character" w:customStyle="1" w:styleId="Heading4Char">
    <w:name w:val="Heading 4 Char"/>
    <w:basedOn w:val="DefaultParagraphFont"/>
    <w:link w:val="Heading4"/>
    <w:uiPriority w:val="9"/>
    <w:rsid w:val="000760AB"/>
    <w:rPr>
      <w:rFonts w:ascii="Calibri" w:hAnsi="Calibri"/>
      <w:b/>
      <w:bCs/>
      <w:sz w:val="28"/>
      <w:szCs w:val="28"/>
      <w:lang w:eastAsia="zh-CN"/>
    </w:rPr>
  </w:style>
  <w:style w:type="numbering" w:customStyle="1" w:styleId="Sinlista1">
    <w:name w:val="Sin lista1"/>
    <w:next w:val="NoList"/>
    <w:uiPriority w:val="99"/>
    <w:semiHidden/>
    <w:unhideWhenUsed/>
    <w:rsid w:val="000760AB"/>
  </w:style>
  <w:style w:type="character" w:customStyle="1" w:styleId="Heading1Char">
    <w:name w:val="Heading 1 Char"/>
    <w:link w:val="Heading1"/>
    <w:uiPriority w:val="9"/>
    <w:rsid w:val="000760AB"/>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0760AB"/>
    <w:rPr>
      <w:rFonts w:ascii="Calibri Light" w:eastAsia="Times New Roman" w:hAnsi="Calibri Light" w:cs="Times New Roman"/>
      <w:color w:val="2E74B5"/>
      <w:sz w:val="26"/>
      <w:szCs w:val="26"/>
    </w:rPr>
  </w:style>
  <w:style w:type="paragraph" w:customStyle="1" w:styleId="Prrafodelista1">
    <w:name w:val="Párrafo de lista1"/>
    <w:basedOn w:val="Normal"/>
    <w:next w:val="ListParagraph"/>
    <w:uiPriority w:val="34"/>
    <w:qFormat/>
    <w:rsid w:val="000760AB"/>
    <w:pPr>
      <w:spacing w:after="160" w:line="259" w:lineRule="auto"/>
      <w:ind w:left="720"/>
      <w:contextualSpacing/>
    </w:pPr>
    <w:rPr>
      <w:rFonts w:ascii="Calibri" w:eastAsia="Calibri" w:hAnsi="Calibri"/>
      <w:sz w:val="22"/>
      <w:szCs w:val="22"/>
      <w:lang w:eastAsia="en-US"/>
    </w:rPr>
  </w:style>
  <w:style w:type="character" w:styleId="CommentReference">
    <w:name w:val="annotation reference"/>
    <w:unhideWhenUsed/>
    <w:rsid w:val="000760AB"/>
    <w:rPr>
      <w:sz w:val="16"/>
      <w:szCs w:val="16"/>
    </w:rPr>
  </w:style>
  <w:style w:type="paragraph" w:customStyle="1" w:styleId="Textocomentario1">
    <w:name w:val="Texto comentario1"/>
    <w:basedOn w:val="Normal"/>
    <w:next w:val="CommentText"/>
    <w:link w:val="TextocomentarioCar"/>
    <w:unhideWhenUsed/>
    <w:qFormat/>
    <w:rsid w:val="000760AB"/>
    <w:pPr>
      <w:spacing w:after="160"/>
    </w:pPr>
    <w:rPr>
      <w:sz w:val="20"/>
      <w:szCs w:val="20"/>
    </w:rPr>
  </w:style>
  <w:style w:type="character" w:customStyle="1" w:styleId="TextocomentarioCar">
    <w:name w:val="Texto comentario Car"/>
    <w:link w:val="Textocomentario1"/>
    <w:rsid w:val="000760AB"/>
    <w:rPr>
      <w:sz w:val="20"/>
      <w:szCs w:val="20"/>
    </w:rPr>
  </w:style>
  <w:style w:type="paragraph" w:customStyle="1" w:styleId="Textodeglobo1">
    <w:name w:val="Texto de globo1"/>
    <w:basedOn w:val="Normal"/>
    <w:next w:val="BalloonText"/>
    <w:link w:val="TextodegloboCar"/>
    <w:uiPriority w:val="99"/>
    <w:semiHidden/>
    <w:unhideWhenUsed/>
    <w:rsid w:val="000760AB"/>
    <w:rPr>
      <w:rFonts w:ascii="Segoe UI" w:hAnsi="Segoe UI" w:cs="Segoe UI"/>
      <w:sz w:val="18"/>
      <w:szCs w:val="18"/>
    </w:rPr>
  </w:style>
  <w:style w:type="character" w:customStyle="1" w:styleId="TextodegloboCar">
    <w:name w:val="Texto de globo Car"/>
    <w:link w:val="Textodeglobo1"/>
    <w:uiPriority w:val="99"/>
    <w:semiHidden/>
    <w:rsid w:val="000760AB"/>
    <w:rPr>
      <w:rFonts w:ascii="Segoe UI" w:hAnsi="Segoe UI" w:cs="Segoe UI"/>
      <w:sz w:val="18"/>
      <w:szCs w:val="18"/>
    </w:rPr>
  </w:style>
  <w:style w:type="paragraph" w:customStyle="1" w:styleId="Asuntodelcomentario1">
    <w:name w:val="Asunto del comentario1"/>
    <w:basedOn w:val="CommentText"/>
    <w:next w:val="CommentText"/>
    <w:uiPriority w:val="99"/>
    <w:semiHidden/>
    <w:unhideWhenUsed/>
    <w:rsid w:val="000760AB"/>
    <w:pPr>
      <w:spacing w:after="160"/>
    </w:pPr>
    <w:rPr>
      <w:rFonts w:ascii="Calibri" w:eastAsia="Calibri" w:hAnsi="Calibri"/>
      <w:b/>
      <w:bCs/>
      <w:lang w:eastAsia="en-US"/>
    </w:rPr>
  </w:style>
  <w:style w:type="character" w:customStyle="1" w:styleId="CommentSubjectChar">
    <w:name w:val="Comment Subject Char"/>
    <w:link w:val="CommentSubject"/>
    <w:uiPriority w:val="99"/>
    <w:semiHidden/>
    <w:rsid w:val="000760AB"/>
    <w:rPr>
      <w:b/>
      <w:bCs/>
      <w:sz w:val="20"/>
      <w:szCs w:val="20"/>
    </w:rPr>
  </w:style>
  <w:style w:type="character" w:customStyle="1" w:styleId="HeaderChar">
    <w:name w:val="Header Char"/>
    <w:basedOn w:val="DefaultParagraphFont"/>
    <w:link w:val="Header"/>
    <w:uiPriority w:val="99"/>
    <w:rsid w:val="000760AB"/>
    <w:rPr>
      <w:sz w:val="24"/>
      <w:szCs w:val="24"/>
    </w:rPr>
  </w:style>
  <w:style w:type="character" w:customStyle="1" w:styleId="FooterChar">
    <w:name w:val="Footer Char"/>
    <w:basedOn w:val="DefaultParagraphFont"/>
    <w:link w:val="Footer"/>
    <w:uiPriority w:val="99"/>
    <w:rsid w:val="000760AB"/>
    <w:rPr>
      <w:sz w:val="24"/>
      <w:szCs w:val="24"/>
    </w:rPr>
  </w:style>
  <w:style w:type="table" w:customStyle="1" w:styleId="Tablaconcuadrcula1">
    <w:name w:val="Tabla con cuadrícula1"/>
    <w:basedOn w:val="TableNormal"/>
    <w:next w:val="TableGrid"/>
    <w:uiPriority w:val="39"/>
    <w:rsid w:val="00076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0AB"/>
    <w:pPr>
      <w:autoSpaceDE w:val="0"/>
      <w:autoSpaceDN w:val="0"/>
      <w:adjustRightInd w:val="0"/>
    </w:pPr>
    <w:rPr>
      <w:rFonts w:ascii="Arial" w:eastAsia="Calibri" w:hAnsi="Arial" w:cs="Arial"/>
      <w:color w:val="000000"/>
      <w:sz w:val="24"/>
      <w:szCs w:val="24"/>
      <w:lang w:eastAsia="en-US"/>
    </w:rPr>
  </w:style>
  <w:style w:type="character" w:customStyle="1" w:styleId="st1">
    <w:name w:val="st1"/>
    <w:basedOn w:val="DefaultParagraphFont"/>
    <w:rsid w:val="000760AB"/>
  </w:style>
  <w:style w:type="paragraph" w:customStyle="1" w:styleId="CTENumeracion">
    <w:name w:val="CTE_Numeracion"/>
    <w:basedOn w:val="Normal"/>
    <w:qFormat/>
    <w:rsid w:val="000760AB"/>
    <w:pPr>
      <w:spacing w:before="60" w:after="60"/>
      <w:ind w:left="357" w:hanging="357"/>
      <w:jc w:val="both"/>
    </w:pPr>
    <w:rPr>
      <w:rFonts w:ascii="Arial" w:hAnsi="Arial"/>
      <w:sz w:val="20"/>
    </w:rPr>
  </w:style>
  <w:style w:type="character" w:customStyle="1" w:styleId="CTEModTachaprob">
    <w:name w:val="CTE_Mod_Tach_aprob"/>
    <w:rsid w:val="000760AB"/>
    <w:rPr>
      <w:strike w:val="0"/>
      <w:dstrike w:val="0"/>
      <w:shd w:val="clear" w:color="auto" w:fill="FFFF00"/>
    </w:rPr>
  </w:style>
  <w:style w:type="paragraph" w:styleId="BodyTextIndent2">
    <w:name w:val="Body Text Indent 2"/>
    <w:basedOn w:val="Normal"/>
    <w:link w:val="BodyTextIndent2Char"/>
    <w:uiPriority w:val="99"/>
    <w:unhideWhenUsed/>
    <w:rsid w:val="000760AB"/>
    <w:pPr>
      <w:suppressAutoHyphens/>
      <w:spacing w:after="120" w:line="480" w:lineRule="auto"/>
      <w:ind w:left="283"/>
    </w:pPr>
    <w:rPr>
      <w:sz w:val="20"/>
      <w:szCs w:val="20"/>
      <w:lang w:eastAsia="zh-CN"/>
    </w:rPr>
  </w:style>
  <w:style w:type="character" w:customStyle="1" w:styleId="BodyTextIndent2Char">
    <w:name w:val="Body Text Indent 2 Char"/>
    <w:basedOn w:val="DefaultParagraphFont"/>
    <w:link w:val="BodyTextIndent2"/>
    <w:uiPriority w:val="99"/>
    <w:rsid w:val="000760AB"/>
    <w:rPr>
      <w:lang w:eastAsia="zh-CN"/>
    </w:rPr>
  </w:style>
  <w:style w:type="paragraph" w:customStyle="1" w:styleId="CteTtulo3">
    <w:name w:val="CteTítulo3"/>
    <w:basedOn w:val="Normal"/>
    <w:next w:val="Normal"/>
    <w:autoRedefine/>
    <w:rsid w:val="000760AB"/>
    <w:pPr>
      <w:keepNext/>
      <w:numPr>
        <w:ilvl w:val="2"/>
      </w:numPr>
      <w:spacing w:before="60" w:after="120"/>
      <w:ind w:left="851"/>
      <w:jc w:val="both"/>
      <w:outlineLvl w:val="3"/>
    </w:pPr>
    <w:rPr>
      <w:rFonts w:ascii="Arial" w:hAnsi="Arial"/>
      <w:b/>
      <w:bCs/>
      <w:sz w:val="22"/>
      <w:szCs w:val="22"/>
      <w:lang w:eastAsia="zh-CN"/>
    </w:rPr>
  </w:style>
  <w:style w:type="paragraph" w:customStyle="1" w:styleId="CteAnejo-TituloSeccion">
    <w:name w:val="CteAnejo-TituloSeccion"/>
    <w:basedOn w:val="Normal"/>
    <w:rsid w:val="000760AB"/>
    <w:pPr>
      <w:keepNext/>
      <w:spacing w:before="480" w:after="160"/>
      <w:outlineLvl w:val="0"/>
    </w:pPr>
    <w:rPr>
      <w:rFonts w:ascii="Arial" w:hAnsi="Arial"/>
      <w:b/>
      <w:bCs/>
      <w:sz w:val="32"/>
    </w:rPr>
  </w:style>
  <w:style w:type="character" w:customStyle="1" w:styleId="EstiloCTEModTachaprob16ptNegritaSinTachado">
    <w:name w:val="Estilo CTE_Mod_Tach_aprob + 16 pt Negrita Sin Tachado"/>
    <w:rsid w:val="000760AB"/>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0760AB"/>
    <w:rPr>
      <w:strike/>
      <w:dstrike w:val="0"/>
      <w:bdr w:val="none" w:sz="0" w:space="0" w:color="auto"/>
      <w:shd w:val="clear" w:color="auto" w:fill="auto"/>
    </w:rPr>
  </w:style>
  <w:style w:type="paragraph" w:customStyle="1" w:styleId="Textoindependiente1">
    <w:name w:val="Texto independiente1"/>
    <w:basedOn w:val="Normal"/>
    <w:next w:val="BodyText"/>
    <w:link w:val="TextoindependienteCar"/>
    <w:uiPriority w:val="99"/>
    <w:semiHidden/>
    <w:unhideWhenUsed/>
    <w:rsid w:val="000760AB"/>
    <w:pPr>
      <w:spacing w:after="120" w:line="259" w:lineRule="auto"/>
    </w:pPr>
    <w:rPr>
      <w:sz w:val="20"/>
      <w:szCs w:val="20"/>
    </w:rPr>
  </w:style>
  <w:style w:type="character" w:customStyle="1" w:styleId="TextoindependienteCar">
    <w:name w:val="Texto independiente Car"/>
    <w:basedOn w:val="DefaultParagraphFont"/>
    <w:link w:val="Textoindependiente1"/>
    <w:uiPriority w:val="99"/>
    <w:semiHidden/>
    <w:rsid w:val="000760AB"/>
  </w:style>
  <w:style w:type="paragraph" w:customStyle="1" w:styleId="nota">
    <w:name w:val="nota"/>
    <w:basedOn w:val="Normal"/>
    <w:rsid w:val="000760AB"/>
    <w:pPr>
      <w:tabs>
        <w:tab w:val="left" w:pos="1122"/>
        <w:tab w:val="left" w:pos="1309"/>
      </w:tabs>
      <w:jc w:val="both"/>
    </w:pPr>
    <w:rPr>
      <w:rFonts w:ascii="Arial" w:hAnsi="Arial" w:cs="Arial"/>
      <w:bCs/>
      <w:sz w:val="20"/>
    </w:rPr>
  </w:style>
  <w:style w:type="paragraph" w:customStyle="1" w:styleId="Ttulo1CTE">
    <w:name w:val="Título1CTE"/>
    <w:basedOn w:val="Heading1"/>
    <w:next w:val="Normal"/>
    <w:autoRedefine/>
    <w:rsid w:val="000760AB"/>
  </w:style>
  <w:style w:type="paragraph" w:customStyle="1" w:styleId="artculo-tex">
    <w:name w:val="artículo-tex"/>
    <w:basedOn w:val="Normal"/>
    <w:rsid w:val="000760AB"/>
    <w:pPr>
      <w:pBdr>
        <w:top w:val="single" w:sz="4" w:space="1" w:color="00000A"/>
        <w:left w:val="single" w:sz="4" w:space="4" w:color="00000A"/>
        <w:bottom w:val="single" w:sz="4" w:space="1" w:color="00000A"/>
        <w:right w:val="single" w:sz="4" w:space="4" w:color="00000A"/>
      </w:pBdr>
      <w:suppressAutoHyphens/>
      <w:autoSpaceDN w:val="0"/>
      <w:spacing w:before="60" w:after="60"/>
      <w:textAlignment w:val="baseline"/>
    </w:pPr>
    <w:rPr>
      <w:rFonts w:ascii="Arial" w:eastAsia="Arial" w:hAnsi="Arial" w:cs="Arial"/>
      <w:kern w:val="3"/>
      <w:sz w:val="22"/>
      <w:lang w:bidi="hi-IN"/>
    </w:rPr>
  </w:style>
  <w:style w:type="numbering" w:customStyle="1" w:styleId="WWNum3">
    <w:name w:val="WWNum3"/>
    <w:basedOn w:val="NoList"/>
    <w:rsid w:val="000760AB"/>
    <w:pPr>
      <w:numPr>
        <w:numId w:val="7"/>
      </w:numPr>
    </w:pPr>
  </w:style>
  <w:style w:type="paragraph" w:customStyle="1" w:styleId="Revisin1">
    <w:name w:val="Revisión1"/>
    <w:next w:val="Revision"/>
    <w:hidden/>
    <w:uiPriority w:val="99"/>
    <w:semiHidden/>
    <w:rsid w:val="000760AB"/>
    <w:rPr>
      <w:rFonts w:ascii="Calibri" w:eastAsia="Calibri" w:hAnsi="Calibri"/>
      <w:sz w:val="22"/>
      <w:szCs w:val="22"/>
      <w:lang w:eastAsia="en-US"/>
    </w:rPr>
  </w:style>
  <w:style w:type="paragraph" w:customStyle="1" w:styleId="NormalWeb1">
    <w:name w:val="Normal (Web)1"/>
    <w:basedOn w:val="Normal"/>
    <w:next w:val="NormalWeb"/>
    <w:uiPriority w:val="99"/>
    <w:semiHidden/>
    <w:unhideWhenUsed/>
    <w:rsid w:val="000760AB"/>
    <w:pPr>
      <w:spacing w:before="100" w:beforeAutospacing="1" w:after="100" w:afterAutospacing="1"/>
    </w:pPr>
    <w:rPr>
      <w:rFonts w:eastAsia="Calibri"/>
    </w:rPr>
  </w:style>
  <w:style w:type="paragraph" w:customStyle="1" w:styleId="CTENormal">
    <w:name w:val="CTE_Normal"/>
    <w:basedOn w:val="Normal"/>
    <w:qFormat/>
    <w:rsid w:val="000760AB"/>
    <w:pPr>
      <w:spacing w:before="200" w:after="100"/>
    </w:pPr>
    <w:rPr>
      <w:rFonts w:ascii="Arial" w:eastAsia="Arial" w:hAnsi="Arial" w:cs="Arial"/>
      <w:kern w:val="2"/>
      <w:sz w:val="22"/>
      <w:lang w:eastAsia="zh-CN" w:bidi="hi-IN"/>
    </w:rPr>
  </w:style>
  <w:style w:type="paragraph" w:customStyle="1" w:styleId="CteTtulo2">
    <w:name w:val="CteTítulo2"/>
    <w:basedOn w:val="Heading2"/>
    <w:qFormat/>
    <w:rsid w:val="000760AB"/>
  </w:style>
  <w:style w:type="character" w:customStyle="1" w:styleId="Ninguno">
    <w:name w:val="Ninguno"/>
    <w:rsid w:val="000760AB"/>
  </w:style>
  <w:style w:type="character" w:customStyle="1" w:styleId="Ttulo1Car1">
    <w:name w:val="Título 1 Car1"/>
    <w:basedOn w:val="DefaultParagraphFont"/>
    <w:rsid w:val="000760AB"/>
    <w:rPr>
      <w:rFonts w:asciiTheme="majorHAnsi" w:eastAsiaTheme="majorEastAsia" w:hAnsiTheme="majorHAnsi" w:cstheme="majorBidi"/>
      <w:b/>
      <w:bCs/>
      <w:kern w:val="32"/>
      <w:sz w:val="32"/>
      <w:szCs w:val="32"/>
    </w:rPr>
  </w:style>
  <w:style w:type="character" w:customStyle="1" w:styleId="Ttulo2Car1">
    <w:name w:val="Título 2 Car1"/>
    <w:basedOn w:val="DefaultParagraphFont"/>
    <w:semiHidden/>
    <w:rsid w:val="000760AB"/>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0760AB"/>
    <w:pPr>
      <w:ind w:left="708"/>
    </w:pPr>
  </w:style>
  <w:style w:type="paragraph" w:styleId="CommentText">
    <w:name w:val="annotation text"/>
    <w:basedOn w:val="Normal"/>
    <w:link w:val="CommentTextChar"/>
    <w:rsid w:val="000760AB"/>
    <w:rPr>
      <w:sz w:val="20"/>
      <w:szCs w:val="20"/>
    </w:rPr>
  </w:style>
  <w:style w:type="character" w:customStyle="1" w:styleId="CommentTextChar">
    <w:name w:val="Comment Text Char"/>
    <w:basedOn w:val="DefaultParagraphFont"/>
    <w:link w:val="CommentText"/>
    <w:rsid w:val="000760AB"/>
  </w:style>
  <w:style w:type="paragraph" w:styleId="BalloonText">
    <w:name w:val="Balloon Text"/>
    <w:basedOn w:val="Normal"/>
    <w:link w:val="BalloonTextChar"/>
    <w:semiHidden/>
    <w:unhideWhenUsed/>
    <w:rsid w:val="000760AB"/>
    <w:rPr>
      <w:rFonts w:ascii="Segoe UI" w:hAnsi="Segoe UI" w:cs="Segoe UI"/>
      <w:sz w:val="18"/>
      <w:szCs w:val="18"/>
    </w:rPr>
  </w:style>
  <w:style w:type="character" w:customStyle="1" w:styleId="BalloonTextChar">
    <w:name w:val="Balloon Text Char"/>
    <w:basedOn w:val="DefaultParagraphFont"/>
    <w:link w:val="BalloonText"/>
    <w:semiHidden/>
    <w:rsid w:val="000760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60AB"/>
    <w:rPr>
      <w:b/>
      <w:bCs/>
    </w:rPr>
  </w:style>
  <w:style w:type="character" w:customStyle="1" w:styleId="AsuntodelcomentarioCar1">
    <w:name w:val="Asunto del comentario Car1"/>
    <w:basedOn w:val="CommentTextChar"/>
    <w:semiHidden/>
    <w:rsid w:val="000760AB"/>
    <w:rPr>
      <w:b/>
      <w:bCs/>
    </w:rPr>
  </w:style>
  <w:style w:type="table" w:styleId="TableGrid">
    <w:name w:val="Table Grid"/>
    <w:basedOn w:val="TableNormal"/>
    <w:rsid w:val="0007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60AB"/>
    <w:pPr>
      <w:spacing w:after="120"/>
    </w:pPr>
  </w:style>
  <w:style w:type="character" w:customStyle="1" w:styleId="BodyTextChar">
    <w:name w:val="Body Text Char"/>
    <w:basedOn w:val="DefaultParagraphFont"/>
    <w:link w:val="BodyText"/>
    <w:rsid w:val="000760AB"/>
    <w:rPr>
      <w:sz w:val="24"/>
      <w:szCs w:val="24"/>
    </w:rPr>
  </w:style>
  <w:style w:type="paragraph" w:styleId="Revision">
    <w:name w:val="Revision"/>
    <w:hidden/>
    <w:uiPriority w:val="99"/>
    <w:semiHidden/>
    <w:rsid w:val="000760AB"/>
    <w:rPr>
      <w:sz w:val="24"/>
      <w:szCs w:val="24"/>
    </w:rPr>
  </w:style>
  <w:style w:type="paragraph" w:styleId="NormalWeb">
    <w:name w:val="Normal (Web)"/>
    <w:basedOn w:val="Normal"/>
    <w:rsid w:val="000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S\R.D.%20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BLANCA</Template>
  <TotalTime>1</TotalTime>
  <Pages>16</Pages>
  <Words>6792</Words>
  <Characters>40141</Characters>
  <Application>Microsoft Office Word</Application>
  <DocSecurity>0</DocSecurity>
  <Lines>581</Lines>
  <Paragraphs>286</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46647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mlasalgado</dc:creator>
  <cp:keywords>class='Internal'</cp:keywords>
  <dc:description/>
  <cp:lastModifiedBy>Ines Varvodic</cp:lastModifiedBy>
  <cp:revision>2</cp:revision>
  <cp:lastPrinted>2002-07-26T08:33:00Z</cp:lastPrinted>
  <dcterms:created xsi:type="dcterms:W3CDTF">2022-09-12T07:24:00Z</dcterms:created>
  <dcterms:modified xsi:type="dcterms:W3CDTF">2022-09-12T07:24:00Z</dcterms:modified>
</cp:coreProperties>
</file>