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AF1B" w14:textId="77777777" w:rsidR="00E61B82" w:rsidRDefault="000D4452" w:rsidP="00AA66BB">
      <w:pPr>
        <w:pStyle w:val="Banner"/>
      </w:pPr>
      <w:r>
        <w:t>[Udkast til] lovregler for Nordirland</w:t>
      </w:r>
    </w:p>
    <w:p w14:paraId="5D1F8D67" w14:textId="77777777" w:rsidR="00E61B82" w:rsidRDefault="00E61B82" w:rsidP="00E61B82">
      <w:pPr>
        <w:pStyle w:val="Number"/>
      </w:pPr>
      <w:r>
        <w:t xml:space="preserve">2023 Nr. </w:t>
      </w:r>
    </w:p>
    <w:p w14:paraId="1E808628" w14:textId="77777777" w:rsidR="00E61B82" w:rsidRPr="00292216" w:rsidRDefault="00A07397" w:rsidP="00E61B82">
      <w:pPr>
        <w:pStyle w:val="subject"/>
      </w:pPr>
      <w:r>
        <w:t>vejtrafik og køretøjer</w:t>
      </w:r>
    </w:p>
    <w:p w14:paraId="43A768EC" w14:textId="77777777" w:rsidR="00E61B82" w:rsidRDefault="00A07397" w:rsidP="00E61B82">
      <w:pPr>
        <w:pStyle w:val="Title"/>
      </w:pPr>
      <w:r>
        <w:t>Bekendtgørelse af 2023 om motorkøretøjer (konstruktion og brug) (ændring) (Nordirland)</w:t>
      </w:r>
    </w:p>
    <w:p w14:paraId="08710F03" w14:textId="77777777" w:rsidR="00E61B82" w:rsidRPr="00D87569" w:rsidRDefault="00E61B82" w:rsidP="00056C8A">
      <w:pPr>
        <w:pStyle w:val="Made"/>
        <w:tabs>
          <w:tab w:val="left" w:pos="3969"/>
        </w:tabs>
      </w:pPr>
      <w:r>
        <w:t>Udarbejdet</w:t>
      </w:r>
      <w:r>
        <w:tab/>
        <w:t>-</w:t>
      </w:r>
      <w:r>
        <w:tab/>
        <w:t>-</w:t>
      </w:r>
      <w:r>
        <w:tab/>
        <w:t>-</w:t>
      </w:r>
      <w:r>
        <w:tab/>
        <w:t>-</w:t>
      </w:r>
      <w:r>
        <w:tab/>
        <w:t>***</w:t>
      </w:r>
    </w:p>
    <w:p w14:paraId="7459A16E" w14:textId="1A335E01" w:rsidR="00BC3A4C" w:rsidRDefault="00A07397" w:rsidP="00056C8A">
      <w:pPr>
        <w:pStyle w:val="Coming"/>
        <w:tabs>
          <w:tab w:val="clear" w:pos="3232"/>
          <w:tab w:val="clear" w:pos="3629"/>
          <w:tab w:val="clear" w:pos="6804"/>
          <w:tab w:val="left" w:pos="3969"/>
          <w:tab w:val="left" w:pos="6521"/>
          <w:tab w:val="left" w:pos="7230"/>
        </w:tabs>
        <w:ind w:right="91"/>
      </w:pPr>
      <w:r>
        <w:t xml:space="preserve">Iværksættes den </w:t>
      </w:r>
      <w:r w:rsidR="009F67A1">
        <w:tab/>
        <w:t>-</w:t>
      </w:r>
      <w:r>
        <w:t xml:space="preserve"> </w:t>
      </w:r>
      <w:r w:rsidR="009F67A1">
        <w:tab/>
      </w:r>
      <w:r>
        <w:t>***</w:t>
      </w:r>
    </w:p>
    <w:p w14:paraId="2D92F3C5" w14:textId="77777777" w:rsidR="00A07397" w:rsidRPr="00A07397" w:rsidRDefault="00A07397" w:rsidP="00A07397">
      <w:pPr>
        <w:pStyle w:val="Pre"/>
      </w:pPr>
      <w:r>
        <w:t>Ministeriet for infrastruktur(</w:t>
      </w:r>
      <w:r>
        <w:rPr>
          <w:rStyle w:val="FootnoteReference"/>
        </w:rPr>
        <w:footnoteReference w:id="2"/>
      </w:r>
      <w:r>
        <w:t>) udsteder følgende bekendtgørelse under udøvelse af de beføjelser, det er tillagt ved artikel 55, stk. 1, 2, litra a), og stk. 6, og artikel 110, stk. 2, i lov af 1995 om vejtrafik (Nordirland)(</w:t>
      </w:r>
      <w:r w:rsidR="00E54DC5">
        <w:rPr>
          <w:rStyle w:val="FootnoteReference"/>
        </w:rPr>
        <w:footnoteReference w:id="3"/>
      </w:r>
      <w:r>
        <w:t>), og som nu er overdraget det(</w:t>
      </w:r>
      <w:r w:rsidR="00FB6465">
        <w:rPr>
          <w:rStyle w:val="FootnoteReference"/>
        </w:rPr>
        <w:footnoteReference w:id="4"/>
      </w:r>
      <w:r>
        <w:t>).</w:t>
      </w:r>
    </w:p>
    <w:p w14:paraId="799E9B50" w14:textId="77777777" w:rsidR="00252709" w:rsidRDefault="00FB6465" w:rsidP="00FB6465">
      <w:pPr>
        <w:pStyle w:val="H1"/>
      </w:pPr>
      <w:r>
        <w:t>Henvisning og ikrafttrædelse</w:t>
      </w:r>
    </w:p>
    <w:p w14:paraId="54B94898" w14:textId="4B752315" w:rsidR="00FB6465" w:rsidRDefault="00FB6465" w:rsidP="00FB6465">
      <w:pPr>
        <w:pStyle w:val="N1"/>
      </w:pPr>
      <w:r>
        <w:t xml:space="preserve"> Disse bestemmelser betegnes som bekendtgørelsen af 2023 om motorkøretøjer (konstruktion og brug) (ændring) (Nordirland) og træder i kraft den xx xxxxx 2023.</w:t>
      </w:r>
    </w:p>
    <w:p w14:paraId="6322C4DC" w14:textId="77777777" w:rsidR="00FB6465" w:rsidRDefault="00FB6465" w:rsidP="00FB6465">
      <w:pPr>
        <w:pStyle w:val="H1"/>
      </w:pPr>
      <w:r>
        <w:t>Ændring af bestemmelser om konstruktion og brug</w:t>
      </w:r>
    </w:p>
    <w:p w14:paraId="47E71D5D" w14:textId="77777777" w:rsidR="00FB6465" w:rsidRDefault="00FB6465" w:rsidP="00FB6465">
      <w:pPr>
        <w:pStyle w:val="N1"/>
      </w:pPr>
      <w:r>
        <w:t>—</w:t>
      </w:r>
      <w:r>
        <w:fldChar w:fldCharType="begin"/>
      </w:r>
      <w:r>
        <w:instrText xml:space="preserve"> LISTNUM "SEQ1" \l 2 </w:instrText>
      </w:r>
      <w:r>
        <w:fldChar w:fldCharType="end"/>
      </w:r>
      <w:r>
        <w:t> Bekendtgørelsen af 1999 for motorkøretøjer (konstruktion og brug) (Nordirland) (</w:t>
      </w:r>
      <w:r>
        <w:rPr>
          <w:rStyle w:val="FootnoteReference"/>
        </w:rPr>
        <w:footnoteReference w:id="5"/>
      </w:r>
      <w:r>
        <w:t>) ændres i overensstemmelse med artikel 2-5.</w:t>
      </w:r>
    </w:p>
    <w:p w14:paraId="085E52C7" w14:textId="77777777" w:rsidR="006A64B8" w:rsidRDefault="006A64B8" w:rsidP="006A64B8">
      <w:pPr>
        <w:pStyle w:val="N2"/>
      </w:pPr>
      <w:r>
        <w:t>I artikel 2, stk. 2 (fortolkning), i definitionen af "ECE-regulativ, efterfulgt af et tal", erstattes "mere end to cifre" med "et punktum efterfulgt af et andet nummer".</w:t>
      </w:r>
    </w:p>
    <w:p w14:paraId="259A558A" w14:textId="77777777" w:rsidR="00022A1B" w:rsidRDefault="00022A1B" w:rsidP="006A64B8">
      <w:pPr>
        <w:pStyle w:val="N2"/>
      </w:pPr>
      <w:r>
        <w:t>I bestemmelse 30 (dækbelastninger og hastighedskategorier)—</w:t>
      </w:r>
    </w:p>
    <w:p w14:paraId="2CD06048" w14:textId="77777777" w:rsidR="00022A1B" w:rsidRDefault="00022A1B" w:rsidP="00022A1B">
      <w:pPr>
        <w:pStyle w:val="N3"/>
      </w:pPr>
      <w:r>
        <w:t>i punkt 7 erstattes "men dette krav finder ikke anvendelse på regummierede dæk" med "eller, hvis der er tale om regummierede dæk, med kravene i ECE-regulativ 108 eller ECE-regulativ nr. 109." og</w:t>
      </w:r>
    </w:p>
    <w:p w14:paraId="510A7921" w14:textId="77777777" w:rsidR="00022A1B" w:rsidRDefault="00022A1B" w:rsidP="00022A1B">
      <w:pPr>
        <w:pStyle w:val="N3"/>
      </w:pPr>
      <w:r>
        <w:t>i punkt 12 i definitionen af "belastningsindeks” erstattes "2.29" til slutningen af "2 i ECE-regulativ nr. 30.02 eller ECE-regulativ nr. 54 eller som "belastningstal" i punkt 2 i ECE-regulativ 108 eller ECE-regulativ nr. 109".</w:t>
      </w:r>
    </w:p>
    <w:p w14:paraId="19D5D210" w14:textId="77777777" w:rsidR="00DD69B1" w:rsidRDefault="00DD69B1" w:rsidP="00DD69B1">
      <w:pPr>
        <w:pStyle w:val="N2"/>
      </w:pPr>
      <w:r>
        <w:t>I bestemmelse 32 (dæks tilstand og deres vedligeholdelse)—</w:t>
      </w:r>
    </w:p>
    <w:p w14:paraId="3AE878F1" w14:textId="77777777" w:rsidR="00DD69B1" w:rsidRDefault="00DD69B1" w:rsidP="00DD69B1">
      <w:pPr>
        <w:pStyle w:val="N3"/>
      </w:pPr>
      <w:r>
        <w:t>i stk. 1—</w:t>
      </w:r>
    </w:p>
    <w:p w14:paraId="03749A2F" w14:textId="77777777" w:rsidR="00DD69B1" w:rsidRDefault="00DD69B1" w:rsidP="00DD69B1">
      <w:pPr>
        <w:pStyle w:val="N4"/>
      </w:pPr>
      <w:r>
        <w:t>ændres "med forbehold af stk. 2-4" til "med forbehold af stk. 1A og stk. 2-4"</w:t>
      </w:r>
    </w:p>
    <w:p w14:paraId="2B4BAE61" w14:textId="77777777" w:rsidR="00DD69B1" w:rsidRDefault="007442AA" w:rsidP="00DD69B1">
      <w:pPr>
        <w:pStyle w:val="N4"/>
      </w:pPr>
      <w:r>
        <w:t>i litra g), nr. ii), udelades "eller" i slutningen</w:t>
      </w:r>
    </w:p>
    <w:p w14:paraId="116D86A6" w14:textId="77777777" w:rsidR="007442AA" w:rsidRDefault="007442AA" w:rsidP="00DD69B1">
      <w:pPr>
        <w:pStyle w:val="N4"/>
      </w:pPr>
      <w:r>
        <w:t>efter litra h) indsættes—</w:t>
      </w:r>
    </w:p>
    <w:p w14:paraId="31D345C1" w14:textId="364E70A3" w:rsidR="007442AA" w:rsidRDefault="00E21C8D" w:rsidP="00E21C8D">
      <w:pPr>
        <w:pStyle w:val="LQN4"/>
      </w:pPr>
      <w:r>
        <w:tab/>
        <w:t>"(i)</w:t>
      </w:r>
      <w:r>
        <w:tab/>
        <w:t>dækket er ikke et regummieret dæk og—</w:t>
      </w:r>
    </w:p>
    <w:p w14:paraId="1127C07A" w14:textId="77777777" w:rsidR="00A42AA8" w:rsidRDefault="00A42AA8" w:rsidP="00A42AA8">
      <w:pPr>
        <w:pStyle w:val="NLQN4"/>
      </w:pPr>
      <w:r>
        <w:lastRenderedPageBreak/>
        <w:tab/>
        <w:t>(i)</w:t>
      </w:r>
      <w:r>
        <w:tab/>
        <w:t>den fremstillingsuge, der er markeret på dæksiden i overensstemmelse med ECE-regulativ 30 eller 54, falder mere end 10 år før den dato, hvor motorkøretøjet bruges på vejen, eller</w:t>
      </w:r>
    </w:p>
    <w:p w14:paraId="3D0FC71C" w14:textId="0322961D" w:rsidR="00A42AA8" w:rsidRDefault="00A42AA8" w:rsidP="00A42AA8">
      <w:pPr>
        <w:pStyle w:val="NLQN4"/>
      </w:pPr>
      <w:r>
        <w:tab/>
        <w:t>(ii)</w:t>
      </w:r>
      <w:r>
        <w:tab/>
        <w:t>det har ikke en ugefabrikationsmærkning, der er i overensstemmelse med ECE-regulativ nr. 30 eller 54 (uanset om det er fremstillet før anvendelsen af ECE-regulativet eller på anden måde)</w:t>
      </w:r>
    </w:p>
    <w:p w14:paraId="21565F41" w14:textId="77777777" w:rsidR="00A42AA8" w:rsidRDefault="00A42AA8" w:rsidP="00A42AA8">
      <w:pPr>
        <w:pStyle w:val="LQN4"/>
      </w:pPr>
      <w:r>
        <w:tab/>
        <w:t>j)</w:t>
      </w:r>
      <w:r>
        <w:tab/>
        <w:t>dækket er et regummieret dæk og—</w:t>
      </w:r>
    </w:p>
    <w:p w14:paraId="0991118A" w14:textId="77777777" w:rsidR="00A42AA8" w:rsidRDefault="00A42AA8" w:rsidP="00A42AA8">
      <w:pPr>
        <w:pStyle w:val="NLQN4"/>
      </w:pPr>
      <w:r>
        <w:tab/>
        <w:t>(i)</w:t>
      </w:r>
      <w:r>
        <w:tab/>
        <w:t>den fabrikationsuge for regummieringen, der er markeret på dæksiden i overensstemmelse med ECE-regulativ 108 eller 109, falder mere end 10 år før den dato, hvor motorkøretøjet bruges på vejen, eller</w:t>
      </w:r>
    </w:p>
    <w:p w14:paraId="1D5A9534" w14:textId="77777777" w:rsidR="00520F87" w:rsidRDefault="00520F87" w:rsidP="00520F87">
      <w:pPr>
        <w:pStyle w:val="NLQN4"/>
      </w:pPr>
      <w:r>
        <w:tab/>
        <w:t>(ii)</w:t>
      </w:r>
      <w:r>
        <w:tab/>
        <w:t>det har ikke en ugeregummieringsmærkning, som er i overensstemmelse med ECE-regulativ nr. 108 eller 109 (uanset om det er blevet regummieret før anvendelsen af ECE-regulativer eller på anden måde) eller</w:t>
      </w:r>
    </w:p>
    <w:p w14:paraId="371ABCF7" w14:textId="1D9D5575" w:rsidR="00520F87" w:rsidRDefault="00520F87" w:rsidP="00520F87">
      <w:pPr>
        <w:pStyle w:val="LQN4"/>
      </w:pPr>
      <w:r>
        <w:tab/>
        <w:t>k)</w:t>
      </w:r>
      <w:r>
        <w:tab/>
        <w:t>en dato, der er markeret på dæksiden i overensstemmelse med ECE-regulativ nr. 30, 54, 108 eller 109 er ulæselig."</w:t>
      </w:r>
    </w:p>
    <w:p w14:paraId="17D017BD" w14:textId="77777777" w:rsidR="00520F87" w:rsidRDefault="00520F87" w:rsidP="00520F87">
      <w:pPr>
        <w:pStyle w:val="N3"/>
      </w:pPr>
      <w:r>
        <w:t>efter stk. 1 indsættes—</w:t>
      </w:r>
    </w:p>
    <w:p w14:paraId="252B767E" w14:textId="65543917" w:rsidR="00EE3061" w:rsidRDefault="00E21C8D" w:rsidP="00EE3061">
      <w:pPr>
        <w:pStyle w:val="LQN2"/>
      </w:pPr>
      <w:r>
        <w:t>"(1A) Med forbehold af stk. 4, litra a) og ca), og uanset bestemmelser i artikel 30—</w:t>
      </w:r>
    </w:p>
    <w:p w14:paraId="0F6D8888" w14:textId="77777777" w:rsidR="00EE3061" w:rsidRDefault="00EE3061" w:rsidP="00EE3061">
      <w:pPr>
        <w:pStyle w:val="LQN3"/>
      </w:pPr>
      <w:r>
        <w:t>a)</w:t>
      </w:r>
      <w:r>
        <w:tab/>
        <w:t>stk. 1, nr. i) og j), finder kun anvendelse på dæk monteret—</w:t>
      </w:r>
    </w:p>
    <w:p w14:paraId="781B8B31" w14:textId="77777777" w:rsidR="00EE3061" w:rsidRDefault="00EE3061" w:rsidP="00EE3061">
      <w:pPr>
        <w:pStyle w:val="LQN4"/>
      </w:pPr>
      <w:r>
        <w:tab/>
        <w:t>(i)</w:t>
      </w:r>
      <w:r>
        <w:tab/>
        <w:t>på en foraksel i en bus, der ikke er en minibus</w:t>
      </w:r>
    </w:p>
    <w:p w14:paraId="53B7C312" w14:textId="77777777" w:rsidR="00EE3061" w:rsidRPr="00EE3061" w:rsidRDefault="00EE3061" w:rsidP="00EE3061">
      <w:pPr>
        <w:pStyle w:val="LQN4"/>
        <w:rPr>
          <w:color w:val="FF0000"/>
        </w:rPr>
      </w:pPr>
      <w:r>
        <w:tab/>
        <w:t>(ii)</w:t>
      </w:r>
      <w:r>
        <w:tab/>
        <w:t>i enkelt konfiguration på en hvilken som helst aksel i en minibus eller</w:t>
      </w:r>
    </w:p>
    <w:p w14:paraId="4BC37583" w14:textId="77777777" w:rsidR="00EE3061" w:rsidRDefault="00EE3061" w:rsidP="00EE3061">
      <w:pPr>
        <w:pStyle w:val="LQN4"/>
      </w:pPr>
      <w:r>
        <w:tab/>
        <w:t>(iii)</w:t>
      </w:r>
      <w:r>
        <w:tab/>
        <w:t>til en foraksel på et godskøretøj med en maksimal bruttovægt på over 3 500 kg</w:t>
      </w:r>
    </w:p>
    <w:p w14:paraId="247FF29E" w14:textId="77777777" w:rsidR="00EE3061" w:rsidRDefault="00EE3061" w:rsidP="00EE3061">
      <w:pPr>
        <w:pStyle w:val="LQN3"/>
      </w:pPr>
      <w:r>
        <w:t>b)</w:t>
      </w:r>
      <w:r>
        <w:tab/>
        <w:t>i litra a) —</w:t>
      </w:r>
    </w:p>
    <w:p w14:paraId="5B8B4A93" w14:textId="77777777" w:rsidR="00EE3061" w:rsidRPr="00F9319A" w:rsidRDefault="00EE3061" w:rsidP="00EE3061">
      <w:pPr>
        <w:pStyle w:val="LQN4"/>
      </w:pPr>
      <w:r>
        <w:tab/>
        <w:t>(i)</w:t>
      </w:r>
      <w:r>
        <w:tab/>
        <w:t>"foraksel": enhver aksel foran midtpunktet af chassiset, hvis hjul styres af styreapparatet og</w:t>
      </w:r>
    </w:p>
    <w:p w14:paraId="09B8C591" w14:textId="77777777" w:rsidR="00EE3061" w:rsidRDefault="00EE3061" w:rsidP="00EE3061">
      <w:pPr>
        <w:pStyle w:val="LQN4"/>
      </w:pPr>
      <w:r>
        <w:tab/>
        <w:t>(ii)</w:t>
      </w:r>
      <w:r>
        <w:tab/>
        <w:t>"enkelt konfiguration": der er ikke monteret mere end ét hjul og én dækenhed for enden af den pågældende aksel og</w:t>
      </w:r>
    </w:p>
    <w:p w14:paraId="10800F30" w14:textId="77777777" w:rsidR="00EE3061" w:rsidRDefault="00EE3061" w:rsidP="00EE3061">
      <w:pPr>
        <w:pStyle w:val="LQN3"/>
      </w:pPr>
      <w:r>
        <w:t>c)</w:t>
      </w:r>
      <w:r>
        <w:tab/>
        <w:t>stk. 1, litra k), gælder kun for—</w:t>
      </w:r>
    </w:p>
    <w:p w14:paraId="1BD3712B" w14:textId="77777777" w:rsidR="00FF5A1C" w:rsidRPr="00F9319A" w:rsidRDefault="00FF5A1C" w:rsidP="00FF5A1C">
      <w:pPr>
        <w:pStyle w:val="LQN4"/>
      </w:pPr>
      <w:r>
        <w:tab/>
        <w:t>(i)</w:t>
      </w:r>
      <w:r>
        <w:tab/>
        <w:t>busser (herunder minibusser) og</w:t>
      </w:r>
    </w:p>
    <w:p w14:paraId="19A93219" w14:textId="001A4982" w:rsidR="00FF5A1C" w:rsidRDefault="00FF5A1C" w:rsidP="00FF5A1C">
      <w:pPr>
        <w:pStyle w:val="LQN4"/>
      </w:pPr>
      <w:r>
        <w:tab/>
        <w:t>(ii)</w:t>
      </w:r>
      <w:r>
        <w:tab/>
        <w:t>godskøretøjer med en maksimal bruttovægt på over 3 500 kg."</w:t>
      </w:r>
    </w:p>
    <w:p w14:paraId="0AF3BAC2" w14:textId="77777777" w:rsidR="00FF5A1C" w:rsidRDefault="00FF5A1C" w:rsidP="00FF5A1C">
      <w:pPr>
        <w:pStyle w:val="N3"/>
      </w:pPr>
      <w:r>
        <w:t>i stk. 4—</w:t>
      </w:r>
    </w:p>
    <w:p w14:paraId="43505781" w14:textId="77777777" w:rsidR="00426F4F" w:rsidRDefault="00426F4F" w:rsidP="00426F4F">
      <w:pPr>
        <w:pStyle w:val="N4"/>
      </w:pPr>
      <w:r>
        <w:t>i litra a), efter "stk. 1, litra a) til g)", indsættes "og i) til k)"</w:t>
      </w:r>
    </w:p>
    <w:p w14:paraId="7C39BE16" w14:textId="77777777" w:rsidR="00426F4F" w:rsidRDefault="00426F4F" w:rsidP="00426F4F">
      <w:pPr>
        <w:pStyle w:val="N4"/>
      </w:pPr>
      <w:r>
        <w:t>efter litra c) indsættes—</w:t>
      </w:r>
    </w:p>
    <w:p w14:paraId="4E3E441C" w14:textId="3789445E" w:rsidR="00426F4F" w:rsidRDefault="00E21C8D" w:rsidP="00426F4F">
      <w:pPr>
        <w:pStyle w:val="LQN3"/>
      </w:pPr>
      <w:r>
        <w:t>"ca)</w:t>
      </w:r>
      <w:r>
        <w:tab/>
        <w:t>Intet i stk. 1, litra i)-k), finder anvendelse på et køretøj af historisk interesse, der anvendes til ikke-kommercielle formål, og med henblik herpå forstås ved "køretøj af historisk interesse" et køretøj, som ministeriet anser for at være af historisk interesse for Nordirland, og som</w:t>
      </w:r>
    </w:p>
    <w:p w14:paraId="45C7B239" w14:textId="77777777" w:rsidR="00A213F5" w:rsidRDefault="00A213F5" w:rsidP="00A213F5">
      <w:pPr>
        <w:pStyle w:val="LQN4"/>
      </w:pPr>
      <w:r>
        <w:tab/>
        <w:t>(i)</w:t>
      </w:r>
      <w:r>
        <w:tab/>
        <w:t>er fremstillet eller registreret for første gang mindst 40 år tidligere</w:t>
      </w:r>
    </w:p>
    <w:p w14:paraId="190D1C8F" w14:textId="77777777" w:rsidR="00A213F5" w:rsidRDefault="00A213F5" w:rsidP="00A213F5">
      <w:pPr>
        <w:pStyle w:val="LQN4"/>
      </w:pPr>
      <w:r>
        <w:tab/>
        <w:t>(ii)</w:t>
      </w:r>
      <w:r>
        <w:tab/>
        <w:t>er af en type, der ikke længere er i produktion og</w:t>
      </w:r>
    </w:p>
    <w:p w14:paraId="270D6A59" w14:textId="77777777" w:rsidR="00A213F5" w:rsidRDefault="00A213F5" w:rsidP="00A213F5">
      <w:pPr>
        <w:pStyle w:val="LQN4"/>
      </w:pPr>
      <w:r>
        <w:tab/>
        <w:t>(iii)</w:t>
      </w:r>
      <w:r>
        <w:tab/>
        <w:t>er historisk bevaret eller vedligeholdt i sin oprindelige stand og ikke har undergået væsentlige ændringer i hovedkomponenternes tekniske egenskaber,</w:t>
      </w:r>
    </w:p>
    <w:p w14:paraId="48B5AE59" w14:textId="56DE3A66" w:rsidR="00A213F5" w:rsidRDefault="00A213F5" w:rsidP="00A213F5">
      <w:pPr>
        <w:pStyle w:val="LQT2"/>
      </w:pPr>
      <w:r>
        <w:t>hvor "type" i forbindelse med køretøjet har samme betydning som "køretøjstype" i artikel 3, nr. 32, i Europa-Parlamentets og Rådets forordning (EU) 2018/858 af 30. maj 2018 om godkendelse og markedsovervågning af motorkøretøjer og påhængskøretøjer dertil samt af systemer, komponenter og separate tekniske enheder til sådanne køretøjer (</w:t>
      </w:r>
      <w:r>
        <w:rPr>
          <w:rStyle w:val="FootnoteReference"/>
        </w:rPr>
        <w:footnoteReference w:id="6"/>
      </w:r>
      <w:r>
        <w:t>)." og</w:t>
      </w:r>
    </w:p>
    <w:p w14:paraId="7CEE7A40" w14:textId="77777777" w:rsidR="00A213F5" w:rsidRDefault="00A213F5" w:rsidP="00A213F5">
      <w:pPr>
        <w:pStyle w:val="N3"/>
      </w:pPr>
      <w:r>
        <w:t>i stk. 6, litra a), erstattes "re-gummieret" i definitionen af "oprindeligt slidbanemønster" med "regummieret" begge steder.</w:t>
      </w:r>
    </w:p>
    <w:p w14:paraId="63D4D4FF" w14:textId="77777777" w:rsidR="004800DA" w:rsidRDefault="004800DA" w:rsidP="004800DA">
      <w:pPr>
        <w:pStyle w:val="N2"/>
      </w:pPr>
      <w:r>
        <w:lastRenderedPageBreak/>
        <w:t>I skema 1, i tabel 2 (ECE-regulativ), efter nr. 44 indsættes—</w:t>
      </w:r>
    </w:p>
    <w:p w14:paraId="76FC1C44" w14:textId="77777777" w:rsidR="00A42AA8" w:rsidRDefault="00A42AA8" w:rsidP="001D0E3C">
      <w:pPr>
        <w:pStyle w:val="linespace"/>
      </w:pPr>
    </w:p>
    <w:tbl>
      <w:tblPr>
        <w:tblW w:w="8631" w:type="dxa"/>
        <w:tblInd w:w="-108" w:type="dxa"/>
        <w:tblLayout w:type="fixed"/>
        <w:tblLook w:val="0000" w:firstRow="0" w:lastRow="0" w:firstColumn="0" w:lastColumn="0" w:noHBand="0" w:noVBand="0"/>
      </w:tblPr>
      <w:tblGrid>
        <w:gridCol w:w="1233"/>
        <w:gridCol w:w="1233"/>
        <w:gridCol w:w="1233"/>
        <w:gridCol w:w="1233"/>
        <w:gridCol w:w="1233"/>
        <w:gridCol w:w="1233"/>
        <w:gridCol w:w="1233"/>
      </w:tblGrid>
      <w:tr w:rsidR="001D0E3C" w:rsidRPr="001D0E3C" w14:paraId="342E504E" w14:textId="77777777" w:rsidTr="001D0E3C">
        <w:tc>
          <w:tcPr>
            <w:tcW w:w="1233" w:type="dxa"/>
            <w:tcBorders>
              <w:top w:val="single" w:sz="4" w:space="0" w:color="auto"/>
              <w:bottom w:val="single" w:sz="4" w:space="0" w:color="auto"/>
            </w:tcBorders>
            <w:shd w:val="clear" w:color="auto" w:fill="auto"/>
          </w:tcPr>
          <w:p w14:paraId="40D5508B" w14:textId="10408951" w:rsidR="001D0E3C" w:rsidRPr="001D0E3C" w:rsidRDefault="00E21C8D" w:rsidP="00755802">
            <w:pPr>
              <w:pStyle w:val="TableText"/>
            </w:pPr>
            <w:r>
              <w:t>"45</w:t>
            </w:r>
          </w:p>
        </w:tc>
        <w:tc>
          <w:tcPr>
            <w:tcW w:w="1233" w:type="dxa"/>
            <w:tcBorders>
              <w:top w:val="single" w:sz="4" w:space="0" w:color="auto"/>
              <w:bottom w:val="single" w:sz="4" w:space="0" w:color="auto"/>
            </w:tcBorders>
            <w:shd w:val="clear" w:color="auto" w:fill="auto"/>
          </w:tcPr>
          <w:p w14:paraId="527FB77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08AD46D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7A826E74" w14:textId="77777777" w:rsidR="001D0E3C" w:rsidRPr="001D0E3C" w:rsidRDefault="00C14C52" w:rsidP="00C14C52">
            <w:pPr>
              <w:pStyle w:val="TableText"/>
            </w:pPr>
            <w:r>
              <w:t>23.6.98</w:t>
            </w:r>
          </w:p>
        </w:tc>
        <w:tc>
          <w:tcPr>
            <w:tcW w:w="1233" w:type="dxa"/>
            <w:tcBorders>
              <w:top w:val="single" w:sz="4" w:space="0" w:color="auto"/>
              <w:bottom w:val="single" w:sz="4" w:space="0" w:color="auto"/>
            </w:tcBorders>
            <w:shd w:val="clear" w:color="auto" w:fill="auto"/>
          </w:tcPr>
          <w:p w14:paraId="78D4509F" w14:textId="77777777" w:rsidR="001D0E3C" w:rsidRPr="001D0E3C" w:rsidRDefault="00C14C52" w:rsidP="00C14C52">
            <w:pPr>
              <w:pStyle w:val="TableText"/>
            </w:pPr>
            <w:r>
              <w:t>Regummierede dæk til personbiler og påhængskøretøjer dertil</w:t>
            </w:r>
          </w:p>
        </w:tc>
        <w:tc>
          <w:tcPr>
            <w:tcW w:w="1233" w:type="dxa"/>
            <w:tcBorders>
              <w:top w:val="single" w:sz="4" w:space="0" w:color="auto"/>
              <w:bottom w:val="single" w:sz="4" w:space="0" w:color="auto"/>
            </w:tcBorders>
            <w:shd w:val="clear" w:color="auto" w:fill="auto"/>
          </w:tcPr>
          <w:p w14:paraId="0425E6F7"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3D1A474E" w14:textId="77777777" w:rsidR="001D0E3C" w:rsidRPr="001D0E3C" w:rsidRDefault="00C14C52" w:rsidP="00C14C52">
            <w:pPr>
              <w:pStyle w:val="TableText"/>
            </w:pPr>
            <w:r>
              <w:t>–</w:t>
            </w:r>
          </w:p>
        </w:tc>
      </w:tr>
      <w:tr w:rsidR="001D0E3C" w:rsidRPr="001D0E3C" w14:paraId="3DBBCC3C" w14:textId="77777777" w:rsidTr="001D0E3C">
        <w:tc>
          <w:tcPr>
            <w:tcW w:w="1233" w:type="dxa"/>
            <w:tcBorders>
              <w:top w:val="single" w:sz="4" w:space="0" w:color="auto"/>
              <w:bottom w:val="single" w:sz="4" w:space="0" w:color="auto"/>
            </w:tcBorders>
            <w:shd w:val="clear" w:color="auto" w:fill="auto"/>
          </w:tcPr>
          <w:p w14:paraId="6FCB996C" w14:textId="6601700D" w:rsidR="001D0E3C" w:rsidRPr="001D0E3C" w:rsidRDefault="00B0192D" w:rsidP="00755802">
            <w:pPr>
              <w:pStyle w:val="TableText"/>
            </w:pPr>
            <w:r>
              <w:t>46</w:t>
            </w:r>
          </w:p>
        </w:tc>
        <w:tc>
          <w:tcPr>
            <w:tcW w:w="1233" w:type="dxa"/>
            <w:tcBorders>
              <w:top w:val="single" w:sz="4" w:space="0" w:color="auto"/>
              <w:bottom w:val="single" w:sz="4" w:space="0" w:color="auto"/>
            </w:tcBorders>
            <w:shd w:val="clear" w:color="auto" w:fill="auto"/>
          </w:tcPr>
          <w:p w14:paraId="70C9C34F" w14:textId="77777777" w:rsidR="001D0E3C" w:rsidRPr="001D0E3C" w:rsidRDefault="00C14C52" w:rsidP="001D0E3C">
            <w:pPr>
              <w:pStyle w:val="TableText"/>
            </w:pPr>
            <w:r>
              <w:t>109</w:t>
            </w:r>
          </w:p>
        </w:tc>
        <w:tc>
          <w:tcPr>
            <w:tcW w:w="1233" w:type="dxa"/>
            <w:tcBorders>
              <w:top w:val="single" w:sz="4" w:space="0" w:color="auto"/>
              <w:bottom w:val="single" w:sz="4" w:space="0" w:color="auto"/>
            </w:tcBorders>
            <w:shd w:val="clear" w:color="auto" w:fill="auto"/>
          </w:tcPr>
          <w:p w14:paraId="0756B04E" w14:textId="77777777" w:rsidR="001D0E3C" w:rsidRPr="001D0E3C" w:rsidRDefault="00C14C52" w:rsidP="00C14C52">
            <w:pPr>
              <w:pStyle w:val="TableText"/>
            </w:pPr>
            <w:r>
              <w:t>109</w:t>
            </w:r>
          </w:p>
        </w:tc>
        <w:tc>
          <w:tcPr>
            <w:tcW w:w="1233" w:type="dxa"/>
            <w:tcBorders>
              <w:top w:val="single" w:sz="4" w:space="0" w:color="auto"/>
              <w:bottom w:val="single" w:sz="4" w:space="0" w:color="auto"/>
            </w:tcBorders>
            <w:shd w:val="clear" w:color="auto" w:fill="auto"/>
          </w:tcPr>
          <w:p w14:paraId="23B64487" w14:textId="77777777" w:rsidR="001D0E3C" w:rsidRPr="001D0E3C" w:rsidRDefault="00C14C52" w:rsidP="00C14C52">
            <w:pPr>
              <w:pStyle w:val="TableText"/>
            </w:pPr>
            <w:r>
              <w:t>23.6.98</w:t>
            </w:r>
          </w:p>
        </w:tc>
        <w:tc>
          <w:tcPr>
            <w:tcW w:w="1233" w:type="dxa"/>
            <w:tcBorders>
              <w:top w:val="single" w:sz="4" w:space="0" w:color="auto"/>
              <w:bottom w:val="single" w:sz="4" w:space="0" w:color="auto"/>
            </w:tcBorders>
            <w:shd w:val="clear" w:color="auto" w:fill="auto"/>
          </w:tcPr>
          <w:p w14:paraId="226FBE9E" w14:textId="77777777" w:rsidR="001D0E3C" w:rsidRPr="001D0E3C" w:rsidRDefault="00C14C52" w:rsidP="00C14C52">
            <w:pPr>
              <w:pStyle w:val="TableText"/>
            </w:pPr>
            <w:r>
              <w:t>Regummierede dæk til erhvervskøretøjer og påhængskøretøjer dertil</w:t>
            </w:r>
          </w:p>
        </w:tc>
        <w:tc>
          <w:tcPr>
            <w:tcW w:w="1233" w:type="dxa"/>
            <w:tcBorders>
              <w:top w:val="single" w:sz="4" w:space="0" w:color="auto"/>
              <w:bottom w:val="single" w:sz="4" w:space="0" w:color="auto"/>
            </w:tcBorders>
            <w:shd w:val="clear" w:color="auto" w:fill="auto"/>
          </w:tcPr>
          <w:p w14:paraId="33F0897E"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2DD7754D" w14:textId="40F90DE4" w:rsidR="001D0E3C" w:rsidRPr="00C14C52" w:rsidRDefault="00C14C52" w:rsidP="00C14C52">
            <w:pPr>
              <w:pStyle w:val="TableText"/>
            </w:pPr>
            <w:r>
              <w:t>–”</w:t>
            </w:r>
          </w:p>
        </w:tc>
      </w:tr>
    </w:tbl>
    <w:p w14:paraId="6896FBA7" w14:textId="77777777" w:rsidR="00C14C52" w:rsidRDefault="00C14C52" w:rsidP="001D0E3C">
      <w:pPr>
        <w:pStyle w:val="linespace"/>
      </w:pPr>
    </w:p>
    <w:p w14:paraId="0341180E" w14:textId="77777777" w:rsidR="001D0E3C" w:rsidRDefault="001D0E3C" w:rsidP="00C14C52">
      <w:pPr>
        <w:pStyle w:val="linespace"/>
        <w:rPr>
          <w:caps/>
          <w:noProof w:val="0"/>
          <w:spacing w:val="74"/>
          <w:sz w:val="22"/>
        </w:rPr>
      </w:pPr>
    </w:p>
    <w:p w14:paraId="73447127" w14:textId="77777777" w:rsidR="00040058" w:rsidRDefault="00040058" w:rsidP="00040058">
      <w:pPr>
        <w:pStyle w:val="SigBlock"/>
        <w:rPr>
          <w:rStyle w:val="Sigsignatory"/>
        </w:rPr>
      </w:pPr>
      <w:r>
        <w:rPr>
          <w:rStyle w:val="Sigsignatory"/>
        </w:rPr>
        <w:t>Forseglet med ministeriet for infrastrukturs officielle segl den xx xxxxx 2023</w:t>
      </w:r>
    </w:p>
    <w:p w14:paraId="23B5DB7C" w14:textId="77777777" w:rsidR="00040058" w:rsidRDefault="00040058" w:rsidP="00040058">
      <w:pPr>
        <w:pStyle w:val="SigBlock"/>
        <w:rPr>
          <w:rStyle w:val="Sigsignatory"/>
        </w:rPr>
      </w:pPr>
    </w:p>
    <w:p w14:paraId="12B1E743" w14:textId="77777777" w:rsidR="00040058" w:rsidRPr="00040058" w:rsidRDefault="00040058" w:rsidP="00040058">
      <w:pPr>
        <w:pStyle w:val="LegSeal"/>
      </w:pPr>
      <w:r>
        <w:drawing>
          <wp:inline distT="0" distB="0" distL="0" distR="0" wp14:anchorId="35A2C058" wp14:editId="3FB9CE74">
            <wp:extent cx="638175" cy="628650"/>
            <wp:effectExtent l="0" t="0" r="9525" b="0"/>
            <wp:docPr id="2" name="Picture 2" descr="Description: legal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egalseal.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14:paraId="4E01A631" w14:textId="77777777" w:rsidR="00040058" w:rsidRDefault="00040058" w:rsidP="00040058">
      <w:pPr>
        <w:pStyle w:val="SigBlock"/>
        <w:rPr>
          <w:rStyle w:val="SigSignee"/>
        </w:rPr>
      </w:pPr>
      <w:r>
        <w:tab/>
      </w:r>
      <w:r>
        <w:rPr>
          <w:rStyle w:val="SigSignee"/>
          <w:color w:val="FFFFFF" w:themeColor="background1"/>
        </w:rPr>
        <w:t>Chris Hughes</w:t>
      </w:r>
    </w:p>
    <w:p w14:paraId="30519020" w14:textId="77777777" w:rsidR="00040058" w:rsidRPr="00040058" w:rsidRDefault="00040058" w:rsidP="00040058">
      <w:pPr>
        <w:pStyle w:val="SigBlock"/>
      </w:pPr>
      <w:r>
        <w:tab/>
      </w:r>
      <w:r>
        <w:rPr>
          <w:rStyle w:val="Sigtitle"/>
        </w:rPr>
        <w:t>Højtstående embedsmand i ministeriet for infrastruktur</w:t>
      </w:r>
    </w:p>
    <w:p w14:paraId="4412EBCC" w14:textId="77777777" w:rsidR="00040058" w:rsidRDefault="00040058" w:rsidP="00040058">
      <w:pPr>
        <w:pStyle w:val="linespace"/>
        <w:rPr>
          <w:sz w:val="21"/>
        </w:rPr>
      </w:pPr>
      <w:r>
        <w:br w:type="page"/>
      </w:r>
    </w:p>
    <w:p w14:paraId="24ECD896" w14:textId="77777777" w:rsidR="00040058" w:rsidRDefault="00040058" w:rsidP="00040058">
      <w:pPr>
        <w:pStyle w:val="XNote"/>
      </w:pPr>
      <w:r>
        <w:lastRenderedPageBreak/>
        <w:t>FORKLARENDE BEMÆRKNING</w:t>
      </w:r>
    </w:p>
    <w:p w14:paraId="2D3DC66A" w14:textId="3ED882CF" w:rsidR="00040058" w:rsidRDefault="00040058" w:rsidP="00040058">
      <w:pPr>
        <w:pStyle w:val="XNotenote"/>
      </w:pPr>
      <w:r>
        <w:t>(Disse bemærkninger er ikke en del af bestemmelserne)</w:t>
      </w:r>
    </w:p>
    <w:p w14:paraId="35F194C5" w14:textId="2CB6F34C" w:rsidR="00040058" w:rsidRDefault="00040058" w:rsidP="00040058">
      <w:pPr>
        <w:pStyle w:val="T1"/>
      </w:pPr>
      <w:r>
        <w:t>Disse bestemmelser ændrer bekendtgørelsen af 1999 for motorkøretøjer (konstruktion og brug) (Nordirland) for at fastsætte bestemmelser om dæks alder (herunder regummierede dæk) og læsbarheden af datomærkninger på dæk, som er tilladt til brug på busser (herunder minibusser) og godskøretøjer med en maksimal bruttovægt på over 3 500 kg. Bekendtgørelsen ændrer også tabel 2 i bilag 1 til bekendtgørelsen af 1999 for at medtage bestemmelser om regummierede dæk i ECE-regulativ 108 og 109. Denne bekendtgørelse fastsætter en undtagelse for køretøjer af historisk interesse, forudsat at de ikke anvendes til kommercielle formål.</w:t>
      </w:r>
    </w:p>
    <w:p w14:paraId="0FE50F41" w14:textId="77777777" w:rsidR="006D38F1" w:rsidRDefault="006D38F1" w:rsidP="00040058">
      <w:pPr>
        <w:pStyle w:val="T1"/>
      </w:pPr>
      <w:r>
        <w:t xml:space="preserve">Denne bekendtgørelse blev meddelt Europa-Kommissionen i henhold til Europa-Parlamentets og Rådets direktiv (EU) 2015/1535 af 9. september 2015 (EUT L 241 af 17.9.2015, s. 1) under notifikationsnummer </w:t>
      </w:r>
      <w:r>
        <w:rPr>
          <w:color w:val="FF0000"/>
        </w:rPr>
        <w:t xml:space="preserve">xxxxxxxx. </w:t>
      </w:r>
      <w:r>
        <w:t xml:space="preserve">Der blev ikke fremsat bemærkninger i den tremåneders standstill-periode. Direktivet er tilgængeligt online på </w:t>
      </w:r>
      <w:hyperlink r:id="rId8" w:history="1">
        <w:r>
          <w:rPr>
            <w:rStyle w:val="Hyperlink"/>
          </w:rPr>
          <w:t>http://eur-lex.europa.eu</w:t>
        </w:r>
      </w:hyperlink>
      <w:r>
        <w:t xml:space="preserve"> </w:t>
      </w:r>
    </w:p>
    <w:p w14:paraId="6186E13D" w14:textId="77777777" w:rsidR="00755802" w:rsidRDefault="00755802" w:rsidP="00040058">
      <w:pPr>
        <w:pStyle w:val="T1"/>
      </w:pPr>
      <w:r>
        <w:t xml:space="preserve">ECE-regulativerne udarbejdes af De Forenede Nationers Økonomiske Kommission for Europa. Kopier af de ECE-regulativer, der er omhandlet i denne bekendtgørelse, kan fås på UNECE's websted: </w:t>
      </w:r>
      <w:hyperlink r:id="rId9" w:history="1">
        <w:r>
          <w:rPr>
            <w:rStyle w:val="Hyperlink"/>
          </w:rPr>
          <w:t>http://www.unece.org/trans/main/wp29/wp29regs.html</w:t>
        </w:r>
      </w:hyperlink>
      <w:r>
        <w:t>. Kopier kan også fås hos Vehicle Policy Branch, Safe and Available Travel Division, Department for Infrastructure, Clarence Court, 10-18 Adelaide Street, Town Parks, Belfast BT2 8GB (e-mail: vehicle.standards@infrastructure-ni.gov.uk)</w:t>
      </w:r>
    </w:p>
    <w:p w14:paraId="0E7BDCF2" w14:textId="77777777" w:rsidR="0083627D" w:rsidRPr="00095513" w:rsidRDefault="0083627D" w:rsidP="0083627D">
      <w:pPr>
        <w:pStyle w:val="T1"/>
      </w:pPr>
      <w:r>
        <w:t xml:space="preserve">Der er udarbejdet en konsekvensanalyse og begrundelse for lovgivningen, som er tilgængelige fra Vehicle Policy Branch på ovennævnte adresse eller online sammen med denne lovbestemmelse på </w:t>
      </w:r>
      <w:hyperlink r:id="rId10" w:history="1">
        <w:r>
          <w:rPr>
            <w:rStyle w:val="Hyperlink"/>
          </w:rPr>
          <w:t>http://www.legislation.gov.uk/nisr</w:t>
        </w:r>
      </w:hyperlink>
    </w:p>
    <w:p w14:paraId="40D7E616" w14:textId="77777777" w:rsidR="0083627D" w:rsidRPr="00040058" w:rsidRDefault="0083627D" w:rsidP="00040058">
      <w:pPr>
        <w:pStyle w:val="T1"/>
      </w:pPr>
    </w:p>
    <w:sectPr w:rsidR="0083627D" w:rsidRPr="00040058" w:rsidSect="001D0E3C">
      <w:headerReference w:type="default" r:id="rId11"/>
      <w:footerReference w:type="default" r:id="rId12"/>
      <w:footnotePr>
        <w:numFmt w:val="lowerLetter"/>
        <w:numRestart w:val="eachPage"/>
      </w:footnotePr>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C139" w14:textId="77777777" w:rsidR="00A01CF2" w:rsidRDefault="00A01CF2">
      <w:r>
        <w:separator/>
      </w:r>
    </w:p>
  </w:endnote>
  <w:endnote w:type="continuationSeparator" w:id="0">
    <w:p w14:paraId="24B10E0F" w14:textId="77777777" w:rsidR="00A01CF2" w:rsidRDefault="00A0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3D59" w14:textId="77777777" w:rsidR="001D0E3C" w:rsidRDefault="001D0E3C" w:rsidP="00147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32AE">
      <w:rPr>
        <w:rStyle w:val="PageNumber"/>
      </w:rPr>
      <w:t>4</w:t>
    </w:r>
    <w:r>
      <w:rPr>
        <w:rStyle w:val="PageNumber"/>
      </w:rPr>
      <w:fldChar w:fldCharType="end"/>
    </w:r>
  </w:p>
  <w:p w14:paraId="2C583D4D" w14:textId="77777777" w:rsidR="001D0E3C" w:rsidRDefault="001D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54A5" w14:textId="77777777" w:rsidR="00A01CF2" w:rsidRDefault="00A01CF2" w:rsidP="00FF5421">
      <w:r>
        <w:continuationSeparator/>
      </w:r>
    </w:p>
  </w:footnote>
  <w:footnote w:type="continuationSeparator" w:id="0">
    <w:p w14:paraId="2CB739FE" w14:textId="77777777" w:rsidR="00A01CF2" w:rsidRDefault="00A01CF2">
      <w:r>
        <w:continuationSeparator/>
      </w:r>
    </w:p>
  </w:footnote>
  <w:footnote w:type="continuationNotice" w:id="1">
    <w:p w14:paraId="72E82105" w14:textId="77777777" w:rsidR="00A01CF2" w:rsidRDefault="00A01CF2"/>
  </w:footnote>
  <w:footnote w:id="2">
    <w:p w14:paraId="1D294C4A" w14:textId="77777777" w:rsidR="00A07397" w:rsidRDefault="00A07397">
      <w:pPr>
        <w:pStyle w:val="FootnoteText"/>
      </w:pPr>
      <w:r>
        <w:t>(</w:t>
      </w:r>
      <w:r>
        <w:rPr>
          <w:rStyle w:val="FootnoteReference"/>
        </w:rPr>
        <w:footnoteRef/>
      </w:r>
      <w:r>
        <w:t>)</w:t>
      </w:r>
      <w:r>
        <w:tab/>
        <w:t>Tidligere ministeriet for regional udvikling; se artikel 1, stk. 6 og 11, og bilag 1 til Styrelsesloven (Nordirland) 2016 (2016 c. 5 (N.I.)). I henhold til lovens art. 1, stk. 9, blev miljøministeriet opløst,</w:t>
      </w:r>
    </w:p>
  </w:footnote>
  <w:footnote w:id="3">
    <w:p w14:paraId="5460616A" w14:textId="77777777" w:rsidR="00E54DC5" w:rsidRDefault="00E54DC5">
      <w:pPr>
        <w:pStyle w:val="FootnoteText"/>
      </w:pPr>
      <w:r>
        <w:t>(</w:t>
      </w:r>
      <w:r>
        <w:rPr>
          <w:rStyle w:val="FootnoteReference"/>
        </w:rPr>
        <w:footnoteRef/>
      </w:r>
      <w:r>
        <w:t>)</w:t>
      </w:r>
      <w:r>
        <w:tab/>
        <w:t>S.I. 1995/2994 (N.I. 18). Artikel 55 blev ændret ved artikel 42, stk. 1, i lov af 2007 om vejtrafik (Nordirland) (S.I. 2007/916 (N.I. 10))</w:t>
      </w:r>
    </w:p>
  </w:footnote>
  <w:footnote w:id="4">
    <w:p w14:paraId="1085F1A2" w14:textId="77777777" w:rsidR="00FB6465" w:rsidRPr="00FB6465" w:rsidRDefault="00FB6465">
      <w:pPr>
        <w:pStyle w:val="FootnoteText"/>
      </w:pPr>
      <w:r>
        <w:t>(</w:t>
      </w:r>
      <w:r>
        <w:rPr>
          <w:rStyle w:val="FootnoteReference"/>
        </w:rPr>
        <w:footnoteRef/>
      </w:r>
      <w:r>
        <w:t>)</w:t>
      </w:r>
      <w:r>
        <w:tab/>
      </w:r>
      <w:r>
        <w:rPr>
          <w:i/>
        </w:rPr>
        <w:t xml:space="preserve">Se </w:t>
      </w:r>
      <w:r>
        <w:t>Artikel 8, stk. 1, litra b), og del 2 i skema 5 i lov af 2016 om ministerier (overførsel af områder) (Nordirland) (S.R. 2016 No. 76)</w:t>
      </w:r>
    </w:p>
  </w:footnote>
  <w:footnote w:id="5">
    <w:p w14:paraId="7D938A52" w14:textId="77777777" w:rsidR="00FB6465" w:rsidRDefault="00FB6465">
      <w:pPr>
        <w:pStyle w:val="FootnoteText"/>
      </w:pPr>
      <w:r>
        <w:t>(</w:t>
      </w:r>
      <w:r>
        <w:rPr>
          <w:rStyle w:val="FootnoteReference"/>
        </w:rPr>
        <w:footnoteRef/>
      </w:r>
      <w:r>
        <w:t>)</w:t>
      </w:r>
      <w:r>
        <w:tab/>
        <w:t>S.R. 1999 No. 454; de relevante ændringsbekendtgørelser er S.R. 2011 No. 20, S.R. 2011 No. 303 og S.R. 2016 No. 160.</w:t>
      </w:r>
    </w:p>
  </w:footnote>
  <w:footnote w:id="6">
    <w:p w14:paraId="202E6E04" w14:textId="5448A374" w:rsidR="00A213F5" w:rsidRDefault="00A213F5">
      <w:pPr>
        <w:pStyle w:val="FootnoteText"/>
      </w:pPr>
      <w:r>
        <w:t>(</w:t>
      </w:r>
      <w:r>
        <w:rPr>
          <w:rStyle w:val="FootnoteReference"/>
        </w:rPr>
        <w:footnoteRef/>
      </w:r>
      <w:r>
        <w:t>)</w:t>
      </w:r>
      <w:r>
        <w:tab/>
        <w:t>EUT L 151 af 14.6.2018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C227" w14:textId="3907EE6D" w:rsidR="00F9319A" w:rsidRPr="00F9319A" w:rsidRDefault="00F9319A" w:rsidP="00F9319A">
    <w:pPr>
      <w:pStyle w:val="Header"/>
      <w:jc w:val="center"/>
      <w:rPr>
        <w:b/>
        <w:bCs/>
      </w:rPr>
    </w:pPr>
    <w:r>
      <w:rPr>
        <w:b/>
      </w:rPr>
      <w:t>Andet udkast fra april 2023 — som godkendt af DSO 6/4/23</w:t>
    </w:r>
  </w:p>
  <w:p w14:paraId="104CC809" w14:textId="77777777" w:rsidR="00F9319A" w:rsidRDefault="00F93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16cid:durableId="598368923">
    <w:abstractNumId w:val="0"/>
  </w:num>
  <w:num w:numId="2" w16cid:durableId="1681469010">
    <w:abstractNumId w:val="0"/>
  </w:num>
  <w:num w:numId="3" w16cid:durableId="1416317193">
    <w:abstractNumId w:val="0"/>
  </w:num>
  <w:num w:numId="4" w16cid:durableId="922227864">
    <w:abstractNumId w:val="0"/>
  </w:num>
  <w:num w:numId="5" w16cid:durableId="1604798227">
    <w:abstractNumId w:val="3"/>
  </w:num>
  <w:num w:numId="6" w16cid:durableId="1759716081">
    <w:abstractNumId w:val="3"/>
  </w:num>
  <w:num w:numId="7" w16cid:durableId="619800028">
    <w:abstractNumId w:val="3"/>
  </w:num>
  <w:num w:numId="8" w16cid:durableId="325474096">
    <w:abstractNumId w:val="3"/>
  </w:num>
  <w:num w:numId="9" w16cid:durableId="303657070">
    <w:abstractNumId w:val="3"/>
  </w:num>
  <w:num w:numId="10" w16cid:durableId="2138796238">
    <w:abstractNumId w:val="1"/>
  </w:num>
  <w:num w:numId="11" w16cid:durableId="66389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lowerLetter"/>
    <w:numRestart w:val="eachPage"/>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MinorType" w:val="Order"/>
    <w:docVar w:name="documentType" w:val="NIR"/>
    <w:docVar w:name="Lang" w:val="NIR"/>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VerMajor" w:val="9"/>
    <w:docVar w:name="VerMinor" w:val="1"/>
  </w:docVars>
  <w:rsids>
    <w:rsidRoot w:val="00A07397"/>
    <w:rsid w:val="000017D2"/>
    <w:rsid w:val="000053BF"/>
    <w:rsid w:val="00005DCF"/>
    <w:rsid w:val="000079E2"/>
    <w:rsid w:val="0001312F"/>
    <w:rsid w:val="000229B8"/>
    <w:rsid w:val="00022A1B"/>
    <w:rsid w:val="00024417"/>
    <w:rsid w:val="00027110"/>
    <w:rsid w:val="0002747F"/>
    <w:rsid w:val="00030A7A"/>
    <w:rsid w:val="00031649"/>
    <w:rsid w:val="0003170C"/>
    <w:rsid w:val="00033947"/>
    <w:rsid w:val="000344B1"/>
    <w:rsid w:val="00040058"/>
    <w:rsid w:val="00040919"/>
    <w:rsid w:val="00043C12"/>
    <w:rsid w:val="00056C8A"/>
    <w:rsid w:val="000576EB"/>
    <w:rsid w:val="0006536E"/>
    <w:rsid w:val="00087CDE"/>
    <w:rsid w:val="0009033B"/>
    <w:rsid w:val="000B217F"/>
    <w:rsid w:val="000B4769"/>
    <w:rsid w:val="000B7A59"/>
    <w:rsid w:val="000C2228"/>
    <w:rsid w:val="000D4452"/>
    <w:rsid w:val="000E132F"/>
    <w:rsid w:val="000E4959"/>
    <w:rsid w:val="000E71E2"/>
    <w:rsid w:val="000F290E"/>
    <w:rsid w:val="000F3EE9"/>
    <w:rsid w:val="000F4191"/>
    <w:rsid w:val="000F6AA5"/>
    <w:rsid w:val="001058F7"/>
    <w:rsid w:val="001138FC"/>
    <w:rsid w:val="001149FE"/>
    <w:rsid w:val="00114DA8"/>
    <w:rsid w:val="00116167"/>
    <w:rsid w:val="001162DB"/>
    <w:rsid w:val="00117CF9"/>
    <w:rsid w:val="00132A37"/>
    <w:rsid w:val="00145FD7"/>
    <w:rsid w:val="001542BD"/>
    <w:rsid w:val="001545AD"/>
    <w:rsid w:val="00166EFB"/>
    <w:rsid w:val="0016704D"/>
    <w:rsid w:val="00167904"/>
    <w:rsid w:val="0019250F"/>
    <w:rsid w:val="00194043"/>
    <w:rsid w:val="0019503E"/>
    <w:rsid w:val="001A220A"/>
    <w:rsid w:val="001B0B00"/>
    <w:rsid w:val="001B39DB"/>
    <w:rsid w:val="001B4AAF"/>
    <w:rsid w:val="001C06F9"/>
    <w:rsid w:val="001C1DFD"/>
    <w:rsid w:val="001C4800"/>
    <w:rsid w:val="001D0E3C"/>
    <w:rsid w:val="001E0FF6"/>
    <w:rsid w:val="001E5D59"/>
    <w:rsid w:val="001F0B49"/>
    <w:rsid w:val="00202100"/>
    <w:rsid w:val="00203DBB"/>
    <w:rsid w:val="0020612D"/>
    <w:rsid w:val="00215C2D"/>
    <w:rsid w:val="0021750A"/>
    <w:rsid w:val="002222EA"/>
    <w:rsid w:val="002234DD"/>
    <w:rsid w:val="0023008A"/>
    <w:rsid w:val="00233898"/>
    <w:rsid w:val="00237FEF"/>
    <w:rsid w:val="0024543E"/>
    <w:rsid w:val="00246EBA"/>
    <w:rsid w:val="00252709"/>
    <w:rsid w:val="00263D03"/>
    <w:rsid w:val="00265698"/>
    <w:rsid w:val="002657DD"/>
    <w:rsid w:val="002710CF"/>
    <w:rsid w:val="00281EEB"/>
    <w:rsid w:val="002842A4"/>
    <w:rsid w:val="00290FD6"/>
    <w:rsid w:val="002B09A9"/>
    <w:rsid w:val="002B2AB3"/>
    <w:rsid w:val="002D2359"/>
    <w:rsid w:val="002D64BB"/>
    <w:rsid w:val="002E35DE"/>
    <w:rsid w:val="002F3E74"/>
    <w:rsid w:val="0030031B"/>
    <w:rsid w:val="00324150"/>
    <w:rsid w:val="003243CA"/>
    <w:rsid w:val="003265DE"/>
    <w:rsid w:val="00332EFC"/>
    <w:rsid w:val="0033471C"/>
    <w:rsid w:val="00336808"/>
    <w:rsid w:val="00337C6E"/>
    <w:rsid w:val="0035076C"/>
    <w:rsid w:val="00350812"/>
    <w:rsid w:val="00354E7E"/>
    <w:rsid w:val="00355BF1"/>
    <w:rsid w:val="00364A56"/>
    <w:rsid w:val="00366CFF"/>
    <w:rsid w:val="00370B12"/>
    <w:rsid w:val="00375A1D"/>
    <w:rsid w:val="00377EA3"/>
    <w:rsid w:val="00380763"/>
    <w:rsid w:val="003849A8"/>
    <w:rsid w:val="003856CE"/>
    <w:rsid w:val="00395061"/>
    <w:rsid w:val="003A711F"/>
    <w:rsid w:val="003B5101"/>
    <w:rsid w:val="003B522B"/>
    <w:rsid w:val="003B7CB9"/>
    <w:rsid w:val="003C6DD8"/>
    <w:rsid w:val="003D09D8"/>
    <w:rsid w:val="003E6D63"/>
    <w:rsid w:val="003F2906"/>
    <w:rsid w:val="003F5552"/>
    <w:rsid w:val="003F6B8C"/>
    <w:rsid w:val="003F756B"/>
    <w:rsid w:val="00401FF2"/>
    <w:rsid w:val="00403BDB"/>
    <w:rsid w:val="004128CA"/>
    <w:rsid w:val="004266DE"/>
    <w:rsid w:val="00426F4F"/>
    <w:rsid w:val="00427240"/>
    <w:rsid w:val="004334AB"/>
    <w:rsid w:val="00434316"/>
    <w:rsid w:val="004374BE"/>
    <w:rsid w:val="00444DFD"/>
    <w:rsid w:val="0044665F"/>
    <w:rsid w:val="00450D00"/>
    <w:rsid w:val="00455D7C"/>
    <w:rsid w:val="00456585"/>
    <w:rsid w:val="0046133F"/>
    <w:rsid w:val="00462FB7"/>
    <w:rsid w:val="0047199F"/>
    <w:rsid w:val="004800DA"/>
    <w:rsid w:val="00484A79"/>
    <w:rsid w:val="00496706"/>
    <w:rsid w:val="004A3498"/>
    <w:rsid w:val="004A5981"/>
    <w:rsid w:val="004B27F0"/>
    <w:rsid w:val="004C4102"/>
    <w:rsid w:val="004D3553"/>
    <w:rsid w:val="004D6A75"/>
    <w:rsid w:val="004D6B89"/>
    <w:rsid w:val="004F0B89"/>
    <w:rsid w:val="004F499B"/>
    <w:rsid w:val="004F54E9"/>
    <w:rsid w:val="00512E1E"/>
    <w:rsid w:val="00517305"/>
    <w:rsid w:val="00520F87"/>
    <w:rsid w:val="00527CE3"/>
    <w:rsid w:val="00527F30"/>
    <w:rsid w:val="00542527"/>
    <w:rsid w:val="0054598B"/>
    <w:rsid w:val="00551C1E"/>
    <w:rsid w:val="0055460F"/>
    <w:rsid w:val="00584806"/>
    <w:rsid w:val="00586A38"/>
    <w:rsid w:val="00593489"/>
    <w:rsid w:val="005951C3"/>
    <w:rsid w:val="00595A92"/>
    <w:rsid w:val="005A366C"/>
    <w:rsid w:val="005A4DC3"/>
    <w:rsid w:val="005A5DA5"/>
    <w:rsid w:val="005C13CE"/>
    <w:rsid w:val="005C40A6"/>
    <w:rsid w:val="005D09CA"/>
    <w:rsid w:val="005D41B8"/>
    <w:rsid w:val="005E7BE0"/>
    <w:rsid w:val="005F36E7"/>
    <w:rsid w:val="005F3CB4"/>
    <w:rsid w:val="00601E12"/>
    <w:rsid w:val="00602E90"/>
    <w:rsid w:val="00610631"/>
    <w:rsid w:val="00613B50"/>
    <w:rsid w:val="00621479"/>
    <w:rsid w:val="00626BA9"/>
    <w:rsid w:val="0063239C"/>
    <w:rsid w:val="00632874"/>
    <w:rsid w:val="00634B89"/>
    <w:rsid w:val="00645512"/>
    <w:rsid w:val="006462B5"/>
    <w:rsid w:val="00646576"/>
    <w:rsid w:val="006507EE"/>
    <w:rsid w:val="0066052C"/>
    <w:rsid w:val="006672E0"/>
    <w:rsid w:val="006745CF"/>
    <w:rsid w:val="00683D94"/>
    <w:rsid w:val="00690A3B"/>
    <w:rsid w:val="006918B5"/>
    <w:rsid w:val="006A320F"/>
    <w:rsid w:val="006A595E"/>
    <w:rsid w:val="006A64B8"/>
    <w:rsid w:val="006A7DF8"/>
    <w:rsid w:val="006B185F"/>
    <w:rsid w:val="006B30CD"/>
    <w:rsid w:val="006B3B7C"/>
    <w:rsid w:val="006B4ADB"/>
    <w:rsid w:val="006B79E5"/>
    <w:rsid w:val="006C24BA"/>
    <w:rsid w:val="006C26FF"/>
    <w:rsid w:val="006C3089"/>
    <w:rsid w:val="006C3978"/>
    <w:rsid w:val="006C6643"/>
    <w:rsid w:val="006D0D5B"/>
    <w:rsid w:val="006D38F1"/>
    <w:rsid w:val="006D7810"/>
    <w:rsid w:val="006E65AD"/>
    <w:rsid w:val="006E7772"/>
    <w:rsid w:val="00705886"/>
    <w:rsid w:val="007079BB"/>
    <w:rsid w:val="00711BE8"/>
    <w:rsid w:val="00716ED4"/>
    <w:rsid w:val="00725F1D"/>
    <w:rsid w:val="00731C8C"/>
    <w:rsid w:val="007442AA"/>
    <w:rsid w:val="0074593A"/>
    <w:rsid w:val="0074692C"/>
    <w:rsid w:val="00753861"/>
    <w:rsid w:val="00755802"/>
    <w:rsid w:val="00763228"/>
    <w:rsid w:val="00773CD6"/>
    <w:rsid w:val="007A4CC8"/>
    <w:rsid w:val="007A5DAA"/>
    <w:rsid w:val="007B03C1"/>
    <w:rsid w:val="007B062C"/>
    <w:rsid w:val="007B22FE"/>
    <w:rsid w:val="007B254C"/>
    <w:rsid w:val="007B75E9"/>
    <w:rsid w:val="007C22A3"/>
    <w:rsid w:val="007C264A"/>
    <w:rsid w:val="007D3A1E"/>
    <w:rsid w:val="007F089E"/>
    <w:rsid w:val="007F69B9"/>
    <w:rsid w:val="00803635"/>
    <w:rsid w:val="00803AFD"/>
    <w:rsid w:val="0081761D"/>
    <w:rsid w:val="0083118A"/>
    <w:rsid w:val="0083130D"/>
    <w:rsid w:val="00831EA1"/>
    <w:rsid w:val="00832653"/>
    <w:rsid w:val="008346F2"/>
    <w:rsid w:val="00834955"/>
    <w:rsid w:val="0083627D"/>
    <w:rsid w:val="0085377A"/>
    <w:rsid w:val="0088528F"/>
    <w:rsid w:val="00891686"/>
    <w:rsid w:val="00892A7D"/>
    <w:rsid w:val="008936D6"/>
    <w:rsid w:val="00897333"/>
    <w:rsid w:val="008A2652"/>
    <w:rsid w:val="008B1F2E"/>
    <w:rsid w:val="008C0575"/>
    <w:rsid w:val="008C1C07"/>
    <w:rsid w:val="008C3AB5"/>
    <w:rsid w:val="008C451D"/>
    <w:rsid w:val="008C76CA"/>
    <w:rsid w:val="008D1F15"/>
    <w:rsid w:val="008E407D"/>
    <w:rsid w:val="008E68A5"/>
    <w:rsid w:val="008E7581"/>
    <w:rsid w:val="008F2059"/>
    <w:rsid w:val="008F26D4"/>
    <w:rsid w:val="008F2F05"/>
    <w:rsid w:val="008F7D32"/>
    <w:rsid w:val="00916C5D"/>
    <w:rsid w:val="00917799"/>
    <w:rsid w:val="00920C52"/>
    <w:rsid w:val="00921C0A"/>
    <w:rsid w:val="00934923"/>
    <w:rsid w:val="00937BB0"/>
    <w:rsid w:val="00940392"/>
    <w:rsid w:val="00945377"/>
    <w:rsid w:val="00955042"/>
    <w:rsid w:val="0096610D"/>
    <w:rsid w:val="00985908"/>
    <w:rsid w:val="00986ED9"/>
    <w:rsid w:val="00991335"/>
    <w:rsid w:val="009947C0"/>
    <w:rsid w:val="00996A8E"/>
    <w:rsid w:val="009A3A7E"/>
    <w:rsid w:val="009A7C67"/>
    <w:rsid w:val="009B5DDB"/>
    <w:rsid w:val="009C2BBD"/>
    <w:rsid w:val="009C3952"/>
    <w:rsid w:val="009E24C2"/>
    <w:rsid w:val="009F67A1"/>
    <w:rsid w:val="00A01907"/>
    <w:rsid w:val="00A01CF2"/>
    <w:rsid w:val="00A04F80"/>
    <w:rsid w:val="00A07397"/>
    <w:rsid w:val="00A127A4"/>
    <w:rsid w:val="00A156DC"/>
    <w:rsid w:val="00A213F5"/>
    <w:rsid w:val="00A26481"/>
    <w:rsid w:val="00A33157"/>
    <w:rsid w:val="00A35443"/>
    <w:rsid w:val="00A42AA8"/>
    <w:rsid w:val="00A42F2E"/>
    <w:rsid w:val="00A616A2"/>
    <w:rsid w:val="00A904C5"/>
    <w:rsid w:val="00A94825"/>
    <w:rsid w:val="00A968F9"/>
    <w:rsid w:val="00A9755E"/>
    <w:rsid w:val="00AA2213"/>
    <w:rsid w:val="00AA3D6E"/>
    <w:rsid w:val="00AA448A"/>
    <w:rsid w:val="00AA4F50"/>
    <w:rsid w:val="00AA66BB"/>
    <w:rsid w:val="00AB5644"/>
    <w:rsid w:val="00AC1157"/>
    <w:rsid w:val="00AC6E69"/>
    <w:rsid w:val="00AC7805"/>
    <w:rsid w:val="00AD5DF4"/>
    <w:rsid w:val="00AE38E7"/>
    <w:rsid w:val="00AE3D58"/>
    <w:rsid w:val="00AE4B31"/>
    <w:rsid w:val="00AF0E95"/>
    <w:rsid w:val="00AF4E21"/>
    <w:rsid w:val="00AF5B69"/>
    <w:rsid w:val="00AF5ECC"/>
    <w:rsid w:val="00B0192D"/>
    <w:rsid w:val="00B02D3D"/>
    <w:rsid w:val="00B04F73"/>
    <w:rsid w:val="00B11873"/>
    <w:rsid w:val="00B141E4"/>
    <w:rsid w:val="00B14268"/>
    <w:rsid w:val="00B23333"/>
    <w:rsid w:val="00B31ACF"/>
    <w:rsid w:val="00B323C0"/>
    <w:rsid w:val="00B32F0A"/>
    <w:rsid w:val="00B357C2"/>
    <w:rsid w:val="00B36C79"/>
    <w:rsid w:val="00B36FE2"/>
    <w:rsid w:val="00B43C2E"/>
    <w:rsid w:val="00B519EB"/>
    <w:rsid w:val="00B52A74"/>
    <w:rsid w:val="00B5732E"/>
    <w:rsid w:val="00B62B5D"/>
    <w:rsid w:val="00B64551"/>
    <w:rsid w:val="00B64CFF"/>
    <w:rsid w:val="00B83D23"/>
    <w:rsid w:val="00B86533"/>
    <w:rsid w:val="00B86B1C"/>
    <w:rsid w:val="00B913A5"/>
    <w:rsid w:val="00B93009"/>
    <w:rsid w:val="00BA287D"/>
    <w:rsid w:val="00BA47C6"/>
    <w:rsid w:val="00BB1BD2"/>
    <w:rsid w:val="00BB635D"/>
    <w:rsid w:val="00BB7CAD"/>
    <w:rsid w:val="00BC218F"/>
    <w:rsid w:val="00BC2D7F"/>
    <w:rsid w:val="00BC378E"/>
    <w:rsid w:val="00BC3A4C"/>
    <w:rsid w:val="00BD5A83"/>
    <w:rsid w:val="00BE3434"/>
    <w:rsid w:val="00BF1A5B"/>
    <w:rsid w:val="00BF23E5"/>
    <w:rsid w:val="00C03ABD"/>
    <w:rsid w:val="00C04D0F"/>
    <w:rsid w:val="00C065ED"/>
    <w:rsid w:val="00C07DFB"/>
    <w:rsid w:val="00C128C4"/>
    <w:rsid w:val="00C13624"/>
    <w:rsid w:val="00C13726"/>
    <w:rsid w:val="00C14123"/>
    <w:rsid w:val="00C14C52"/>
    <w:rsid w:val="00C37204"/>
    <w:rsid w:val="00C45A86"/>
    <w:rsid w:val="00C46554"/>
    <w:rsid w:val="00C50962"/>
    <w:rsid w:val="00C50ADC"/>
    <w:rsid w:val="00C675C1"/>
    <w:rsid w:val="00C779D4"/>
    <w:rsid w:val="00C832E5"/>
    <w:rsid w:val="00C868DF"/>
    <w:rsid w:val="00C87ACD"/>
    <w:rsid w:val="00C9028B"/>
    <w:rsid w:val="00C95799"/>
    <w:rsid w:val="00CA5736"/>
    <w:rsid w:val="00CA74D3"/>
    <w:rsid w:val="00CA767A"/>
    <w:rsid w:val="00CB13DE"/>
    <w:rsid w:val="00CB6441"/>
    <w:rsid w:val="00CD2CBA"/>
    <w:rsid w:val="00CD5175"/>
    <w:rsid w:val="00CE4E7D"/>
    <w:rsid w:val="00CE760E"/>
    <w:rsid w:val="00CF72AE"/>
    <w:rsid w:val="00CF7585"/>
    <w:rsid w:val="00D0274C"/>
    <w:rsid w:val="00D05D1F"/>
    <w:rsid w:val="00D12505"/>
    <w:rsid w:val="00D163D9"/>
    <w:rsid w:val="00D20C09"/>
    <w:rsid w:val="00D232EA"/>
    <w:rsid w:val="00D246C4"/>
    <w:rsid w:val="00D31480"/>
    <w:rsid w:val="00D43B26"/>
    <w:rsid w:val="00D455F0"/>
    <w:rsid w:val="00D51A74"/>
    <w:rsid w:val="00D559FA"/>
    <w:rsid w:val="00D60EE1"/>
    <w:rsid w:val="00D63769"/>
    <w:rsid w:val="00D6477E"/>
    <w:rsid w:val="00D71ACB"/>
    <w:rsid w:val="00D76454"/>
    <w:rsid w:val="00D77019"/>
    <w:rsid w:val="00D84B83"/>
    <w:rsid w:val="00D87569"/>
    <w:rsid w:val="00DA0356"/>
    <w:rsid w:val="00DA22E2"/>
    <w:rsid w:val="00DA3369"/>
    <w:rsid w:val="00DC29A1"/>
    <w:rsid w:val="00DC427E"/>
    <w:rsid w:val="00DD69B1"/>
    <w:rsid w:val="00DD7349"/>
    <w:rsid w:val="00DE4921"/>
    <w:rsid w:val="00DE5B3E"/>
    <w:rsid w:val="00DE674E"/>
    <w:rsid w:val="00E068E4"/>
    <w:rsid w:val="00E12824"/>
    <w:rsid w:val="00E1318E"/>
    <w:rsid w:val="00E21C8D"/>
    <w:rsid w:val="00E25D01"/>
    <w:rsid w:val="00E26A7C"/>
    <w:rsid w:val="00E327AE"/>
    <w:rsid w:val="00E408A2"/>
    <w:rsid w:val="00E41EA0"/>
    <w:rsid w:val="00E52999"/>
    <w:rsid w:val="00E54DC5"/>
    <w:rsid w:val="00E566A1"/>
    <w:rsid w:val="00E61B82"/>
    <w:rsid w:val="00E6241D"/>
    <w:rsid w:val="00E75FD9"/>
    <w:rsid w:val="00E8404B"/>
    <w:rsid w:val="00E87867"/>
    <w:rsid w:val="00E943EE"/>
    <w:rsid w:val="00E958EF"/>
    <w:rsid w:val="00E972EB"/>
    <w:rsid w:val="00EA00FE"/>
    <w:rsid w:val="00EA22B2"/>
    <w:rsid w:val="00EB166A"/>
    <w:rsid w:val="00EC196A"/>
    <w:rsid w:val="00EC296E"/>
    <w:rsid w:val="00EC6837"/>
    <w:rsid w:val="00EC7BBE"/>
    <w:rsid w:val="00ED0A2E"/>
    <w:rsid w:val="00ED292B"/>
    <w:rsid w:val="00ED3871"/>
    <w:rsid w:val="00ED6564"/>
    <w:rsid w:val="00ED72A2"/>
    <w:rsid w:val="00EE2C5D"/>
    <w:rsid w:val="00EE3061"/>
    <w:rsid w:val="00EE7147"/>
    <w:rsid w:val="00EF08C9"/>
    <w:rsid w:val="00F23681"/>
    <w:rsid w:val="00F27C1C"/>
    <w:rsid w:val="00F27E20"/>
    <w:rsid w:val="00F363EA"/>
    <w:rsid w:val="00F42CD0"/>
    <w:rsid w:val="00F45D1C"/>
    <w:rsid w:val="00F47030"/>
    <w:rsid w:val="00F50553"/>
    <w:rsid w:val="00F52907"/>
    <w:rsid w:val="00F533BB"/>
    <w:rsid w:val="00F61A8A"/>
    <w:rsid w:val="00F70AC7"/>
    <w:rsid w:val="00F72321"/>
    <w:rsid w:val="00F761C4"/>
    <w:rsid w:val="00F82829"/>
    <w:rsid w:val="00F85303"/>
    <w:rsid w:val="00F9319A"/>
    <w:rsid w:val="00F972DE"/>
    <w:rsid w:val="00FA3EFD"/>
    <w:rsid w:val="00FA518D"/>
    <w:rsid w:val="00FA7226"/>
    <w:rsid w:val="00FB1FA3"/>
    <w:rsid w:val="00FB563A"/>
    <w:rsid w:val="00FB5EDA"/>
    <w:rsid w:val="00FB6465"/>
    <w:rsid w:val="00FE2FE4"/>
    <w:rsid w:val="00FE46C6"/>
    <w:rsid w:val="00FF32AE"/>
    <w:rsid w:val="00FF5421"/>
    <w:rsid w:val="00FF5A1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710D1"/>
  <w15:docId w15:val="{EEF95A3C-1899-46D9-8671-4FC0E04A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C68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8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EC6837"/>
    <w:pPr>
      <w:spacing w:before="160" w:after="160" w:line="220" w:lineRule="atLeast"/>
      <w:jc w:val="center"/>
    </w:pPr>
    <w:rPr>
      <w:i/>
      <w:sz w:val="22"/>
      <w:szCs w:val="20"/>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C6837"/>
    <w:pPr>
      <w:pBdr>
        <w:top w:val="single" w:sz="12" w:space="8" w:color="auto"/>
        <w:bottom w:val="single" w:sz="12" w:space="8" w:color="auto"/>
      </w:pBdr>
      <w:spacing w:after="480" w:line="230" w:lineRule="exact"/>
      <w:jc w:val="center"/>
    </w:pPr>
    <w:rPr>
      <w:caps/>
      <w:spacing w:val="74"/>
      <w:sz w:val="22"/>
      <w:lang w:eastAsia="en-US"/>
    </w:rPr>
  </w:style>
  <w:style w:type="paragraph" w:styleId="Caption">
    <w:name w:val="caption"/>
    <w:basedOn w:val="Normal"/>
    <w:next w:val="Normal"/>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next w:val="Pre"/>
    <w:rsid w:val="00EC6837"/>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ComingC">
    <w:name w:val="ComingC"/>
    <w:basedOn w:val="Coming"/>
    <w:rsid w:val="00EC6837"/>
    <w:pPr>
      <w:tabs>
        <w:tab w:val="clear" w:pos="3232"/>
        <w:tab w:val="clear" w:pos="3629"/>
      </w:tabs>
      <w:spacing w:before="80"/>
      <w:ind w:left="1956" w:right="3400"/>
      <w:jc w:val="left"/>
    </w:pPr>
  </w:style>
  <w:style w:type="character" w:styleId="CommentReference">
    <w:name w:val="annotation reference"/>
    <w:semiHidden/>
    <w:rsid w:val="00EC6837"/>
    <w:rPr>
      <w:sz w:val="16"/>
      <w:szCs w:val="16"/>
    </w:rPr>
  </w:style>
  <w:style w:type="paragraph" w:styleId="CommentText">
    <w:name w:val="annotation text"/>
    <w:basedOn w:val="Normal"/>
    <w:semiHidden/>
    <w:rsid w:val="00EC6837"/>
    <w:pPr>
      <w:spacing w:line="220" w:lineRule="atLeast"/>
      <w:jc w:val="both"/>
    </w:pPr>
    <w:rPr>
      <w:rFonts w:ascii="Arial" w:hAnsi="Arial"/>
      <w:sz w:val="20"/>
      <w:szCs w:val="20"/>
      <w:lang w:eastAsia="en-US"/>
    </w:rPr>
  </w:style>
  <w:style w:type="paragraph" w:styleId="CommentSubject">
    <w:name w:val="annotation subject"/>
    <w:basedOn w:val="CommentText"/>
    <w:next w:val="CommentText"/>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styleId="FootnoteText">
    <w:name w:val="footnote text"/>
    <w:basedOn w:val="Normal"/>
    <w:next w:val="Normal"/>
    <w:semiHidden/>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semiHidden/>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rsid w:val="00EC6837"/>
    <w:pPr>
      <w:keepNext/>
      <w:spacing w:before="320" w:line="220" w:lineRule="atLeast"/>
      <w:jc w:val="both"/>
    </w:pPr>
    <w:rPr>
      <w:b/>
      <w:sz w:val="21"/>
      <w:szCs w:val="20"/>
      <w:lang w:eastAsia="en-US"/>
    </w:rPr>
  </w:style>
  <w:style w:type="paragraph" w:customStyle="1" w:styleId="H2">
    <w:name w:val="H2"/>
    <w:basedOn w:val="Heading2"/>
    <w:next w:val="N2"/>
    <w:rsid w:val="00EC683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Header">
    <w:name w:val="header"/>
    <w:basedOn w:val="Normal"/>
    <w:link w:val="HeaderChar"/>
    <w:uiPriority w:val="99"/>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EC6837"/>
    <w:pPr>
      <w:spacing w:line="240" w:lineRule="exact"/>
    </w:pPr>
    <w:rPr>
      <w:noProof/>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H2">
    <w:name w:val="LQH2"/>
    <w:basedOn w:val="H2"/>
    <w:next w:val="LQN2"/>
    <w:rsid w:val="00EC6837"/>
    <w:pPr>
      <w:ind w:left="737"/>
    </w:pPr>
  </w:style>
  <w:style w:type="paragraph" w:customStyle="1" w:styleId="LQH3">
    <w:name w:val="LQH3"/>
    <w:basedOn w:val="H3"/>
    <w:next w:val="LQN3"/>
    <w:rsid w:val="00EC6837"/>
    <w:pPr>
      <w:ind w:left="90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N2">
    <w:name w:val="LQN2"/>
    <w:basedOn w:val="LQN1"/>
    <w:rsid w:val="00EC6837"/>
    <w:pPr>
      <w:spacing w:before="80"/>
    </w:pPr>
  </w:style>
  <w:style w:type="paragraph" w:customStyle="1" w:styleId="LQN3">
    <w:name w:val="LQN3"/>
    <w:basedOn w:val="LQN2"/>
    <w:rsid w:val="00EC6837"/>
    <w:pPr>
      <w:tabs>
        <w:tab w:val="left" w:pos="1304"/>
      </w:tabs>
      <w:ind w:left="1304" w:hanging="397"/>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EC6837"/>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semiHidden/>
    <w:rsid w:val="00EC6837"/>
    <w:pPr>
      <w:keepNext/>
      <w:tabs>
        <w:tab w:val="right" w:pos="7938"/>
      </w:tabs>
      <w:spacing w:after="40" w:line="220" w:lineRule="atLeast"/>
      <w:jc w:val="center"/>
    </w:pPr>
    <w:rPr>
      <w:noProof/>
      <w:szCs w:val="20"/>
      <w:lang w:eastAsia="en-US"/>
    </w:r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2">
    <w:name w:val="LQTOC 2"/>
    <w:basedOn w:val="TOC2"/>
    <w:next w:val="LQTOC3"/>
    <w:autoRedefine/>
    <w:rsid w:val="00EC6837"/>
    <w:pPr>
      <w:ind w:left="567"/>
    </w:pPr>
  </w:style>
  <w:style w:type="paragraph" w:styleId="TOC2">
    <w:name w:val="toc 2"/>
    <w:basedOn w:val="Normal"/>
    <w:next w:val="Normal"/>
    <w:autoRedefine/>
    <w:semiHidden/>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semiHidden/>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semiHidden/>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EC6837"/>
    <w:pPr>
      <w:numPr>
        <w:numId w:val="11"/>
      </w:numPr>
      <w:spacing w:before="160" w:line="220" w:lineRule="atLeast"/>
      <w:jc w:val="both"/>
    </w:pPr>
    <w:rPr>
      <w:sz w:val="21"/>
      <w:szCs w:val="20"/>
      <w:lang w:eastAsia="en-US"/>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2">
    <w:name w:val="N2"/>
    <w:basedOn w:val="N1"/>
    <w:rsid w:val="00EC6837"/>
    <w:pPr>
      <w:numPr>
        <w:ilvl w:val="1"/>
      </w:numPr>
      <w:spacing w:before="80"/>
    </w:pPr>
  </w:style>
  <w:style w:type="paragraph" w:customStyle="1" w:styleId="N3">
    <w:name w:val="N3"/>
    <w:basedOn w:val="N2"/>
    <w:rsid w:val="00EC6837"/>
    <w:pPr>
      <w:numPr>
        <w:ilvl w:val="2"/>
      </w:numPr>
    </w:p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H2">
    <w:name w:val="NLQH2"/>
    <w:basedOn w:val="LQH2"/>
    <w:next w:val="NLQN2"/>
    <w:rsid w:val="00EC6837"/>
    <w:pPr>
      <w:ind w:left="1304"/>
    </w:pPr>
  </w:style>
  <w:style w:type="paragraph" w:customStyle="1" w:styleId="NLQH3">
    <w:name w:val="NLQH3"/>
    <w:basedOn w:val="LQH3"/>
    <w:next w:val="NLQN3"/>
    <w:rsid w:val="00EC6837"/>
    <w:pPr>
      <w:ind w:left="1474"/>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1">
    <w:name w:val="NLQN1"/>
    <w:basedOn w:val="LQN1"/>
    <w:rsid w:val="00EC6837"/>
    <w:pPr>
      <w:ind w:left="1134"/>
    </w:pPr>
  </w:style>
  <w:style w:type="paragraph" w:customStyle="1" w:styleId="NLQN2">
    <w:name w:val="NLQN2"/>
    <w:basedOn w:val="LQN2"/>
    <w:rsid w:val="00EC6837"/>
    <w:pPr>
      <w:ind w:left="1134"/>
    </w:pPr>
  </w:style>
  <w:style w:type="paragraph" w:customStyle="1" w:styleId="NLQN3">
    <w:name w:val="NLQN3"/>
    <w:basedOn w:val="LQN3"/>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
    <w:name w:val="NLQT1"/>
    <w:basedOn w:val="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paragraph" w:customStyle="1" w:styleId="NLQTableTopText">
    <w:name w:val="NLQTableTopText"/>
    <w:basedOn w:val="LQTableTopText"/>
    <w:rsid w:val="00EC6837"/>
    <w:pPr>
      <w:ind w:left="1134"/>
    </w:pPr>
  </w:style>
  <w:style w:type="paragraph" w:customStyle="1" w:styleId="Number">
    <w:name w:val="Number"/>
    <w:basedOn w:val="Normal"/>
    <w:next w:val="subject"/>
    <w:rsid w:val="00EC6837"/>
    <w:pPr>
      <w:spacing w:after="320"/>
      <w:jc w:val="center"/>
    </w:pPr>
    <w:rPr>
      <w:b/>
      <w:sz w:val="32"/>
      <w:szCs w:val="20"/>
      <w:lang w:eastAsia="en-US"/>
    </w:r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Pre">
    <w:name w:val="Pre"/>
    <w:basedOn w:val="Normal"/>
    <w:rsid w:val="00EC6837"/>
    <w:pPr>
      <w:spacing w:before="360" w:line="220" w:lineRule="atLeast"/>
      <w:jc w:val="both"/>
    </w:pPr>
    <w:rPr>
      <w:sz w:val="21"/>
      <w:szCs w:val="20"/>
      <w:lang w:eastAsia="en-US"/>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rsid w:val="00EC6837"/>
    <w:pPr>
      <w:keepLines/>
      <w:tabs>
        <w:tab w:val="right" w:pos="8280"/>
      </w:tabs>
      <w:spacing w:line="220" w:lineRule="atLeast"/>
    </w:pPr>
    <w:rPr>
      <w:sz w:val="21"/>
      <w:szCs w:val="20"/>
      <w:lang w:eastAsia="en-US"/>
    </w:rPr>
  </w:style>
  <w:style w:type="paragraph" w:styleId="Signature">
    <w:name w:val="Signature"/>
    <w:basedOn w:val="Normal"/>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Subsub">
    <w:name w:val="Subsub"/>
    <w:basedOn w:val="Normal"/>
    <w:rsid w:val="00EC6837"/>
    <w:pPr>
      <w:spacing w:after="360"/>
      <w:jc w:val="center"/>
    </w:pPr>
    <w:rPr>
      <w:b/>
      <w:caps/>
      <w:szCs w:val="20"/>
      <w:lang w:eastAsia="en-US"/>
    </w:rPr>
  </w:style>
  <w:style w:type="paragraph" w:customStyle="1" w:styleId="T1">
    <w:name w:val="T1"/>
    <w:basedOn w:val="Normal"/>
    <w:link w:val="T1Char"/>
    <w:rsid w:val="00EC6837"/>
    <w:pPr>
      <w:spacing w:before="160" w:line="220" w:lineRule="atLeast"/>
      <w:jc w:val="both"/>
    </w:pPr>
    <w:rPr>
      <w:sz w:val="21"/>
      <w:szCs w:val="20"/>
      <w:lang w:eastAsia="en-US"/>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styleId="Title">
    <w:name w:val="Title"/>
    <w:basedOn w:val="Normal"/>
    <w:qFormat/>
    <w:rsid w:val="00EC6837"/>
    <w:pPr>
      <w:spacing w:after="600"/>
      <w:jc w:val="center"/>
    </w:pPr>
    <w:rPr>
      <w:kern w:val="28"/>
      <w:sz w:val="32"/>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da-DK" w:eastAsia="en-US" w:bidi="ar-SA"/>
    </w:rPr>
  </w:style>
  <w:style w:type="character" w:customStyle="1" w:styleId="MadeChar">
    <w:name w:val="Made Char"/>
    <w:link w:val="Made"/>
    <w:locked/>
    <w:rsid w:val="00E61B82"/>
    <w:rPr>
      <w:i/>
      <w:sz w:val="21"/>
      <w:lang w:val="da-DK"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rsid w:val="00CA5736"/>
    <w:rPr>
      <w:color w:val="auto"/>
      <w:u w:val="none"/>
    </w:rPr>
  </w:style>
  <w:style w:type="paragraph" w:customStyle="1" w:styleId="EULQDefPara">
    <w:name w:val="EULQ Def Para"/>
    <w:basedOn w:val="LQDefPara"/>
    <w:qFormat/>
    <w:rsid w:val="00AA66BB"/>
  </w:style>
  <w:style w:type="paragraph" w:customStyle="1" w:styleId="EULQArrHead">
    <w:name w:val="EULQArrHead"/>
    <w:basedOn w:val="LQArrHead"/>
    <w:next w:val="EULQTOC1"/>
    <w:qFormat/>
    <w:rsid w:val="00753861"/>
  </w:style>
  <w:style w:type="paragraph" w:customStyle="1" w:styleId="EULQDisplayItem">
    <w:name w:val="EULQDisplayItem"/>
    <w:basedOn w:val="LQDisplayItem"/>
    <w:qFormat/>
    <w:rsid w:val="00A35443"/>
  </w:style>
  <w:style w:type="paragraph" w:customStyle="1" w:styleId="EULQH1">
    <w:name w:val="EULQH1"/>
    <w:basedOn w:val="LQH1"/>
    <w:next w:val="EULQN1"/>
    <w:qFormat/>
    <w:rsid w:val="007C264A"/>
  </w:style>
  <w:style w:type="paragraph" w:customStyle="1" w:styleId="EULQH2">
    <w:name w:val="EULQH2"/>
    <w:basedOn w:val="LQH2"/>
    <w:next w:val="EULQN2"/>
    <w:qFormat/>
    <w:rsid w:val="007C264A"/>
  </w:style>
  <w:style w:type="paragraph" w:customStyle="1" w:styleId="EULQH3">
    <w:name w:val="EULQH3"/>
    <w:basedOn w:val="LQH3"/>
    <w:next w:val="EULQN3"/>
    <w:qFormat/>
    <w:rsid w:val="007C264A"/>
  </w:style>
  <w:style w:type="paragraph" w:customStyle="1" w:styleId="EULQList1">
    <w:name w:val="EULQList1"/>
    <w:basedOn w:val="LQList1"/>
    <w:qFormat/>
    <w:rsid w:val="008F26D4"/>
    <w:pPr>
      <w:ind w:left="964"/>
    </w:pPr>
  </w:style>
  <w:style w:type="paragraph" w:customStyle="1" w:styleId="EULQList1Cont">
    <w:name w:val="EULQList1 Cont"/>
    <w:basedOn w:val="LQList1Cont"/>
    <w:qFormat/>
    <w:rsid w:val="00377EA3"/>
    <w:pPr>
      <w:ind w:left="964"/>
    </w:pPr>
  </w:style>
  <w:style w:type="paragraph" w:customStyle="1" w:styleId="EULQN1">
    <w:name w:val="EULQN1"/>
    <w:basedOn w:val="LQN1"/>
    <w:qFormat/>
    <w:rsid w:val="00832653"/>
    <w:pPr>
      <w:tabs>
        <w:tab w:val="left" w:pos="1134"/>
      </w:tabs>
      <w:ind w:firstLine="0"/>
    </w:pPr>
  </w:style>
  <w:style w:type="paragraph" w:customStyle="1" w:styleId="EULQN2">
    <w:name w:val="EULQN2"/>
    <w:basedOn w:val="LQN2"/>
    <w:qFormat/>
    <w:rsid w:val="00E25D01"/>
  </w:style>
  <w:style w:type="paragraph" w:customStyle="1" w:styleId="EULQN3">
    <w:name w:val="EULQN3"/>
    <w:basedOn w:val="LQN3"/>
    <w:qFormat/>
    <w:rsid w:val="00E52999"/>
    <w:pPr>
      <w:tabs>
        <w:tab w:val="clear" w:pos="1304"/>
        <w:tab w:val="left" w:pos="964"/>
      </w:tabs>
      <w:ind w:left="964"/>
    </w:pPr>
  </w:style>
  <w:style w:type="paragraph" w:customStyle="1" w:styleId="EULQN3-N4">
    <w:name w:val="EULQN3-N4"/>
    <w:basedOn w:val="LQN3-N4"/>
    <w:next w:val="EULQN4"/>
    <w:qFormat/>
    <w:rsid w:val="00E25D01"/>
  </w:style>
  <w:style w:type="paragraph" w:customStyle="1" w:styleId="EULQN4">
    <w:name w:val="EULQN4"/>
    <w:basedOn w:val="LQN4"/>
    <w:qFormat/>
    <w:rsid w:val="00A94825"/>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E25D01"/>
  </w:style>
  <w:style w:type="paragraph" w:customStyle="1" w:styleId="EULQN5">
    <w:name w:val="EULQN5"/>
    <w:basedOn w:val="LQN5"/>
    <w:qFormat/>
    <w:rsid w:val="00E25D01"/>
  </w:style>
  <w:style w:type="paragraph" w:customStyle="1" w:styleId="EULQpart">
    <w:name w:val="EULQpart"/>
    <w:basedOn w:val="LQpart"/>
    <w:next w:val="EULQpartHead"/>
    <w:qFormat/>
    <w:rsid w:val="00E25D01"/>
  </w:style>
  <w:style w:type="paragraph" w:customStyle="1" w:styleId="EULQpartHead">
    <w:name w:val="EULQpartHead"/>
    <w:basedOn w:val="LQpartHead"/>
    <w:next w:val="EULQT1"/>
    <w:qFormat/>
    <w:rsid w:val="00E25D01"/>
  </w:style>
  <w:style w:type="paragraph" w:customStyle="1" w:styleId="EULQschedule">
    <w:name w:val="EULQschedule"/>
    <w:basedOn w:val="LQschedule"/>
    <w:next w:val="EULQscheduleHead"/>
    <w:qFormat/>
    <w:rsid w:val="00E25D01"/>
  </w:style>
  <w:style w:type="paragraph" w:customStyle="1" w:styleId="EULQscheduleHead">
    <w:name w:val="EULQscheduleHead"/>
    <w:basedOn w:val="LQscheduleHead"/>
    <w:next w:val="EULQT1"/>
    <w:qFormat/>
    <w:rsid w:val="00E25D01"/>
  </w:style>
  <w:style w:type="paragraph" w:customStyle="1" w:styleId="EULQschedules">
    <w:name w:val="EULQschedules"/>
    <w:basedOn w:val="LQschedules"/>
    <w:qFormat/>
    <w:rsid w:val="00E25D01"/>
  </w:style>
  <w:style w:type="paragraph" w:customStyle="1" w:styleId="EULQsection">
    <w:name w:val="EULQsection"/>
    <w:basedOn w:val="LQsection"/>
    <w:next w:val="EULQsectionHead"/>
    <w:qFormat/>
    <w:rsid w:val="00803635"/>
    <w:pPr>
      <w:spacing w:line="220" w:lineRule="atLeast"/>
    </w:pPr>
    <w:rPr>
      <w:i/>
      <w:sz w:val="21"/>
    </w:rPr>
  </w:style>
  <w:style w:type="paragraph" w:customStyle="1" w:styleId="EULQsectionHead">
    <w:name w:val="EULQsectionHead"/>
    <w:basedOn w:val="LQsectionHead"/>
    <w:next w:val="EULQT1"/>
    <w:qFormat/>
    <w:rsid w:val="00031649"/>
    <w:rPr>
      <w:b/>
      <w:i w:val="0"/>
    </w:rPr>
  </w:style>
  <w:style w:type="paragraph" w:customStyle="1" w:styleId="EULQSublist1">
    <w:name w:val="EULQSublist1"/>
    <w:basedOn w:val="LQSublist1"/>
    <w:qFormat/>
    <w:rsid w:val="004D6A75"/>
    <w:pPr>
      <w:ind w:left="1361"/>
    </w:pPr>
  </w:style>
  <w:style w:type="paragraph" w:customStyle="1" w:styleId="EULQSublist1Cont">
    <w:name w:val="EULQSublist1 Cont"/>
    <w:basedOn w:val="LQSublist1Cont"/>
    <w:qFormat/>
    <w:rsid w:val="004D6A75"/>
    <w:pPr>
      <w:ind w:left="1361"/>
    </w:pPr>
  </w:style>
  <w:style w:type="paragraph" w:customStyle="1" w:styleId="EULQsubPart">
    <w:name w:val="EULQsubPart"/>
    <w:basedOn w:val="LQsubPart"/>
    <w:next w:val="EULQSubPartHead"/>
    <w:qFormat/>
    <w:rsid w:val="00955042"/>
  </w:style>
  <w:style w:type="paragraph" w:customStyle="1" w:styleId="EULQsubSection">
    <w:name w:val="EULQsubSection"/>
    <w:basedOn w:val="LQsubSection"/>
    <w:next w:val="EULQsubSectionHead"/>
    <w:qFormat/>
    <w:rsid w:val="00955042"/>
  </w:style>
  <w:style w:type="paragraph" w:customStyle="1" w:styleId="EULQsubSectionHead">
    <w:name w:val="EULQsubSectionHead"/>
    <w:basedOn w:val="LQsubSectionHead"/>
    <w:next w:val="EULQT1"/>
    <w:qFormat/>
    <w:rsid w:val="00955042"/>
  </w:style>
  <w:style w:type="paragraph" w:customStyle="1" w:styleId="EULQT1">
    <w:name w:val="EULQT1"/>
    <w:basedOn w:val="LQT1"/>
    <w:qFormat/>
    <w:rsid w:val="00E52999"/>
  </w:style>
  <w:style w:type="paragraph" w:customStyle="1" w:styleId="EULQT1Indent">
    <w:name w:val="EULQT1 Indent"/>
    <w:basedOn w:val="LQT1Indent"/>
    <w:qFormat/>
    <w:rsid w:val="0096610D"/>
  </w:style>
  <w:style w:type="paragraph" w:customStyle="1" w:styleId="EULQT2">
    <w:name w:val="EULQT2"/>
    <w:basedOn w:val="LQT2"/>
    <w:qFormat/>
    <w:rsid w:val="0096610D"/>
  </w:style>
  <w:style w:type="paragraph" w:customStyle="1" w:styleId="EULQT3">
    <w:name w:val="EULQT3"/>
    <w:basedOn w:val="LQT3"/>
    <w:qFormat/>
    <w:rsid w:val="00586A38"/>
    <w:pPr>
      <w:ind w:left="964"/>
    </w:pPr>
  </w:style>
  <w:style w:type="paragraph" w:customStyle="1" w:styleId="EULQT4">
    <w:name w:val="EULQT4"/>
    <w:basedOn w:val="LQT4"/>
    <w:qFormat/>
    <w:rsid w:val="006B79E5"/>
    <w:pPr>
      <w:ind w:left="1361"/>
    </w:pPr>
  </w:style>
  <w:style w:type="paragraph" w:customStyle="1" w:styleId="EULQT5">
    <w:name w:val="EULQT5"/>
    <w:basedOn w:val="LQT5"/>
    <w:qFormat/>
    <w:rsid w:val="0096610D"/>
  </w:style>
  <w:style w:type="paragraph" w:customStyle="1" w:styleId="EULQTableCaption">
    <w:name w:val="EULQTableCaption"/>
    <w:basedOn w:val="LQTableCaption"/>
    <w:next w:val="EULQTableTopText"/>
    <w:qFormat/>
    <w:rsid w:val="001E5D59"/>
  </w:style>
  <w:style w:type="paragraph" w:customStyle="1" w:styleId="EULQTableFoot">
    <w:name w:val="EULQTableFoot"/>
    <w:basedOn w:val="LQTableFoot"/>
    <w:qFormat/>
    <w:rsid w:val="00C46554"/>
  </w:style>
  <w:style w:type="paragraph" w:customStyle="1" w:styleId="EULQTableNumber">
    <w:name w:val="EULQTableNumber"/>
    <w:basedOn w:val="LQTableNumber"/>
    <w:next w:val="EULQTableCaption"/>
    <w:qFormat/>
    <w:rsid w:val="00380763"/>
  </w:style>
  <w:style w:type="paragraph" w:customStyle="1" w:styleId="EULQTableTopText">
    <w:name w:val="EULQTableTopText"/>
    <w:basedOn w:val="LQTableTopText"/>
    <w:qFormat/>
    <w:rsid w:val="00FB1FA3"/>
  </w:style>
  <w:style w:type="paragraph" w:customStyle="1" w:styleId="EULQTOC1">
    <w:name w:val="EULQTOC 1"/>
    <w:basedOn w:val="LQTOC1"/>
    <w:next w:val="EULQTOC2"/>
    <w:qFormat/>
    <w:rsid w:val="00FB1FA3"/>
  </w:style>
  <w:style w:type="paragraph" w:customStyle="1" w:styleId="EULQTOC10">
    <w:name w:val="EULQTOC 10"/>
    <w:basedOn w:val="LQTOC10"/>
    <w:qFormat/>
    <w:rsid w:val="00FB1FA3"/>
  </w:style>
  <w:style w:type="paragraph" w:customStyle="1" w:styleId="EULQTOC11">
    <w:name w:val="EULQTOC 11"/>
    <w:basedOn w:val="LQTOC11"/>
    <w:qFormat/>
    <w:rsid w:val="00FB1FA3"/>
  </w:style>
  <w:style w:type="paragraph" w:customStyle="1" w:styleId="EULQTOC12">
    <w:name w:val="EULQTOC 12"/>
    <w:basedOn w:val="LQTOC12"/>
    <w:qFormat/>
    <w:rsid w:val="00FB1FA3"/>
  </w:style>
  <w:style w:type="paragraph" w:customStyle="1" w:styleId="EULQTOC2">
    <w:name w:val="EULQTOC 2"/>
    <w:basedOn w:val="LQTOC2"/>
    <w:next w:val="EULQTOC3"/>
    <w:qFormat/>
    <w:rsid w:val="00FB1FA3"/>
  </w:style>
  <w:style w:type="paragraph" w:customStyle="1" w:styleId="EULQTOC3">
    <w:name w:val="EULQTOC 3"/>
    <w:basedOn w:val="LQTOC3"/>
    <w:next w:val="EULQTOC4"/>
    <w:qFormat/>
    <w:rsid w:val="00FB1FA3"/>
  </w:style>
  <w:style w:type="paragraph" w:customStyle="1" w:styleId="EULQTOC4">
    <w:name w:val="EULQTOC 4"/>
    <w:basedOn w:val="LQTOC4"/>
    <w:next w:val="EULQTOC5"/>
    <w:qFormat/>
    <w:rsid w:val="00FB1FA3"/>
  </w:style>
  <w:style w:type="paragraph" w:customStyle="1" w:styleId="EULQTOC5">
    <w:name w:val="EULQTOC 5"/>
    <w:basedOn w:val="LQTOC5"/>
    <w:next w:val="EULQTOC6"/>
    <w:qFormat/>
    <w:rsid w:val="00FB1FA3"/>
  </w:style>
  <w:style w:type="paragraph" w:customStyle="1" w:styleId="EULQTOC6">
    <w:name w:val="EULQTOC 6"/>
    <w:basedOn w:val="LQTOC6"/>
    <w:next w:val="EULQTOC9"/>
    <w:qFormat/>
    <w:rsid w:val="00FB1FA3"/>
  </w:style>
  <w:style w:type="paragraph" w:customStyle="1" w:styleId="EULQTOC9">
    <w:name w:val="EULQTOC 9"/>
    <w:basedOn w:val="LQTOC9"/>
    <w:qFormat/>
    <w:rsid w:val="00FB1FA3"/>
  </w:style>
  <w:style w:type="paragraph" w:customStyle="1" w:styleId="EULQTOC9Indent">
    <w:name w:val="EULQTOC 9 Indent"/>
    <w:basedOn w:val="LQTOC9Indent"/>
    <w:qFormat/>
    <w:rsid w:val="00645512"/>
  </w:style>
  <w:style w:type="paragraph" w:customStyle="1" w:styleId="EUNLQDefPara">
    <w:name w:val="EUNLQ Def Para"/>
    <w:basedOn w:val="NLQDefPara"/>
    <w:next w:val="EULQDefPara"/>
    <w:qFormat/>
    <w:rsid w:val="00EC196A"/>
  </w:style>
  <w:style w:type="paragraph" w:customStyle="1" w:styleId="EUNLQDisplayItem">
    <w:name w:val="EUNLQDisplayItem"/>
    <w:basedOn w:val="NLQDisplayItem"/>
    <w:next w:val="EULQDisplayItem"/>
    <w:qFormat/>
    <w:rsid w:val="00EC196A"/>
  </w:style>
  <w:style w:type="paragraph" w:customStyle="1" w:styleId="EUNLQH1">
    <w:name w:val="EUNLQH1"/>
    <w:basedOn w:val="NLQH1"/>
    <w:next w:val="EUNLQN1"/>
    <w:qFormat/>
    <w:rsid w:val="004A5981"/>
  </w:style>
  <w:style w:type="paragraph" w:customStyle="1" w:styleId="EUNLQH2">
    <w:name w:val="EUNLQH2"/>
    <w:basedOn w:val="NLQH2"/>
    <w:next w:val="EUNLQN2"/>
    <w:qFormat/>
    <w:rsid w:val="0024543E"/>
  </w:style>
  <w:style w:type="paragraph" w:customStyle="1" w:styleId="EUNLQH3">
    <w:name w:val="EUNLQH3"/>
    <w:basedOn w:val="NLQH3"/>
    <w:next w:val="EUNLQN3"/>
    <w:qFormat/>
    <w:rsid w:val="0024543E"/>
  </w:style>
  <w:style w:type="paragraph" w:customStyle="1" w:styleId="EUNLQList1">
    <w:name w:val="EUNLQList1"/>
    <w:basedOn w:val="NLQList1"/>
    <w:qFormat/>
    <w:rsid w:val="008F26D4"/>
    <w:pPr>
      <w:ind w:left="1531"/>
    </w:pPr>
  </w:style>
  <w:style w:type="paragraph" w:customStyle="1" w:styleId="EUNLQList1Cont">
    <w:name w:val="EUNLQList1 Cont"/>
    <w:basedOn w:val="NLQList1Cont"/>
    <w:qFormat/>
    <w:rsid w:val="00366CFF"/>
    <w:pPr>
      <w:ind w:left="1531"/>
    </w:pPr>
  </w:style>
  <w:style w:type="paragraph" w:customStyle="1" w:styleId="EUNLQN1">
    <w:name w:val="EUNLQN1"/>
    <w:basedOn w:val="NLQN1"/>
    <w:qFormat/>
    <w:rsid w:val="00832653"/>
    <w:pPr>
      <w:tabs>
        <w:tab w:val="left" w:pos="1701"/>
      </w:tabs>
      <w:ind w:firstLine="0"/>
    </w:pPr>
  </w:style>
  <w:style w:type="paragraph" w:customStyle="1" w:styleId="EUNLQN2">
    <w:name w:val="EUNLQN2"/>
    <w:basedOn w:val="NLQN2"/>
    <w:qFormat/>
    <w:rsid w:val="0023008A"/>
  </w:style>
  <w:style w:type="paragraph" w:customStyle="1" w:styleId="EUNLQN3">
    <w:name w:val="EUNLQN3"/>
    <w:basedOn w:val="NLQN3"/>
    <w:qFormat/>
    <w:rsid w:val="00F61A8A"/>
    <w:pPr>
      <w:tabs>
        <w:tab w:val="clear" w:pos="1304"/>
        <w:tab w:val="left" w:pos="964"/>
      </w:tabs>
      <w:ind w:left="1531"/>
    </w:pPr>
  </w:style>
  <w:style w:type="paragraph" w:customStyle="1" w:styleId="EUNLQN3-N4">
    <w:name w:val="EUNLQN3-N4"/>
    <w:basedOn w:val="NLQN3-N4"/>
    <w:next w:val="EUNLQN4"/>
    <w:qFormat/>
    <w:rsid w:val="0023008A"/>
  </w:style>
  <w:style w:type="paragraph" w:customStyle="1" w:styleId="EUNLQN4">
    <w:name w:val="EUNLQN4"/>
    <w:basedOn w:val="NLQN4"/>
    <w:qFormat/>
    <w:rsid w:val="000E71E2"/>
    <w:pPr>
      <w:tabs>
        <w:tab w:val="clear" w:pos="2155"/>
        <w:tab w:val="clear" w:pos="2268"/>
        <w:tab w:val="left" w:pos="1588"/>
      </w:tabs>
      <w:ind w:left="1928" w:hanging="1361"/>
    </w:pPr>
  </w:style>
  <w:style w:type="paragraph" w:customStyle="1" w:styleId="EUNLQN4-N5">
    <w:name w:val="EUNLQN4-N5"/>
    <w:basedOn w:val="NLQN4-N5"/>
    <w:next w:val="EUNLQN5"/>
    <w:qFormat/>
    <w:rsid w:val="00450D00"/>
  </w:style>
  <w:style w:type="paragraph" w:customStyle="1" w:styleId="EUNLQN5">
    <w:name w:val="EUNLQN5"/>
    <w:basedOn w:val="NLQN5"/>
    <w:qFormat/>
    <w:rsid w:val="00731C8C"/>
  </w:style>
  <w:style w:type="paragraph" w:customStyle="1" w:styleId="EUNLQpart">
    <w:name w:val="EUNLQpart"/>
    <w:basedOn w:val="NLQpart"/>
    <w:next w:val="EUNLQpartHead"/>
    <w:qFormat/>
    <w:rsid w:val="00731C8C"/>
  </w:style>
  <w:style w:type="paragraph" w:customStyle="1" w:styleId="EUNLQpartHead">
    <w:name w:val="EUNLQpartHead"/>
    <w:basedOn w:val="NLQpartHead"/>
    <w:next w:val="EUNLQT1"/>
    <w:qFormat/>
    <w:rsid w:val="00731C8C"/>
  </w:style>
  <w:style w:type="paragraph" w:customStyle="1" w:styleId="EUNLQschedule">
    <w:name w:val="EUNLQschedule"/>
    <w:basedOn w:val="NLQschedule"/>
    <w:next w:val="EUNLQscheduleHead"/>
    <w:qFormat/>
    <w:rsid w:val="00731C8C"/>
  </w:style>
  <w:style w:type="paragraph" w:customStyle="1" w:styleId="EUNLQscheduleHead">
    <w:name w:val="EUNLQscheduleHead"/>
    <w:basedOn w:val="NLQscheduleHead"/>
    <w:next w:val="EUNLQT1"/>
    <w:qFormat/>
    <w:rsid w:val="00731C8C"/>
  </w:style>
  <w:style w:type="paragraph" w:customStyle="1" w:styleId="EUNLQschedules">
    <w:name w:val="EUNLQschedules"/>
    <w:basedOn w:val="NLQschedules"/>
    <w:qFormat/>
    <w:rsid w:val="00731C8C"/>
  </w:style>
  <w:style w:type="paragraph" w:customStyle="1" w:styleId="EUNLQsection">
    <w:name w:val="EUNLQsection"/>
    <w:basedOn w:val="NLQsection"/>
    <w:next w:val="EUNLQsectionHead"/>
    <w:qFormat/>
    <w:rsid w:val="00AA448A"/>
    <w:pPr>
      <w:spacing w:line="220" w:lineRule="atLeast"/>
    </w:pPr>
    <w:rPr>
      <w:i/>
      <w:sz w:val="21"/>
    </w:rPr>
  </w:style>
  <w:style w:type="paragraph" w:customStyle="1" w:styleId="EUNLQsectionHead">
    <w:name w:val="EUNLQsectionHead"/>
    <w:basedOn w:val="NLQsectionHead"/>
    <w:next w:val="EUNLQT1"/>
    <w:qFormat/>
    <w:rsid w:val="00DC29A1"/>
    <w:rPr>
      <w:b/>
      <w:i w:val="0"/>
    </w:rPr>
  </w:style>
  <w:style w:type="paragraph" w:customStyle="1" w:styleId="EUNLQSublist1">
    <w:name w:val="EUNLQSublist1"/>
    <w:basedOn w:val="NLQSublist1"/>
    <w:next w:val="EULQSublist1"/>
    <w:qFormat/>
    <w:rsid w:val="000053BF"/>
    <w:pPr>
      <w:ind w:left="1968"/>
    </w:pPr>
  </w:style>
  <w:style w:type="paragraph" w:customStyle="1" w:styleId="EUNLQSublist1Cont">
    <w:name w:val="EUNLQSublist1 Cont"/>
    <w:basedOn w:val="NLQSublist1Cont"/>
    <w:qFormat/>
    <w:rsid w:val="00B86533"/>
    <w:pPr>
      <w:ind w:left="1928"/>
    </w:pPr>
  </w:style>
  <w:style w:type="paragraph" w:customStyle="1" w:styleId="EUNLQsubPart">
    <w:name w:val="EUNLQsubPart"/>
    <w:basedOn w:val="NLQsubPart"/>
    <w:next w:val="EUNLQsubPartHead"/>
    <w:qFormat/>
    <w:rsid w:val="00337C6E"/>
  </w:style>
  <w:style w:type="paragraph" w:customStyle="1" w:styleId="EULQSubPartHead">
    <w:name w:val="EULQSubPartHead"/>
    <w:basedOn w:val="LQsubPartHead"/>
    <w:next w:val="EULQT1"/>
    <w:qFormat/>
    <w:rsid w:val="00B31ACF"/>
  </w:style>
  <w:style w:type="paragraph" w:customStyle="1" w:styleId="EUNLQsubPartHead">
    <w:name w:val="EUNLQsubPartHead"/>
    <w:basedOn w:val="NLQsubPartHead"/>
    <w:next w:val="EUNLQT1"/>
    <w:qFormat/>
    <w:rsid w:val="00B31ACF"/>
  </w:style>
  <w:style w:type="paragraph" w:customStyle="1" w:styleId="EUNLQsubSection">
    <w:name w:val="EUNLQsubSection"/>
    <w:basedOn w:val="NLQsubSection"/>
    <w:next w:val="EUNLQsubSectionHead"/>
    <w:qFormat/>
    <w:rsid w:val="00B31ACF"/>
  </w:style>
  <w:style w:type="paragraph" w:customStyle="1" w:styleId="EUNLQsubSectionHead">
    <w:name w:val="EUNLQsubSectionHead"/>
    <w:basedOn w:val="NLQsubSectionHead"/>
    <w:next w:val="EUNLQT1"/>
    <w:qFormat/>
    <w:rsid w:val="00B31ACF"/>
  </w:style>
  <w:style w:type="paragraph" w:customStyle="1" w:styleId="EUNLQT1">
    <w:name w:val="EUNLQT1"/>
    <w:basedOn w:val="NLQT1"/>
    <w:qFormat/>
    <w:rsid w:val="00E52999"/>
  </w:style>
  <w:style w:type="paragraph" w:customStyle="1" w:styleId="EUNLQT1Indent">
    <w:name w:val="EUNLQT1 Indent"/>
    <w:basedOn w:val="NLQT1Indent"/>
    <w:qFormat/>
    <w:rsid w:val="005D41B8"/>
  </w:style>
  <w:style w:type="paragraph" w:customStyle="1" w:styleId="EUNLQT2">
    <w:name w:val="EUNLQT2"/>
    <w:basedOn w:val="NLQT2"/>
    <w:qFormat/>
    <w:rsid w:val="00891686"/>
  </w:style>
  <w:style w:type="paragraph" w:customStyle="1" w:styleId="EUNLQT3">
    <w:name w:val="EUNLQT3"/>
    <w:basedOn w:val="NLQT3"/>
    <w:qFormat/>
    <w:rsid w:val="00DE5B3E"/>
    <w:pPr>
      <w:ind w:left="1531"/>
    </w:pPr>
  </w:style>
  <w:style w:type="paragraph" w:customStyle="1" w:styleId="EUNLQT4">
    <w:name w:val="EUNLQT4"/>
    <w:basedOn w:val="NLQT4"/>
    <w:qFormat/>
    <w:rsid w:val="008F26D4"/>
    <w:pPr>
      <w:ind w:left="1928"/>
    </w:pPr>
  </w:style>
  <w:style w:type="paragraph" w:customStyle="1" w:styleId="EUNLQT5">
    <w:name w:val="EUNLQT5"/>
    <w:basedOn w:val="NLQT5"/>
    <w:qFormat/>
    <w:rsid w:val="00AB5644"/>
  </w:style>
  <w:style w:type="paragraph" w:customStyle="1" w:styleId="EUNLQTableCaption">
    <w:name w:val="EUNLQTableCaption"/>
    <w:basedOn w:val="NLQTableCaption"/>
    <w:next w:val="EUNLQTableTopText"/>
    <w:qFormat/>
    <w:rsid w:val="003F756B"/>
  </w:style>
  <w:style w:type="paragraph" w:customStyle="1" w:styleId="EUNLQTableFoot">
    <w:name w:val="EUNLQTableFoot"/>
    <w:basedOn w:val="NLQTableFoot"/>
    <w:qFormat/>
    <w:rsid w:val="00B11873"/>
  </w:style>
  <w:style w:type="paragraph" w:customStyle="1" w:styleId="EUNLQTableNumber">
    <w:name w:val="EUNLQTableNumber"/>
    <w:basedOn w:val="NLQTableNumber"/>
    <w:qFormat/>
    <w:rsid w:val="006507EE"/>
  </w:style>
  <w:style w:type="paragraph" w:customStyle="1" w:styleId="EUNLQTableTopText">
    <w:name w:val="EUNLQTableTopText"/>
    <w:basedOn w:val="NLQTableTopText"/>
    <w:qFormat/>
    <w:rsid w:val="00593489"/>
  </w:style>
  <w:style w:type="paragraph" w:customStyle="1" w:styleId="Sifted">
    <w:name w:val="Sifted"/>
    <w:basedOn w:val="Made"/>
    <w:next w:val="Made"/>
    <w:qFormat/>
    <w:rsid w:val="0002747F"/>
  </w:style>
  <w:style w:type="character" w:customStyle="1" w:styleId="T1Char">
    <w:name w:val="T1 Char"/>
    <w:link w:val="T1"/>
    <w:locked/>
    <w:rsid w:val="0083627D"/>
    <w:rPr>
      <w:sz w:val="21"/>
      <w:lang w:eastAsia="en-US"/>
    </w:rPr>
  </w:style>
  <w:style w:type="character" w:styleId="FollowedHyperlink">
    <w:name w:val="FollowedHyperlink"/>
    <w:basedOn w:val="DefaultParagraphFont"/>
    <w:semiHidden/>
    <w:unhideWhenUsed/>
    <w:rsid w:val="00755802"/>
    <w:rPr>
      <w:color w:val="800080" w:themeColor="followedHyperlink"/>
      <w:u w:val="single"/>
    </w:rPr>
  </w:style>
  <w:style w:type="paragraph" w:styleId="BalloonText">
    <w:name w:val="Balloon Text"/>
    <w:basedOn w:val="Normal"/>
    <w:link w:val="BalloonTextChar"/>
    <w:semiHidden/>
    <w:unhideWhenUsed/>
    <w:rsid w:val="00FF32AE"/>
    <w:rPr>
      <w:rFonts w:ascii="Segoe UI" w:hAnsi="Segoe UI" w:cs="Segoe UI"/>
      <w:sz w:val="18"/>
      <w:szCs w:val="18"/>
    </w:rPr>
  </w:style>
  <w:style w:type="character" w:customStyle="1" w:styleId="BalloonTextChar">
    <w:name w:val="Balloon Text Char"/>
    <w:basedOn w:val="DefaultParagraphFont"/>
    <w:link w:val="BalloonText"/>
    <w:semiHidden/>
    <w:rsid w:val="00FF32AE"/>
    <w:rPr>
      <w:rFonts w:ascii="Segoe UI" w:hAnsi="Segoe UI" w:cs="Segoe UI"/>
      <w:sz w:val="18"/>
      <w:szCs w:val="18"/>
    </w:rPr>
  </w:style>
  <w:style w:type="character" w:customStyle="1" w:styleId="HeaderChar">
    <w:name w:val="Header Char"/>
    <w:basedOn w:val="DefaultParagraphFont"/>
    <w:link w:val="Header"/>
    <w:uiPriority w:val="99"/>
    <w:rsid w:val="00F9319A"/>
    <w:rPr>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81940">
      <w:bodyDiv w:val="1"/>
      <w:marLeft w:val="0"/>
      <w:marRight w:val="0"/>
      <w:marTop w:val="0"/>
      <w:marBottom w:val="0"/>
      <w:divBdr>
        <w:top w:val="none" w:sz="0" w:space="0" w:color="auto"/>
        <w:left w:val="none" w:sz="0" w:space="0" w:color="auto"/>
        <w:bottom w:val="none" w:sz="0" w:space="0" w:color="auto"/>
        <w:right w:val="none" w:sz="0" w:space="0" w:color="auto"/>
      </w:divBdr>
      <w:divsChild>
        <w:div w:id="104799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gislation.gov.uk/nisr" TargetMode="External"/><Relationship Id="rId4" Type="http://schemas.openxmlformats.org/officeDocument/2006/relationships/webSettings" Target="webSettings.xml"/><Relationship Id="rId9" Type="http://schemas.openxmlformats.org/officeDocument/2006/relationships/hyperlink" Target="http://www.unece.org/trans/main/wp29/wp29reg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SIDrafting\SI%20V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 V9.dotx</Template>
  <TotalTime>276</TotalTime>
  <Pages>4</Pages>
  <Words>1028</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creator>Caroline Graham</dc:creator>
  <dc:description>Version 9.1</dc:description>
  <cp:lastModifiedBy>Liana Brili</cp:lastModifiedBy>
  <cp:revision>21</cp:revision>
  <cp:lastPrinted>2022-11-25T16:19:00Z</cp:lastPrinted>
  <dcterms:created xsi:type="dcterms:W3CDTF">2022-01-26T15:09:00Z</dcterms:created>
  <dcterms:modified xsi:type="dcterms:W3CDTF">2023-05-02T08:20:00Z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15.0</vt:lpwstr>
  </property>
  <property fmtid="{D5CDD505-2E9C-101B-9397-08002B2CF9AE}" pid="3" name="LastOSversion">
    <vt:lpwstr>16.0</vt:lpwstr>
  </property>
  <property fmtid="{D5CDD505-2E9C-101B-9397-08002B2CF9AE}" pid="4" name="SI template version">
    <vt:lpwstr>Version 9.2</vt:lpwstr>
  </property>
  <property fmtid="{D5CDD505-2E9C-101B-9397-08002B2CF9AE}" pid="5" name="InitialWordVersion">
    <vt:lpwstr>15.0</vt:lpwstr>
  </property>
  <property fmtid="{D5CDD505-2E9C-101B-9397-08002B2CF9AE}" pid="6" name="InitialOSversion">
    <vt:lpwstr>Windows NT 10.0</vt:lpwstr>
  </property>
</Properties>
</file>