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AF1B" w14:textId="77777777" w:rsidR="00E61B82" w:rsidRDefault="000D4452" w:rsidP="00AA66BB">
      <w:pPr>
        <w:pStyle w:val="Banner"/>
      </w:pPr>
      <w:r>
        <w:t>Wettelijke voorschriften van Noord-Ierland [ontwerp]</w:t>
      </w:r>
    </w:p>
    <w:p w14:paraId="5D1F8D67" w14:textId="77777777" w:rsidR="00E61B82" w:rsidRDefault="00E61B82" w:rsidP="00E61B82">
      <w:pPr>
        <w:pStyle w:val="Number"/>
      </w:pPr>
      <w:r>
        <w:t xml:space="preserve">2023 Nr. </w:t>
      </w:r>
    </w:p>
    <w:p w14:paraId="1E808628" w14:textId="77777777" w:rsidR="00E61B82" w:rsidRPr="00292216" w:rsidRDefault="00A07397" w:rsidP="00E61B82">
      <w:pPr>
        <w:pStyle w:val="subject"/>
      </w:pPr>
      <w:r>
        <w:t>wegverkeer en voertuigen</w:t>
      </w:r>
    </w:p>
    <w:p w14:paraId="43A768EC" w14:textId="77777777" w:rsidR="00E61B82" w:rsidRDefault="00A07397" w:rsidP="00E61B82">
      <w:pPr>
        <w:pStyle w:val="Title"/>
      </w:pPr>
      <w:r>
        <w:t>De voorschriften van 2023 inzake motorvoertuigen (constructie en gebruik) (wijziging) (Noord-Ierland)</w:t>
      </w:r>
    </w:p>
    <w:p w14:paraId="08710F03" w14:textId="77777777" w:rsidR="00E61B82" w:rsidRPr="00D87569" w:rsidRDefault="00E61B82" w:rsidP="00BA6E6F">
      <w:pPr>
        <w:pStyle w:val="Made"/>
        <w:tabs>
          <w:tab w:val="clear" w:pos="2438"/>
          <w:tab w:val="left" w:pos="2552"/>
        </w:tabs>
      </w:pPr>
      <w:r>
        <w:t>Opgesteld</w:t>
      </w:r>
      <w:r>
        <w:tab/>
        <w:t>-</w:t>
      </w:r>
      <w:r>
        <w:tab/>
        <w:t>-</w:t>
      </w:r>
      <w:r>
        <w:tab/>
        <w:t>-</w:t>
      </w:r>
      <w:r>
        <w:tab/>
        <w:t>-</w:t>
      </w:r>
      <w:r>
        <w:tab/>
        <w:t>***</w:t>
      </w:r>
    </w:p>
    <w:p w14:paraId="7459A16E" w14:textId="77777777" w:rsidR="00BC3A4C" w:rsidRDefault="00A07397" w:rsidP="00BA6E6F">
      <w:pPr>
        <w:pStyle w:val="Coming"/>
        <w:tabs>
          <w:tab w:val="clear" w:pos="3232"/>
          <w:tab w:val="left" w:pos="3686"/>
        </w:tabs>
      </w:pPr>
      <w:r>
        <w:t>Inwerkingtreding</w:t>
      </w:r>
      <w:r>
        <w:tab/>
        <w:t>-</w:t>
      </w:r>
      <w:r>
        <w:tab/>
        <w:t>***</w:t>
      </w:r>
    </w:p>
    <w:p w14:paraId="2D92F3C5" w14:textId="77777777" w:rsidR="00A07397" w:rsidRPr="00A07397" w:rsidRDefault="00A07397" w:rsidP="00A07397">
      <w:pPr>
        <w:pStyle w:val="Pre"/>
      </w:pPr>
      <w:r>
        <w:t>Het Ministerie van Infrastructuur(</w:t>
      </w:r>
      <w:r>
        <w:rPr>
          <w:rStyle w:val="FootnoteReference"/>
        </w:rPr>
        <w:footnoteReference w:id="2"/>
      </w:r>
      <w:r>
        <w:t>) stelt, in het kader van de uitoefening van de bevoegdheden die haar zijn toegekend bij artikel 55, lid 1, lid 2, onder a), en lid 6, en artikel 110, lid 2, van het besluit inzake wegverkeer van 1995 (Noord-Ierland)(</w:t>
      </w:r>
      <w:r w:rsidR="00E54DC5">
        <w:rPr>
          <w:rStyle w:val="FootnoteReference"/>
        </w:rPr>
        <w:footnoteReference w:id="3"/>
      </w:r>
      <w:r>
        <w:t>) en die er nu in berusten,(</w:t>
      </w:r>
      <w:r w:rsidR="00FB6465">
        <w:rPr>
          <w:rStyle w:val="FootnoteReference"/>
        </w:rPr>
        <w:footnoteReference w:id="4"/>
      </w:r>
      <w:r>
        <w:t>) de volgende voorschriften vast.</w:t>
      </w:r>
    </w:p>
    <w:p w14:paraId="799E9B50" w14:textId="77777777" w:rsidR="00252709" w:rsidRDefault="00FB6465" w:rsidP="00FB6465">
      <w:pPr>
        <w:pStyle w:val="H1"/>
      </w:pPr>
      <w:r>
        <w:t>Verwijzing en inwerkingtreding</w:t>
      </w:r>
    </w:p>
    <w:p w14:paraId="54B94898" w14:textId="4B752315" w:rsidR="00FB6465" w:rsidRDefault="00FB6465" w:rsidP="00FB6465">
      <w:pPr>
        <w:pStyle w:val="N1"/>
      </w:pPr>
      <w:r>
        <w:t xml:space="preserve"> Deze voorschriften kunnen worden aangehaald als de voorschriften van 2023 inzake motorvoertuigen (constructie en gebruik) (wijziging) (Noord-Ierland) en treden in werking op xx xxxxx 2023.</w:t>
      </w:r>
    </w:p>
    <w:p w14:paraId="6322C4DC" w14:textId="77777777" w:rsidR="00FB6465" w:rsidRDefault="00FB6465" w:rsidP="00FB6465">
      <w:pPr>
        <w:pStyle w:val="H1"/>
      </w:pPr>
      <w:r>
        <w:t>Wijziging van de constructie- en gebruiksvoorschriften</w:t>
      </w:r>
    </w:p>
    <w:p w14:paraId="47E71D5D" w14:textId="77777777" w:rsidR="00FB6465" w:rsidRDefault="00FB6465" w:rsidP="00FB6465">
      <w:pPr>
        <w:pStyle w:val="N1"/>
      </w:pPr>
      <w:r>
        <w:t>—</w:t>
      </w:r>
      <w:r>
        <w:fldChar w:fldCharType="begin"/>
      </w:r>
      <w:r>
        <w:instrText xml:space="preserve"> LISTNUM "SEQ1" \l 2 </w:instrText>
      </w:r>
      <w:r>
        <w:fldChar w:fldCharType="end"/>
      </w:r>
      <w:r>
        <w:t> — De voorschriften van 1999 inzake motorvoertuigen (constructie en gebruik) (Noord-Ierland) (</w:t>
      </w:r>
      <w:r>
        <w:rPr>
          <w:rStyle w:val="FootnoteReference"/>
        </w:rPr>
        <w:footnoteReference w:id="5"/>
      </w:r>
      <w:r>
        <w:t>) worden gewijzigd zoals hierna aangegeven in leden 2 tot en met 5.</w:t>
      </w:r>
    </w:p>
    <w:p w14:paraId="085E52C7" w14:textId="77777777" w:rsidR="006A64B8" w:rsidRDefault="006A64B8" w:rsidP="006A64B8">
      <w:pPr>
        <w:pStyle w:val="N2"/>
      </w:pPr>
      <w:r>
        <w:t>In voorschrift 2, lid 2, (interpretatie) worden in de definitie van “ECE-voorschrift, gevolgd door een nummer” de woorden “een punt gevolgd door een ander nummer” vervangen door de woorden “meer dan twee cijfers”.</w:t>
      </w:r>
    </w:p>
    <w:p w14:paraId="259A558A" w14:textId="77777777" w:rsidR="00022A1B" w:rsidRDefault="00022A1B" w:rsidP="006A64B8">
      <w:pPr>
        <w:pStyle w:val="N2"/>
      </w:pPr>
      <w:r>
        <w:t>In voorschrift 30 (bandenbelasting en snelheidsclassificaties) worden:</w:t>
      </w:r>
    </w:p>
    <w:p w14:paraId="2CD06048" w14:textId="77777777" w:rsidR="00022A1B" w:rsidRDefault="00022A1B" w:rsidP="00022A1B">
      <w:pPr>
        <w:pStyle w:val="N3"/>
      </w:pPr>
      <w:r>
        <w:t>in lid 7 de woorden “of, in het geval van een coverband, aan de voorschriften van ECE-voorschrift nr. 108 of ECE-voorschrift nr. 109.” vervangen door de woorden “maar dit voorschrift is niet van toepassing op een vervangende band”; en</w:t>
      </w:r>
    </w:p>
    <w:p w14:paraId="510A7921" w14:textId="77777777" w:rsidR="00022A1B" w:rsidRDefault="00022A1B" w:rsidP="00022A1B">
      <w:pPr>
        <w:pStyle w:val="N3"/>
      </w:pPr>
      <w:r>
        <w:t>in lid 12, in de definitie van “belastingsindex”, de woorden “2 van ECE-voorschrift 30.02 of ECE-voorschrift 54, of als “belastingsindex” in punt 2 van ECE-voorschrift 108 of ECE-voorschrift 109;” tot het einde vervangen door de woorden “2.29”.</w:t>
      </w:r>
    </w:p>
    <w:p w14:paraId="19D5D210" w14:textId="77777777" w:rsidR="00DD69B1" w:rsidRDefault="00DD69B1" w:rsidP="00DD69B1">
      <w:pPr>
        <w:pStyle w:val="N2"/>
      </w:pPr>
      <w:r>
        <w:t>In voorschrift 32 (conditie en onderhoud van banden):</w:t>
      </w:r>
    </w:p>
    <w:p w14:paraId="3AE878F1" w14:textId="77777777" w:rsidR="00DD69B1" w:rsidRDefault="00DD69B1" w:rsidP="00DD69B1">
      <w:pPr>
        <w:pStyle w:val="N3"/>
      </w:pPr>
      <w:r>
        <w:t>in lid 1:</w:t>
      </w:r>
    </w:p>
    <w:p w14:paraId="03749A2F" w14:textId="77777777" w:rsidR="00DD69B1" w:rsidRDefault="00DD69B1" w:rsidP="00DD69B1">
      <w:pPr>
        <w:pStyle w:val="N4"/>
      </w:pPr>
      <w:r>
        <w:lastRenderedPageBreak/>
        <w:t>worden de woorden “onder voorbehoud van lid 1A en de leden 2 tot en met 4” vervangen door de woorden “onder voorbehoud van de leden 2 tot en met 4”;</w:t>
      </w:r>
    </w:p>
    <w:p w14:paraId="2B4BAE61" w14:textId="77777777" w:rsidR="00DD69B1" w:rsidRDefault="007442AA" w:rsidP="00DD69B1">
      <w:pPr>
        <w:pStyle w:val="N4"/>
      </w:pPr>
      <w:r>
        <w:t>in alinea g), onder ii), wordt het woord “of” aan het einde weglaten;</w:t>
      </w:r>
    </w:p>
    <w:p w14:paraId="116D86A6" w14:textId="77777777" w:rsidR="007442AA" w:rsidRDefault="007442AA" w:rsidP="00DD69B1">
      <w:pPr>
        <w:pStyle w:val="N4"/>
      </w:pPr>
      <w:r>
        <w:t>na alinea h) wordt de volgende nieuwe alinea ingevoegd:</w:t>
      </w:r>
    </w:p>
    <w:p w14:paraId="31D345C1" w14:textId="364E70A3" w:rsidR="007442AA" w:rsidRDefault="00E21C8D" w:rsidP="00E21C8D">
      <w:pPr>
        <w:pStyle w:val="LQN4"/>
      </w:pPr>
      <w:r>
        <w:tab/>
        <w:t>“(i)</w:t>
      </w:r>
      <w:r>
        <w:tab/>
        <w:t>de band is geen coverband en</w:t>
      </w:r>
    </w:p>
    <w:p w14:paraId="1127C07A" w14:textId="77777777" w:rsidR="00A42AA8" w:rsidRDefault="00A42AA8" w:rsidP="00A42AA8">
      <w:pPr>
        <w:pStyle w:val="NLQN4"/>
      </w:pPr>
      <w:r>
        <w:tab/>
        <w:t>(i)</w:t>
      </w:r>
      <w:r>
        <w:tab/>
        <w:t>de fabricageweek die overeenkomstig ECE-voorschrift 30 of 54 op de zijwand is gemarkeerd, valt meer dan tien jaar vóór de datum waarop het motorvoertuig op de weg wordt gebruikt; of</w:t>
      </w:r>
    </w:p>
    <w:p w14:paraId="3D0FC71C" w14:textId="0322961D" w:rsidR="00A42AA8" w:rsidRDefault="00A42AA8" w:rsidP="00A42AA8">
      <w:pPr>
        <w:pStyle w:val="NLQN4"/>
      </w:pPr>
      <w:r>
        <w:tab/>
        <w:t>(ii)</w:t>
      </w:r>
      <w:r>
        <w:tab/>
        <w:t>er is geen markering met fabricageweek aanwezig dat voldoet aan ECE-voorschrift 30 of 54 (hetzij omdat het was vervaardigd voordat de ECE-voorschrift van toepassing was of anderszins);</w:t>
      </w:r>
    </w:p>
    <w:p w14:paraId="21565F41" w14:textId="77777777" w:rsidR="00A42AA8" w:rsidRDefault="00A42AA8" w:rsidP="00A42AA8">
      <w:pPr>
        <w:pStyle w:val="LQN4"/>
      </w:pPr>
      <w:r>
        <w:tab/>
        <w:t>(j)</w:t>
      </w:r>
      <w:r>
        <w:tab/>
        <w:t>de band is een coverband en</w:t>
      </w:r>
    </w:p>
    <w:p w14:paraId="0991118A" w14:textId="77777777" w:rsidR="00A42AA8" w:rsidRDefault="00A42AA8" w:rsidP="00A42AA8">
      <w:pPr>
        <w:pStyle w:val="NLQN4"/>
      </w:pPr>
      <w:r>
        <w:tab/>
        <w:t>(i)</w:t>
      </w:r>
      <w:r>
        <w:tab/>
        <w:t>de week van de loopvlakvernieuwing die overeenkomstig ECE-voorschrift 108 of 109 op de zijwand is gemarkeerd, valt meer dan 10 jaar vóór de datum waarop het motorvoertuig op de weg wordt gebruikt; of</w:t>
      </w:r>
    </w:p>
    <w:p w14:paraId="1D5A9534" w14:textId="77777777" w:rsidR="00520F87" w:rsidRDefault="00520F87" w:rsidP="00520F87">
      <w:pPr>
        <w:pStyle w:val="NLQN4"/>
      </w:pPr>
      <w:r>
        <w:tab/>
        <w:t>(ii)</w:t>
      </w:r>
      <w:r>
        <w:tab/>
        <w:t>er is geen markering met de week van de loopvlakvernieuwing aanwezig dat voldoet aan ECE-voorschrift 108 of 109 (hetzij omdat de loopvlakvernieuwing was gedaan voordat de ECE-voorschriften van toepassing waren of anderszins); of</w:t>
      </w:r>
    </w:p>
    <w:p w14:paraId="371ABCF7" w14:textId="1D9D5575" w:rsidR="00520F87" w:rsidRDefault="00520F87" w:rsidP="00520F87">
      <w:pPr>
        <w:pStyle w:val="LQN4"/>
      </w:pPr>
      <w:r>
        <w:tab/>
        <w:t>(k)</w:t>
      </w:r>
      <w:r>
        <w:tab/>
        <w:t>een datum die op de zijwand van de band is gemarkeerd overeenkomstig ECE-voorschrift 30, 54, 108 of 109 is onleesbaar.”;</w:t>
      </w:r>
    </w:p>
    <w:p w14:paraId="17D017BD" w14:textId="77777777" w:rsidR="00520F87" w:rsidRDefault="00520F87" w:rsidP="00520F87">
      <w:pPr>
        <w:pStyle w:val="N3"/>
      </w:pPr>
      <w:r>
        <w:t>na lid 1 wordt het volgende ingevoegd:</w:t>
      </w:r>
    </w:p>
    <w:p w14:paraId="252B767E" w14:textId="65543917" w:rsidR="00EE3061" w:rsidRDefault="00E21C8D" w:rsidP="00EE3061">
      <w:pPr>
        <w:pStyle w:val="LQN2"/>
      </w:pPr>
      <w:r>
        <w:t>“(1A) Onder voorbehoud van lid 4, onder a) en ca), en onverlet voorschrift 30</w:t>
      </w:r>
    </w:p>
    <w:p w14:paraId="0F6D8888" w14:textId="77777777" w:rsidR="00EE3061" w:rsidRDefault="00EE3061" w:rsidP="00EE3061">
      <w:pPr>
        <w:pStyle w:val="LQN3"/>
      </w:pPr>
      <w:r>
        <w:t>(a)</w:t>
      </w:r>
      <w:r>
        <w:tab/>
        <w:t>lid 1, onder i) en j), is alleen van toepassing op banden die gemonteerd zijn:</w:t>
      </w:r>
    </w:p>
    <w:p w14:paraId="781B8B31" w14:textId="77777777" w:rsidR="00EE3061" w:rsidRDefault="00EE3061" w:rsidP="00EE3061">
      <w:pPr>
        <w:pStyle w:val="LQN4"/>
      </w:pPr>
      <w:r>
        <w:tab/>
        <w:t>(i)</w:t>
      </w:r>
      <w:r>
        <w:tab/>
        <w:t>op een vooras van een andere bus dan een minibus;</w:t>
      </w:r>
    </w:p>
    <w:p w14:paraId="53B7C312" w14:textId="77777777" w:rsidR="00EE3061" w:rsidRPr="00EE3061" w:rsidRDefault="00EE3061" w:rsidP="00EE3061">
      <w:pPr>
        <w:pStyle w:val="LQN4"/>
        <w:rPr>
          <w:color w:val="FF0000"/>
        </w:rPr>
      </w:pPr>
      <w:r>
        <w:tab/>
        <w:t>(ii)</w:t>
      </w:r>
      <w:r>
        <w:tab/>
        <w:t>in een enkele configuratie op elke as van een minibus; of</w:t>
      </w:r>
    </w:p>
    <w:p w14:paraId="4BC37583" w14:textId="77777777" w:rsidR="00EE3061" w:rsidRDefault="00EE3061" w:rsidP="00EE3061">
      <w:pPr>
        <w:pStyle w:val="LQN4"/>
      </w:pPr>
      <w:r>
        <w:tab/>
        <w:t>(iii)</w:t>
      </w:r>
      <w:r>
        <w:tab/>
        <w:t>op een vooras van een vrachtvoertuig met een maximaal brutogewicht van meer dan 3 500 kg;</w:t>
      </w:r>
    </w:p>
    <w:p w14:paraId="247FF29E" w14:textId="77777777" w:rsidR="00EE3061" w:rsidRDefault="00EE3061" w:rsidP="00EE3061">
      <w:pPr>
        <w:pStyle w:val="LQN3"/>
      </w:pPr>
      <w:r>
        <w:t>(b)</w:t>
      </w:r>
      <w:r>
        <w:tab/>
        <w:t>in alinea a) betekent:</w:t>
      </w:r>
    </w:p>
    <w:p w14:paraId="5B8B4A93" w14:textId="77777777" w:rsidR="00EE3061" w:rsidRPr="00F9319A" w:rsidRDefault="00EE3061" w:rsidP="00EE3061">
      <w:pPr>
        <w:pStyle w:val="LQN4"/>
      </w:pPr>
      <w:r>
        <w:tab/>
        <w:t>(i)</w:t>
      </w:r>
      <w:r>
        <w:tab/>
        <w:t>“vooras”: elke as vóór het middelpunt van het chassis waarop de wielen door het stuursysteem worden bediend; en</w:t>
      </w:r>
    </w:p>
    <w:p w14:paraId="09B8C591" w14:textId="77777777" w:rsidR="00EE3061" w:rsidRDefault="00EE3061" w:rsidP="00EE3061">
      <w:pPr>
        <w:pStyle w:val="LQN4"/>
      </w:pPr>
      <w:r>
        <w:tab/>
        <w:t>(ii)</w:t>
      </w:r>
      <w:r>
        <w:tab/>
        <w:t>“enkele configuratie”: niet meer dan één wiel en bandcombinatie is gemonteerd aan het uiteinde van de betreffende as; en</w:t>
      </w:r>
    </w:p>
    <w:p w14:paraId="10800F30" w14:textId="77777777" w:rsidR="00EE3061" w:rsidRDefault="00EE3061" w:rsidP="00EE3061">
      <w:pPr>
        <w:pStyle w:val="LQN3"/>
      </w:pPr>
      <w:r>
        <w:t>(c)</w:t>
      </w:r>
      <w:r>
        <w:tab/>
        <w:t>lid 1, onder k), is alleen van toepassing op:</w:t>
      </w:r>
    </w:p>
    <w:p w14:paraId="1BD3712B" w14:textId="77777777" w:rsidR="00FF5A1C" w:rsidRPr="00F9319A" w:rsidRDefault="00FF5A1C" w:rsidP="00FF5A1C">
      <w:pPr>
        <w:pStyle w:val="LQN4"/>
      </w:pPr>
      <w:r>
        <w:tab/>
        <w:t>(i)</w:t>
      </w:r>
      <w:r>
        <w:tab/>
        <w:t>bussen (inclusief minibussen); en</w:t>
      </w:r>
    </w:p>
    <w:p w14:paraId="19A93219" w14:textId="001A4982" w:rsidR="00FF5A1C" w:rsidRDefault="00FF5A1C" w:rsidP="00FF5A1C">
      <w:pPr>
        <w:pStyle w:val="LQN4"/>
      </w:pPr>
      <w:r>
        <w:tab/>
        <w:t>(ii)</w:t>
      </w:r>
      <w:r>
        <w:tab/>
        <w:t>vrachtvoertuigen met een maximaal brutogewicht van meer dan 3 500 kg.”;</w:t>
      </w:r>
    </w:p>
    <w:p w14:paraId="0AF3BAC2" w14:textId="77777777" w:rsidR="00FF5A1C" w:rsidRDefault="00FF5A1C" w:rsidP="00FF5A1C">
      <w:pPr>
        <w:pStyle w:val="N3"/>
      </w:pPr>
      <w:r>
        <w:t>in lid 4</w:t>
      </w:r>
    </w:p>
    <w:p w14:paraId="43505781" w14:textId="77777777" w:rsidR="00426F4F" w:rsidRDefault="00426F4F" w:rsidP="00426F4F">
      <w:pPr>
        <w:pStyle w:val="N4"/>
      </w:pPr>
      <w:r>
        <w:t>in alinea a), na de woorden “1, onder a) tot en met g)” worden de woorden “en i) tot en met k)” toegevoegd;</w:t>
      </w:r>
    </w:p>
    <w:p w14:paraId="7C39BE16" w14:textId="77777777" w:rsidR="00426F4F" w:rsidRDefault="00426F4F" w:rsidP="00426F4F">
      <w:pPr>
        <w:pStyle w:val="N4"/>
      </w:pPr>
      <w:r>
        <w:t>na alinea c) wordt het volgende toegevoegd –</w:t>
      </w:r>
    </w:p>
    <w:p w14:paraId="4E3E441C" w14:textId="3789445E" w:rsidR="00426F4F" w:rsidRDefault="00E21C8D" w:rsidP="00426F4F">
      <w:pPr>
        <w:pStyle w:val="LQN3"/>
      </w:pPr>
      <w:r>
        <w:t>“(ca)</w:t>
      </w:r>
      <w:r>
        <w:tab/>
        <w:t>geen enkel voorschrift van lid 1, onder i) tot en met k), is van toepassing op een voertuig van historisch belang dat voor niet-commerciële doeleinden wordt gebruikt, en voor dit doel wordt onder “voertuig van historisch belang” verstaan een voertuig dat door het ministerie wordt beschouwd als een voertuig met een historische waarde voor Noord-Ierland; een dergelijk voertuig is —</w:t>
      </w:r>
    </w:p>
    <w:p w14:paraId="45C7B239" w14:textId="77777777" w:rsidR="00A213F5" w:rsidRDefault="00A213F5" w:rsidP="00A213F5">
      <w:pPr>
        <w:pStyle w:val="LQN4"/>
      </w:pPr>
      <w:r>
        <w:tab/>
        <w:t>(i)</w:t>
      </w:r>
      <w:r>
        <w:tab/>
        <w:t>ten minste 40 jaar eerder vervaardigd of voor het eerst geregistreerd;</w:t>
      </w:r>
    </w:p>
    <w:p w14:paraId="190D1C8F" w14:textId="77777777" w:rsidR="00A213F5" w:rsidRDefault="00A213F5" w:rsidP="00A213F5">
      <w:pPr>
        <w:pStyle w:val="LQN4"/>
      </w:pPr>
      <w:r>
        <w:tab/>
        <w:t>(ii)</w:t>
      </w:r>
      <w:r>
        <w:tab/>
        <w:t>van een type dat niet meer geproduceerd wordt; en</w:t>
      </w:r>
    </w:p>
    <w:p w14:paraId="270D6A59" w14:textId="77777777" w:rsidR="00A213F5" w:rsidRDefault="00A213F5" w:rsidP="00A213F5">
      <w:pPr>
        <w:pStyle w:val="LQN4"/>
      </w:pPr>
      <w:r>
        <w:lastRenderedPageBreak/>
        <w:tab/>
        <w:t>(iii)</w:t>
      </w:r>
      <w:r>
        <w:tab/>
        <w:t>van oudsher in zijn oorspronkelijke staat bewaard of gehandhaafd en de technische kenmerken van de belangrijkste onderdelen ervan zijn niet wezenlijk gewijzigd;</w:t>
      </w:r>
    </w:p>
    <w:p w14:paraId="48B5AE59" w14:textId="56DE3A66" w:rsidR="00A213F5" w:rsidRDefault="00A213F5" w:rsidP="00A213F5">
      <w:pPr>
        <w:pStyle w:val="LQT2"/>
      </w:pPr>
      <w:r>
        <w:t>waarbij “type” met betrekking tot het voertuig dezelfde betekenis heeft als “voertuigtype” in artikel 3, lid 32, van Verordening (EU) 2018/858 van het Europees Parlement en de Raad van 30 mei 2018 betreffende de goedkeuring van en het markttoezicht op motorvoertuigen en aanhangwagens daarvan en van systemen, onderdelen en technische eenheden die voor dergelijke voertuigen zijn bestemd(</w:t>
      </w:r>
      <w:r>
        <w:rPr>
          <w:rStyle w:val="FootnoteReference"/>
        </w:rPr>
        <w:footnoteReference w:id="6"/>
      </w:r>
      <w:r>
        <w:t>);”; en</w:t>
      </w:r>
    </w:p>
    <w:p w14:paraId="7CEE7A40" w14:textId="77777777" w:rsidR="00A213F5" w:rsidRDefault="00A213F5" w:rsidP="00A213F5">
      <w:pPr>
        <w:pStyle w:val="N3"/>
      </w:pPr>
      <w:r>
        <w:t>in lid 6, onder a), wordt in de definitie van “oorspronkelijk loopvlakpatroon” het woord “gecoverd”, vervangen door de woorden “voorzien van een nieuw loopvlak”, op beide plaatsen waar het voorkomt.</w:t>
      </w:r>
    </w:p>
    <w:p w14:paraId="63D4D4FF" w14:textId="77777777" w:rsidR="004800DA" w:rsidRDefault="004800DA" w:rsidP="004800DA">
      <w:pPr>
        <w:pStyle w:val="N2"/>
      </w:pPr>
      <w:r>
        <w:t>In bijlage 1, in tabel 2 (ECE-voorschriften), na de vermelding met betrekking tot item 44 wordt het volgende ingevoegd—</w:t>
      </w:r>
    </w:p>
    <w:p w14:paraId="76FC1C44" w14:textId="77777777" w:rsidR="00A42AA8" w:rsidRDefault="00A42AA8" w:rsidP="001D0E3C">
      <w:pPr>
        <w:pStyle w:val="linespace"/>
      </w:pPr>
    </w:p>
    <w:tbl>
      <w:tblPr>
        <w:tblW w:w="9237" w:type="dxa"/>
        <w:tblInd w:w="-108" w:type="dxa"/>
        <w:tblLayout w:type="fixed"/>
        <w:tblLook w:val="0000" w:firstRow="0" w:lastRow="0" w:firstColumn="0" w:lastColumn="0" w:noHBand="0" w:noVBand="0"/>
      </w:tblPr>
      <w:tblGrid>
        <w:gridCol w:w="1233"/>
        <w:gridCol w:w="1233"/>
        <w:gridCol w:w="1233"/>
        <w:gridCol w:w="1233"/>
        <w:gridCol w:w="1839"/>
        <w:gridCol w:w="1233"/>
        <w:gridCol w:w="1233"/>
      </w:tblGrid>
      <w:tr w:rsidR="001D0E3C" w:rsidRPr="001D0E3C" w14:paraId="342E504E" w14:textId="77777777" w:rsidTr="00BA6E6F">
        <w:tc>
          <w:tcPr>
            <w:tcW w:w="1233" w:type="dxa"/>
            <w:tcBorders>
              <w:top w:val="single" w:sz="4" w:space="0" w:color="auto"/>
              <w:bottom w:val="single" w:sz="4" w:space="0" w:color="auto"/>
            </w:tcBorders>
            <w:shd w:val="clear" w:color="auto" w:fill="auto"/>
          </w:tcPr>
          <w:p w14:paraId="40D5508B" w14:textId="10408951" w:rsidR="001D0E3C" w:rsidRPr="001D0E3C" w:rsidRDefault="00E21C8D" w:rsidP="00755802">
            <w:pPr>
              <w:pStyle w:val="TableText"/>
            </w:pPr>
            <w:r>
              <w:t>“45</w:t>
            </w:r>
          </w:p>
        </w:tc>
        <w:tc>
          <w:tcPr>
            <w:tcW w:w="1233" w:type="dxa"/>
            <w:tcBorders>
              <w:top w:val="single" w:sz="4" w:space="0" w:color="auto"/>
              <w:bottom w:val="single" w:sz="4" w:space="0" w:color="auto"/>
            </w:tcBorders>
            <w:shd w:val="clear" w:color="auto" w:fill="auto"/>
          </w:tcPr>
          <w:p w14:paraId="527FB77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08AD46D1" w14:textId="77777777" w:rsidR="001D0E3C" w:rsidRPr="001D0E3C" w:rsidRDefault="00C14C52" w:rsidP="00C14C52">
            <w:pPr>
              <w:pStyle w:val="TableText"/>
            </w:pPr>
            <w:r>
              <w:t>108</w:t>
            </w:r>
          </w:p>
        </w:tc>
        <w:tc>
          <w:tcPr>
            <w:tcW w:w="1233" w:type="dxa"/>
            <w:tcBorders>
              <w:top w:val="single" w:sz="4" w:space="0" w:color="auto"/>
              <w:bottom w:val="single" w:sz="4" w:space="0" w:color="auto"/>
            </w:tcBorders>
            <w:shd w:val="clear" w:color="auto" w:fill="auto"/>
          </w:tcPr>
          <w:p w14:paraId="7A826E74" w14:textId="77777777" w:rsidR="001D0E3C" w:rsidRPr="001D0E3C" w:rsidRDefault="00C14C52" w:rsidP="00C14C52">
            <w:pPr>
              <w:pStyle w:val="TableText"/>
            </w:pPr>
            <w:r>
              <w:t>23.6.98</w:t>
            </w:r>
          </w:p>
        </w:tc>
        <w:tc>
          <w:tcPr>
            <w:tcW w:w="1839" w:type="dxa"/>
            <w:tcBorders>
              <w:top w:val="single" w:sz="4" w:space="0" w:color="auto"/>
              <w:bottom w:val="single" w:sz="4" w:space="0" w:color="auto"/>
            </w:tcBorders>
            <w:shd w:val="clear" w:color="auto" w:fill="auto"/>
          </w:tcPr>
          <w:p w14:paraId="78D4509F" w14:textId="77777777" w:rsidR="001D0E3C" w:rsidRPr="001D0E3C" w:rsidRDefault="00C14C52" w:rsidP="00C14C52">
            <w:pPr>
              <w:pStyle w:val="TableText"/>
            </w:pPr>
            <w:r>
              <w:t>Coverbanden voor personenauto's en aanhangwagens daarvan</w:t>
            </w:r>
          </w:p>
        </w:tc>
        <w:tc>
          <w:tcPr>
            <w:tcW w:w="1233" w:type="dxa"/>
            <w:tcBorders>
              <w:top w:val="single" w:sz="4" w:space="0" w:color="auto"/>
              <w:bottom w:val="single" w:sz="4" w:space="0" w:color="auto"/>
            </w:tcBorders>
            <w:shd w:val="clear" w:color="auto" w:fill="auto"/>
          </w:tcPr>
          <w:p w14:paraId="0425E6F7"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3D1A474E" w14:textId="77777777" w:rsidR="001D0E3C" w:rsidRPr="001D0E3C" w:rsidRDefault="00C14C52" w:rsidP="00C14C52">
            <w:pPr>
              <w:pStyle w:val="TableText"/>
            </w:pPr>
            <w:r>
              <w:t>–</w:t>
            </w:r>
          </w:p>
        </w:tc>
      </w:tr>
      <w:tr w:rsidR="001D0E3C" w:rsidRPr="001D0E3C" w14:paraId="3DBBCC3C" w14:textId="77777777" w:rsidTr="00BA6E6F">
        <w:tc>
          <w:tcPr>
            <w:tcW w:w="1233" w:type="dxa"/>
            <w:tcBorders>
              <w:top w:val="single" w:sz="4" w:space="0" w:color="auto"/>
              <w:bottom w:val="single" w:sz="4" w:space="0" w:color="auto"/>
            </w:tcBorders>
            <w:shd w:val="clear" w:color="auto" w:fill="auto"/>
          </w:tcPr>
          <w:p w14:paraId="6FCB996C" w14:textId="6601700D" w:rsidR="001D0E3C" w:rsidRPr="001D0E3C" w:rsidRDefault="00B0192D" w:rsidP="00755802">
            <w:pPr>
              <w:pStyle w:val="TableText"/>
            </w:pPr>
            <w:r>
              <w:t>46</w:t>
            </w:r>
          </w:p>
        </w:tc>
        <w:tc>
          <w:tcPr>
            <w:tcW w:w="1233" w:type="dxa"/>
            <w:tcBorders>
              <w:top w:val="single" w:sz="4" w:space="0" w:color="auto"/>
              <w:bottom w:val="single" w:sz="4" w:space="0" w:color="auto"/>
            </w:tcBorders>
            <w:shd w:val="clear" w:color="auto" w:fill="auto"/>
          </w:tcPr>
          <w:p w14:paraId="70C9C34F" w14:textId="77777777" w:rsidR="001D0E3C" w:rsidRPr="001D0E3C" w:rsidRDefault="00C14C52" w:rsidP="001D0E3C">
            <w:pPr>
              <w:pStyle w:val="TableText"/>
            </w:pPr>
            <w:r>
              <w:t>109</w:t>
            </w:r>
          </w:p>
        </w:tc>
        <w:tc>
          <w:tcPr>
            <w:tcW w:w="1233" w:type="dxa"/>
            <w:tcBorders>
              <w:top w:val="single" w:sz="4" w:space="0" w:color="auto"/>
              <w:bottom w:val="single" w:sz="4" w:space="0" w:color="auto"/>
            </w:tcBorders>
            <w:shd w:val="clear" w:color="auto" w:fill="auto"/>
          </w:tcPr>
          <w:p w14:paraId="0756B04E" w14:textId="77777777" w:rsidR="001D0E3C" w:rsidRPr="001D0E3C" w:rsidRDefault="00C14C52" w:rsidP="00C14C52">
            <w:pPr>
              <w:pStyle w:val="TableText"/>
            </w:pPr>
            <w:r>
              <w:t>109</w:t>
            </w:r>
          </w:p>
        </w:tc>
        <w:tc>
          <w:tcPr>
            <w:tcW w:w="1233" w:type="dxa"/>
            <w:tcBorders>
              <w:top w:val="single" w:sz="4" w:space="0" w:color="auto"/>
              <w:bottom w:val="single" w:sz="4" w:space="0" w:color="auto"/>
            </w:tcBorders>
            <w:shd w:val="clear" w:color="auto" w:fill="auto"/>
          </w:tcPr>
          <w:p w14:paraId="23B64487" w14:textId="77777777" w:rsidR="001D0E3C" w:rsidRPr="001D0E3C" w:rsidRDefault="00C14C52" w:rsidP="00C14C52">
            <w:pPr>
              <w:pStyle w:val="TableText"/>
            </w:pPr>
            <w:r>
              <w:t>23.6.98</w:t>
            </w:r>
          </w:p>
        </w:tc>
        <w:tc>
          <w:tcPr>
            <w:tcW w:w="1839" w:type="dxa"/>
            <w:tcBorders>
              <w:top w:val="single" w:sz="4" w:space="0" w:color="auto"/>
              <w:bottom w:val="single" w:sz="4" w:space="0" w:color="auto"/>
            </w:tcBorders>
            <w:shd w:val="clear" w:color="auto" w:fill="auto"/>
          </w:tcPr>
          <w:p w14:paraId="226FBE9E" w14:textId="77777777" w:rsidR="001D0E3C" w:rsidRPr="001D0E3C" w:rsidRDefault="00C14C52" w:rsidP="00C14C52">
            <w:pPr>
              <w:pStyle w:val="TableText"/>
            </w:pPr>
            <w:r>
              <w:t>Coverbanden voor bedrijfsvoertuigen en aanhangwagens daarvan</w:t>
            </w:r>
          </w:p>
        </w:tc>
        <w:tc>
          <w:tcPr>
            <w:tcW w:w="1233" w:type="dxa"/>
            <w:tcBorders>
              <w:top w:val="single" w:sz="4" w:space="0" w:color="auto"/>
              <w:bottom w:val="single" w:sz="4" w:space="0" w:color="auto"/>
            </w:tcBorders>
            <w:shd w:val="clear" w:color="auto" w:fill="auto"/>
          </w:tcPr>
          <w:p w14:paraId="33F0897E" w14:textId="77777777" w:rsidR="001D0E3C" w:rsidRPr="001D0E3C" w:rsidRDefault="00C14C52" w:rsidP="00C14C52">
            <w:pPr>
              <w:pStyle w:val="TableText"/>
            </w:pPr>
            <w:r>
              <w:t>–</w:t>
            </w:r>
          </w:p>
        </w:tc>
        <w:tc>
          <w:tcPr>
            <w:tcW w:w="1233" w:type="dxa"/>
            <w:tcBorders>
              <w:top w:val="single" w:sz="4" w:space="0" w:color="auto"/>
              <w:bottom w:val="single" w:sz="4" w:space="0" w:color="auto"/>
            </w:tcBorders>
            <w:shd w:val="clear" w:color="auto" w:fill="auto"/>
          </w:tcPr>
          <w:p w14:paraId="2DD7754D" w14:textId="40F90DE4" w:rsidR="001D0E3C" w:rsidRPr="00C14C52" w:rsidRDefault="00C14C52" w:rsidP="00C14C52">
            <w:pPr>
              <w:pStyle w:val="TableText"/>
            </w:pPr>
            <w:r>
              <w:t>–”</w:t>
            </w:r>
          </w:p>
        </w:tc>
      </w:tr>
    </w:tbl>
    <w:p w14:paraId="6896FBA7" w14:textId="77777777" w:rsidR="00C14C52" w:rsidRDefault="00C14C52" w:rsidP="001D0E3C">
      <w:pPr>
        <w:pStyle w:val="linespace"/>
      </w:pPr>
    </w:p>
    <w:p w14:paraId="0341180E" w14:textId="77777777" w:rsidR="001D0E3C" w:rsidRDefault="001D0E3C" w:rsidP="00C14C52">
      <w:pPr>
        <w:pStyle w:val="linespace"/>
        <w:rPr>
          <w:caps/>
          <w:noProof w:val="0"/>
          <w:spacing w:val="74"/>
          <w:sz w:val="22"/>
        </w:rPr>
      </w:pPr>
    </w:p>
    <w:p w14:paraId="73447127" w14:textId="77777777" w:rsidR="00040058" w:rsidRDefault="00040058" w:rsidP="00040058">
      <w:pPr>
        <w:pStyle w:val="SigBlock"/>
        <w:rPr>
          <w:rStyle w:val="Sigsignatory"/>
        </w:rPr>
      </w:pPr>
      <w:r>
        <w:rPr>
          <w:rStyle w:val="Sigsignatory"/>
        </w:rPr>
        <w:t>Verzegeld met het officiële zegel van het Ministerie van Infrastructuur op xx xxxxx 2023</w:t>
      </w:r>
    </w:p>
    <w:p w14:paraId="23B5DB7C" w14:textId="77777777" w:rsidR="00040058" w:rsidRDefault="00040058" w:rsidP="00040058">
      <w:pPr>
        <w:pStyle w:val="SigBlock"/>
        <w:rPr>
          <w:rStyle w:val="Sigsignatory"/>
        </w:rPr>
      </w:pPr>
    </w:p>
    <w:p w14:paraId="12B1E743" w14:textId="77777777" w:rsidR="00040058" w:rsidRPr="00040058" w:rsidRDefault="00040058" w:rsidP="00040058">
      <w:pPr>
        <w:pStyle w:val="LegSeal"/>
      </w:pPr>
      <w:r>
        <w:drawing>
          <wp:inline distT="0" distB="0" distL="0" distR="0" wp14:anchorId="35A2C058" wp14:editId="3FB9CE74">
            <wp:extent cx="638175" cy="628650"/>
            <wp:effectExtent l="0" t="0" r="9525" b="0"/>
            <wp:docPr id="2" name="Picture 2" descr="Description: legal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galseal.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4E01A631" w14:textId="77777777" w:rsidR="00040058" w:rsidRDefault="00040058" w:rsidP="00040058">
      <w:pPr>
        <w:pStyle w:val="SigBlock"/>
        <w:rPr>
          <w:rStyle w:val="SigSignee"/>
        </w:rPr>
      </w:pPr>
      <w:r>
        <w:tab/>
      </w:r>
      <w:r>
        <w:rPr>
          <w:rStyle w:val="SigSignee"/>
          <w:color w:val="FFFFFF" w:themeColor="background1"/>
        </w:rPr>
        <w:t>Chris Hughes</w:t>
      </w:r>
    </w:p>
    <w:p w14:paraId="30519020" w14:textId="77777777" w:rsidR="00040058" w:rsidRPr="00040058" w:rsidRDefault="00040058" w:rsidP="00040058">
      <w:pPr>
        <w:pStyle w:val="SigBlock"/>
      </w:pPr>
      <w:r>
        <w:tab/>
      </w:r>
      <w:r>
        <w:rPr>
          <w:rStyle w:val="Sigtitle"/>
        </w:rPr>
        <w:t>Hogere ambtenaar van het Ministerie van Infrastructuur</w:t>
      </w:r>
    </w:p>
    <w:p w14:paraId="4412EBCC" w14:textId="77777777" w:rsidR="00040058" w:rsidRDefault="00040058" w:rsidP="00040058">
      <w:pPr>
        <w:pStyle w:val="linespace"/>
        <w:rPr>
          <w:sz w:val="21"/>
        </w:rPr>
      </w:pPr>
      <w:r>
        <w:br w:type="page"/>
      </w:r>
    </w:p>
    <w:p w14:paraId="24ECD896" w14:textId="77777777" w:rsidR="00040058" w:rsidRDefault="00040058" w:rsidP="00040058">
      <w:pPr>
        <w:pStyle w:val="XNote"/>
      </w:pPr>
      <w:r>
        <w:lastRenderedPageBreak/>
        <w:t>TOELICHTING</w:t>
      </w:r>
    </w:p>
    <w:p w14:paraId="2D3DC66A" w14:textId="3ED882CF" w:rsidR="00040058" w:rsidRDefault="00040058" w:rsidP="00040058">
      <w:pPr>
        <w:pStyle w:val="XNotenote"/>
      </w:pPr>
      <w:r>
        <w:t>(Deze toelichting maakt geen deel uit van de voorschriften)</w:t>
      </w:r>
    </w:p>
    <w:p w14:paraId="35F194C5" w14:textId="2CB6F34C" w:rsidR="00040058" w:rsidRDefault="00040058" w:rsidP="00040058">
      <w:pPr>
        <w:pStyle w:val="T1"/>
      </w:pPr>
      <w:r>
        <w:t>Deze voorschriften wijzigen de voorschriften van 1999 inzake motorvoertuigen (constructie en gebruik) (Noord-Ierland) om een voorziening te treffen met betrekking tot de leeftijd van banden (met inbegrip van coverbanden) en de leesbaarheid van datummarkeringen op banden, die zijn toegestaan voor gebruik op bussen (met inbegrip van minibussen) en vrachtwagens met een maximaal brutogewicht van meer dan 3 500 kg. Deze voorschriften wijzigen ook tabel 2 van bijlage 1 bij de voorschriften van 1999 om bepalingen met betrekking tot coverbanden op te nemen in de ECE-voorschriften 108 en 109. Deze voorschriften voorzien in een vrijstelling voor voertuigen van historisch belang, mits zij niet voor commerciële doeleinden worden gebruikt.</w:t>
      </w:r>
    </w:p>
    <w:p w14:paraId="0FE50F41" w14:textId="77777777" w:rsidR="006D38F1" w:rsidRDefault="006D38F1" w:rsidP="00040058">
      <w:pPr>
        <w:pStyle w:val="T1"/>
      </w:pPr>
      <w:r>
        <w:t xml:space="preserve">Deze voorschriften zijn bij de Europese Commissie aangemeld overeenkomstig Richtlijn (EU) 2015/1535 van het Europees Parlement en de Raad van 9 september 2015 (PB L241, 17.9.2015, blz. 1) onder kennisgevingsnummer </w:t>
      </w:r>
      <w:r>
        <w:rPr>
          <w:color w:val="FF0000"/>
        </w:rPr>
        <w:t xml:space="preserve">xxxxxxxx. </w:t>
      </w:r>
      <w:r>
        <w:t xml:space="preserve">Er waren geen opmerkingen tijdens de wachtperiode van drie maanden. De richtlijn is online beschikbaar op </w:t>
      </w:r>
      <w:hyperlink r:id="rId8" w:history="1">
        <w:r>
          <w:rPr>
            <w:rStyle w:val="Hyperlink"/>
          </w:rPr>
          <w:t>http://eur-lex.europa.eu</w:t>
        </w:r>
      </w:hyperlink>
      <w:r>
        <w:t xml:space="preserve"> </w:t>
      </w:r>
    </w:p>
    <w:p w14:paraId="6186E13D" w14:textId="77777777" w:rsidR="00755802" w:rsidRDefault="00755802" w:rsidP="00040058">
      <w:pPr>
        <w:pStyle w:val="T1"/>
      </w:pPr>
      <w:r>
        <w:t xml:space="preserve">De ECE-voorschriften worden uitgevaardigd door de Economische Commissie voor Europa van de Verenigde Naties. Kopieën van de ECE-voorschriften waarnaar in deze voorschriften wordt verwezen, zijn verkrijgbaar op de website van de VN/ECE: </w:t>
      </w:r>
      <w:hyperlink r:id="rId9" w:history="1">
        <w:r>
          <w:rPr>
            <w:rStyle w:val="Hyperlink"/>
          </w:rPr>
          <w:t>http://www.unece.org/trans/main/wp29/wp29regs.html</w:t>
        </w:r>
      </w:hyperlink>
      <w:r>
        <w:t>. Kopieën kunnen ook worden verkregen bij de Onderafdeling Voertuigbeleid, Afdeling Veilig en Toegankelijk Reizen, Ministerie van Infrastructuur, Clarence Court, 10-18 Adelaide Street, Town Parks, Belfast BT2 8GB (e-mail: vehicle.standards@infrastructure-ni.gov.uk)</w:t>
      </w:r>
    </w:p>
    <w:p w14:paraId="0E7BDCF2" w14:textId="77777777" w:rsidR="0083627D" w:rsidRPr="00095513" w:rsidRDefault="0083627D" w:rsidP="0083627D">
      <w:pPr>
        <w:pStyle w:val="T1"/>
      </w:pPr>
      <w:r>
        <w:t xml:space="preserve">Een regelgevingseffectbeoordeling en toelichting zijn opgesteld en zijn beschikbaar bij de Onderafdeling Voertuigbeleid op bovenstaand adres of online op </w:t>
      </w:r>
      <w:hyperlink r:id="rId10" w:history="1">
        <w:r>
          <w:rPr>
            <w:rStyle w:val="Hyperlink"/>
          </w:rPr>
          <w:t>http://www.legislation.gov.uk/nisr</w:t>
        </w:r>
      </w:hyperlink>
      <w:r>
        <w:t>, samen met deze wettelijke voorschriften.</w:t>
      </w:r>
    </w:p>
    <w:p w14:paraId="40D7E616" w14:textId="77777777" w:rsidR="0083627D" w:rsidRPr="00040058" w:rsidRDefault="0083627D" w:rsidP="00040058">
      <w:pPr>
        <w:pStyle w:val="T1"/>
      </w:pPr>
    </w:p>
    <w:sectPr w:rsidR="0083627D" w:rsidRPr="00040058" w:rsidSect="001D0E3C">
      <w:headerReference w:type="default" r:id="rId11"/>
      <w:footerReference w:type="default" r:id="rId12"/>
      <w:footnotePr>
        <w:numFmt w:val="lowerLetter"/>
        <w:numRestart w:val="eachPage"/>
      </w:footnotePr>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C139" w14:textId="77777777" w:rsidR="00A01CF2" w:rsidRDefault="00A01CF2">
      <w:r>
        <w:separator/>
      </w:r>
    </w:p>
  </w:endnote>
  <w:endnote w:type="continuationSeparator" w:id="0">
    <w:p w14:paraId="24B10E0F" w14:textId="77777777" w:rsidR="00A01CF2" w:rsidRDefault="00A0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3D59" w14:textId="77777777" w:rsidR="001D0E3C" w:rsidRDefault="001D0E3C" w:rsidP="00147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2AE">
      <w:rPr>
        <w:rStyle w:val="PageNumber"/>
      </w:rPr>
      <w:t>4</w:t>
    </w:r>
    <w:r>
      <w:rPr>
        <w:rStyle w:val="PageNumber"/>
      </w:rPr>
      <w:fldChar w:fldCharType="end"/>
    </w:r>
  </w:p>
  <w:p w14:paraId="2C583D4D" w14:textId="77777777" w:rsidR="001D0E3C" w:rsidRDefault="001D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54A5" w14:textId="77777777" w:rsidR="00A01CF2" w:rsidRDefault="00A01CF2" w:rsidP="00FF5421">
      <w:r>
        <w:continuationSeparator/>
      </w:r>
    </w:p>
  </w:footnote>
  <w:footnote w:type="continuationSeparator" w:id="0">
    <w:p w14:paraId="2CB739FE" w14:textId="77777777" w:rsidR="00A01CF2" w:rsidRDefault="00A01CF2">
      <w:r>
        <w:continuationSeparator/>
      </w:r>
    </w:p>
  </w:footnote>
  <w:footnote w:type="continuationNotice" w:id="1">
    <w:p w14:paraId="72E82105" w14:textId="77777777" w:rsidR="00A01CF2" w:rsidRDefault="00A01CF2"/>
  </w:footnote>
  <w:footnote w:id="2">
    <w:p w14:paraId="1D294C4A" w14:textId="77777777" w:rsidR="00A07397" w:rsidRDefault="00A07397">
      <w:pPr>
        <w:pStyle w:val="FootnoteText"/>
      </w:pPr>
      <w:r>
        <w:t>(</w:t>
      </w:r>
      <w:r>
        <w:rPr>
          <w:rStyle w:val="FootnoteReference"/>
        </w:rPr>
        <w:footnoteRef/>
      </w:r>
      <w:r>
        <w:t>)</w:t>
      </w:r>
      <w:r>
        <w:tab/>
        <w:t>Voorheen het Ministerie voor Regionale Ontwikkeling; zie afdeling 1, leden 6 en 11, van, en bijlage 1 bij de wet inzake ministeries (Noord-Ierland) van 2016 (2016 c. 5 (N.I.)). Op grond van afdeling 1, lid 9, van die wet is het Ministerie van Milieu opgeheven.</w:t>
      </w:r>
    </w:p>
  </w:footnote>
  <w:footnote w:id="3">
    <w:p w14:paraId="5460616A" w14:textId="77777777" w:rsidR="00E54DC5" w:rsidRDefault="00E54DC5">
      <w:pPr>
        <w:pStyle w:val="FootnoteText"/>
      </w:pPr>
      <w:r>
        <w:t>(</w:t>
      </w:r>
      <w:r>
        <w:rPr>
          <w:rStyle w:val="FootnoteReference"/>
        </w:rPr>
        <w:footnoteRef/>
      </w:r>
      <w:r>
        <w:t>)</w:t>
      </w:r>
      <w:r>
        <w:tab/>
        <w:t>S.I. 1995/2994 (N.I. 18); artikel 55 is gewijzigd bij artikel 42, lid 1, van het besluit inzake wegverkeer van 2007 (Noord-Ierland) (S.I. 2007/916 (N.I. 10)).</w:t>
      </w:r>
    </w:p>
  </w:footnote>
  <w:footnote w:id="4">
    <w:p w14:paraId="1085F1A2" w14:textId="77777777" w:rsidR="00FB6465" w:rsidRPr="00FB6465" w:rsidRDefault="00FB6465">
      <w:pPr>
        <w:pStyle w:val="FootnoteText"/>
      </w:pPr>
      <w:r>
        <w:t>(</w:t>
      </w:r>
      <w:r>
        <w:rPr>
          <w:rStyle w:val="FootnoteReference"/>
        </w:rPr>
        <w:footnoteRef/>
      </w:r>
      <w:r>
        <w:t>)</w:t>
      </w:r>
      <w:r>
        <w:tab/>
      </w:r>
      <w:r>
        <w:rPr>
          <w:i/>
        </w:rPr>
        <w:t xml:space="preserve">Zie </w:t>
      </w:r>
      <w:r>
        <w:t>artikel 8, lid 1, onder b), van, en deel 2 van bijlage 5 bij het ministerieel besluit (Overdracht van taken) van 2016 (Noord-Ierland) (S.R. 2016 No. 76).</w:t>
      </w:r>
    </w:p>
  </w:footnote>
  <w:footnote w:id="5">
    <w:p w14:paraId="7D938A52" w14:textId="77777777" w:rsidR="00FB6465" w:rsidRDefault="00FB6465">
      <w:pPr>
        <w:pStyle w:val="FootnoteText"/>
      </w:pPr>
      <w:r>
        <w:t>(</w:t>
      </w:r>
      <w:r>
        <w:rPr>
          <w:rStyle w:val="FootnoteReference"/>
        </w:rPr>
        <w:footnoteRef/>
      </w:r>
      <w:r>
        <w:t>)</w:t>
      </w:r>
      <w:r>
        <w:tab/>
        <w:t>S.R. 1999 nr. 454; relevante wijzigingsverordeningen: S.R. 2011 nr. 20, S.R. 2011 nr. 303 en S.R. 2016 nr. 160.</w:t>
      </w:r>
    </w:p>
  </w:footnote>
  <w:footnote w:id="6">
    <w:p w14:paraId="202E6E04" w14:textId="5448A374" w:rsidR="00A213F5" w:rsidRDefault="00A213F5">
      <w:pPr>
        <w:pStyle w:val="FootnoteText"/>
      </w:pPr>
      <w:r>
        <w:t>(</w:t>
      </w:r>
      <w:r>
        <w:rPr>
          <w:rStyle w:val="FootnoteReference"/>
        </w:rPr>
        <w:footnoteRef/>
      </w:r>
      <w:r>
        <w:t>)</w:t>
      </w:r>
      <w:r>
        <w:tab/>
        <w:t>O.J. nr. L 151 van 14.6.2018, blz.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C227" w14:textId="3907EE6D" w:rsidR="00F9319A" w:rsidRPr="00F9319A" w:rsidRDefault="00F9319A" w:rsidP="00F9319A">
    <w:pPr>
      <w:pStyle w:val="Header"/>
      <w:jc w:val="center"/>
      <w:rPr>
        <w:b/>
        <w:bCs/>
      </w:rPr>
    </w:pPr>
    <w:r>
      <w:rPr>
        <w:b/>
      </w:rPr>
      <w:t>Tweede ontwerp van april 2023 — zoals goedgekeurd door DSO 6/4/23</w:t>
    </w:r>
  </w:p>
  <w:p w14:paraId="104CC809" w14:textId="77777777" w:rsidR="00F9319A" w:rsidRDefault="00F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598368923">
    <w:abstractNumId w:val="0"/>
  </w:num>
  <w:num w:numId="2" w16cid:durableId="1681469010">
    <w:abstractNumId w:val="0"/>
  </w:num>
  <w:num w:numId="3" w16cid:durableId="1416317193">
    <w:abstractNumId w:val="0"/>
  </w:num>
  <w:num w:numId="4" w16cid:durableId="922227864">
    <w:abstractNumId w:val="0"/>
  </w:num>
  <w:num w:numId="5" w16cid:durableId="1604798227">
    <w:abstractNumId w:val="3"/>
  </w:num>
  <w:num w:numId="6" w16cid:durableId="1759716081">
    <w:abstractNumId w:val="3"/>
  </w:num>
  <w:num w:numId="7" w16cid:durableId="619800028">
    <w:abstractNumId w:val="3"/>
  </w:num>
  <w:num w:numId="8" w16cid:durableId="325474096">
    <w:abstractNumId w:val="3"/>
  </w:num>
  <w:num w:numId="9" w16cid:durableId="303657070">
    <w:abstractNumId w:val="3"/>
  </w:num>
  <w:num w:numId="10" w16cid:durableId="2138796238">
    <w:abstractNumId w:val="1"/>
  </w:num>
  <w:num w:numId="11" w16cid:durableId="6638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lowerLetter"/>
    <w:numRestart w:val="eachPage"/>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MinorType" w:val="Order"/>
    <w:docVar w:name="documentType" w:val="NIR"/>
    <w:docVar w:name="Lang" w:val="NIR"/>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A07397"/>
    <w:rsid w:val="000017D2"/>
    <w:rsid w:val="000053BF"/>
    <w:rsid w:val="00005DCF"/>
    <w:rsid w:val="000079E2"/>
    <w:rsid w:val="0001312F"/>
    <w:rsid w:val="000229B8"/>
    <w:rsid w:val="00022A1B"/>
    <w:rsid w:val="00024417"/>
    <w:rsid w:val="00027110"/>
    <w:rsid w:val="0002747F"/>
    <w:rsid w:val="00030A7A"/>
    <w:rsid w:val="00031649"/>
    <w:rsid w:val="0003170C"/>
    <w:rsid w:val="00033947"/>
    <w:rsid w:val="000344B1"/>
    <w:rsid w:val="00040058"/>
    <w:rsid w:val="00040919"/>
    <w:rsid w:val="00043C12"/>
    <w:rsid w:val="000576EB"/>
    <w:rsid w:val="0006536E"/>
    <w:rsid w:val="00087CDE"/>
    <w:rsid w:val="0009033B"/>
    <w:rsid w:val="000B217F"/>
    <w:rsid w:val="000B4769"/>
    <w:rsid w:val="000B7A59"/>
    <w:rsid w:val="000C2228"/>
    <w:rsid w:val="000D4452"/>
    <w:rsid w:val="000E132F"/>
    <w:rsid w:val="000E4959"/>
    <w:rsid w:val="000E71E2"/>
    <w:rsid w:val="000F290E"/>
    <w:rsid w:val="000F3EE9"/>
    <w:rsid w:val="000F4191"/>
    <w:rsid w:val="000F6AA5"/>
    <w:rsid w:val="001058F7"/>
    <w:rsid w:val="001138FC"/>
    <w:rsid w:val="001149FE"/>
    <w:rsid w:val="00114DA8"/>
    <w:rsid w:val="00116167"/>
    <w:rsid w:val="001162DB"/>
    <w:rsid w:val="00117CF9"/>
    <w:rsid w:val="00132A37"/>
    <w:rsid w:val="00145FD7"/>
    <w:rsid w:val="001542BD"/>
    <w:rsid w:val="001545AD"/>
    <w:rsid w:val="00166EFB"/>
    <w:rsid w:val="0016704D"/>
    <w:rsid w:val="00167904"/>
    <w:rsid w:val="0019250F"/>
    <w:rsid w:val="00194043"/>
    <w:rsid w:val="0019503E"/>
    <w:rsid w:val="001A220A"/>
    <w:rsid w:val="001B0B00"/>
    <w:rsid w:val="001B39DB"/>
    <w:rsid w:val="001B4AAF"/>
    <w:rsid w:val="001C06F9"/>
    <w:rsid w:val="001C1DFD"/>
    <w:rsid w:val="001C4800"/>
    <w:rsid w:val="001D0E3C"/>
    <w:rsid w:val="001E0FF6"/>
    <w:rsid w:val="001E5D59"/>
    <w:rsid w:val="001F0B49"/>
    <w:rsid w:val="00202100"/>
    <w:rsid w:val="00203DBB"/>
    <w:rsid w:val="0020612D"/>
    <w:rsid w:val="00215C2D"/>
    <w:rsid w:val="0021750A"/>
    <w:rsid w:val="002222EA"/>
    <w:rsid w:val="002234DD"/>
    <w:rsid w:val="0023008A"/>
    <w:rsid w:val="00233898"/>
    <w:rsid w:val="00237FEF"/>
    <w:rsid w:val="0024543E"/>
    <w:rsid w:val="00246EBA"/>
    <w:rsid w:val="00252709"/>
    <w:rsid w:val="00263D03"/>
    <w:rsid w:val="00265698"/>
    <w:rsid w:val="002657DD"/>
    <w:rsid w:val="002710CF"/>
    <w:rsid w:val="00281EEB"/>
    <w:rsid w:val="002842A4"/>
    <w:rsid w:val="00290FD6"/>
    <w:rsid w:val="002B09A9"/>
    <w:rsid w:val="002B2AB3"/>
    <w:rsid w:val="002D2359"/>
    <w:rsid w:val="002D64BB"/>
    <w:rsid w:val="002E35DE"/>
    <w:rsid w:val="002F3E74"/>
    <w:rsid w:val="0030031B"/>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49A8"/>
    <w:rsid w:val="003856CE"/>
    <w:rsid w:val="00395061"/>
    <w:rsid w:val="003A711F"/>
    <w:rsid w:val="003B5101"/>
    <w:rsid w:val="003B522B"/>
    <w:rsid w:val="003B7CB9"/>
    <w:rsid w:val="003C6DD8"/>
    <w:rsid w:val="003D09D8"/>
    <w:rsid w:val="003E6D63"/>
    <w:rsid w:val="003F2906"/>
    <w:rsid w:val="003F5552"/>
    <w:rsid w:val="003F6B8C"/>
    <w:rsid w:val="003F756B"/>
    <w:rsid w:val="00401FF2"/>
    <w:rsid w:val="00403BDB"/>
    <w:rsid w:val="004128CA"/>
    <w:rsid w:val="004266DE"/>
    <w:rsid w:val="00426F4F"/>
    <w:rsid w:val="00427240"/>
    <w:rsid w:val="004334AB"/>
    <w:rsid w:val="00434316"/>
    <w:rsid w:val="004374BE"/>
    <w:rsid w:val="00444DFD"/>
    <w:rsid w:val="0044665F"/>
    <w:rsid w:val="00450D00"/>
    <w:rsid w:val="00455D7C"/>
    <w:rsid w:val="00456585"/>
    <w:rsid w:val="0046133F"/>
    <w:rsid w:val="00462FB7"/>
    <w:rsid w:val="0047199F"/>
    <w:rsid w:val="004800DA"/>
    <w:rsid w:val="00484A79"/>
    <w:rsid w:val="00496706"/>
    <w:rsid w:val="004A3498"/>
    <w:rsid w:val="004A5981"/>
    <w:rsid w:val="004B27F0"/>
    <w:rsid w:val="004C4102"/>
    <w:rsid w:val="004D3553"/>
    <w:rsid w:val="004D6A75"/>
    <w:rsid w:val="004D6B89"/>
    <w:rsid w:val="004F0B89"/>
    <w:rsid w:val="004F499B"/>
    <w:rsid w:val="004F54E9"/>
    <w:rsid w:val="00512E1E"/>
    <w:rsid w:val="00517305"/>
    <w:rsid w:val="00520F87"/>
    <w:rsid w:val="00527CE3"/>
    <w:rsid w:val="00527F30"/>
    <w:rsid w:val="00542527"/>
    <w:rsid w:val="0054598B"/>
    <w:rsid w:val="00551C1E"/>
    <w:rsid w:val="0055460F"/>
    <w:rsid w:val="00584806"/>
    <w:rsid w:val="00586A38"/>
    <w:rsid w:val="00593489"/>
    <w:rsid w:val="005951C3"/>
    <w:rsid w:val="00595A92"/>
    <w:rsid w:val="005A366C"/>
    <w:rsid w:val="005A4DC3"/>
    <w:rsid w:val="005A5DA5"/>
    <w:rsid w:val="005C13CE"/>
    <w:rsid w:val="005C40A6"/>
    <w:rsid w:val="005D09CA"/>
    <w:rsid w:val="005D41B8"/>
    <w:rsid w:val="005E7BE0"/>
    <w:rsid w:val="005F36E7"/>
    <w:rsid w:val="005F3CB4"/>
    <w:rsid w:val="00601E12"/>
    <w:rsid w:val="00602E90"/>
    <w:rsid w:val="00610631"/>
    <w:rsid w:val="00613B50"/>
    <w:rsid w:val="00621479"/>
    <w:rsid w:val="00626BA9"/>
    <w:rsid w:val="0063239C"/>
    <w:rsid w:val="00632874"/>
    <w:rsid w:val="00634B89"/>
    <w:rsid w:val="00645512"/>
    <w:rsid w:val="006462B5"/>
    <w:rsid w:val="00646576"/>
    <w:rsid w:val="006507EE"/>
    <w:rsid w:val="0066052C"/>
    <w:rsid w:val="006672E0"/>
    <w:rsid w:val="006745CF"/>
    <w:rsid w:val="00683D94"/>
    <w:rsid w:val="00690A3B"/>
    <w:rsid w:val="006918B5"/>
    <w:rsid w:val="006A320F"/>
    <w:rsid w:val="006A595E"/>
    <w:rsid w:val="006A64B8"/>
    <w:rsid w:val="006A7DF8"/>
    <w:rsid w:val="006B185F"/>
    <w:rsid w:val="006B30CD"/>
    <w:rsid w:val="006B3B7C"/>
    <w:rsid w:val="006B4ADB"/>
    <w:rsid w:val="006B79E5"/>
    <w:rsid w:val="006C24BA"/>
    <w:rsid w:val="006C26FF"/>
    <w:rsid w:val="006C3089"/>
    <w:rsid w:val="006C3978"/>
    <w:rsid w:val="006C6643"/>
    <w:rsid w:val="006D0D5B"/>
    <w:rsid w:val="006D38F1"/>
    <w:rsid w:val="006D7810"/>
    <w:rsid w:val="006E65AD"/>
    <w:rsid w:val="006E7772"/>
    <w:rsid w:val="00705886"/>
    <w:rsid w:val="007079BB"/>
    <w:rsid w:val="00711BE8"/>
    <w:rsid w:val="00716ED4"/>
    <w:rsid w:val="00725F1D"/>
    <w:rsid w:val="00731C8C"/>
    <w:rsid w:val="007442AA"/>
    <w:rsid w:val="0074593A"/>
    <w:rsid w:val="0074692C"/>
    <w:rsid w:val="00753861"/>
    <w:rsid w:val="00755802"/>
    <w:rsid w:val="00763228"/>
    <w:rsid w:val="00773CD6"/>
    <w:rsid w:val="007A4CC8"/>
    <w:rsid w:val="007A5DAA"/>
    <w:rsid w:val="007B03C1"/>
    <w:rsid w:val="007B062C"/>
    <w:rsid w:val="007B22FE"/>
    <w:rsid w:val="007B254C"/>
    <w:rsid w:val="007B75E9"/>
    <w:rsid w:val="007C22A3"/>
    <w:rsid w:val="007C264A"/>
    <w:rsid w:val="007D3A1E"/>
    <w:rsid w:val="007F089E"/>
    <w:rsid w:val="007F69B9"/>
    <w:rsid w:val="00803635"/>
    <w:rsid w:val="00803AFD"/>
    <w:rsid w:val="0081761D"/>
    <w:rsid w:val="0083118A"/>
    <w:rsid w:val="0083130D"/>
    <w:rsid w:val="00831EA1"/>
    <w:rsid w:val="00832653"/>
    <w:rsid w:val="008346F2"/>
    <w:rsid w:val="00834955"/>
    <w:rsid w:val="0083627D"/>
    <w:rsid w:val="0085377A"/>
    <w:rsid w:val="0088528F"/>
    <w:rsid w:val="00891686"/>
    <w:rsid w:val="00892A7D"/>
    <w:rsid w:val="008936D6"/>
    <w:rsid w:val="00897333"/>
    <w:rsid w:val="008A2652"/>
    <w:rsid w:val="008B1F2E"/>
    <w:rsid w:val="008C0575"/>
    <w:rsid w:val="008C1C07"/>
    <w:rsid w:val="008C3AB5"/>
    <w:rsid w:val="008C451D"/>
    <w:rsid w:val="008C76CA"/>
    <w:rsid w:val="008D1F15"/>
    <w:rsid w:val="008E407D"/>
    <w:rsid w:val="008E68A5"/>
    <w:rsid w:val="008E7581"/>
    <w:rsid w:val="008F2059"/>
    <w:rsid w:val="008F26D4"/>
    <w:rsid w:val="008F2F05"/>
    <w:rsid w:val="008F7D32"/>
    <w:rsid w:val="00916C5D"/>
    <w:rsid w:val="00917799"/>
    <w:rsid w:val="00920C52"/>
    <w:rsid w:val="00921C0A"/>
    <w:rsid w:val="00934923"/>
    <w:rsid w:val="00937BB0"/>
    <w:rsid w:val="00940392"/>
    <w:rsid w:val="00945377"/>
    <w:rsid w:val="00955042"/>
    <w:rsid w:val="0096610D"/>
    <w:rsid w:val="00985908"/>
    <w:rsid w:val="00986ED9"/>
    <w:rsid w:val="00991335"/>
    <w:rsid w:val="009947C0"/>
    <w:rsid w:val="00996A8E"/>
    <w:rsid w:val="009A3A7E"/>
    <w:rsid w:val="009A7C67"/>
    <w:rsid w:val="009B5DDB"/>
    <w:rsid w:val="009C2BBD"/>
    <w:rsid w:val="009C3952"/>
    <w:rsid w:val="009E24C2"/>
    <w:rsid w:val="00A01907"/>
    <w:rsid w:val="00A01CF2"/>
    <w:rsid w:val="00A04F80"/>
    <w:rsid w:val="00A07397"/>
    <w:rsid w:val="00A127A4"/>
    <w:rsid w:val="00A156DC"/>
    <w:rsid w:val="00A213F5"/>
    <w:rsid w:val="00A26481"/>
    <w:rsid w:val="00A33157"/>
    <w:rsid w:val="00A35443"/>
    <w:rsid w:val="00A42AA8"/>
    <w:rsid w:val="00A42F2E"/>
    <w:rsid w:val="00A616A2"/>
    <w:rsid w:val="00A904C5"/>
    <w:rsid w:val="00A94825"/>
    <w:rsid w:val="00A968F9"/>
    <w:rsid w:val="00A9755E"/>
    <w:rsid w:val="00AA2213"/>
    <w:rsid w:val="00AA3D6E"/>
    <w:rsid w:val="00AA448A"/>
    <w:rsid w:val="00AA4F50"/>
    <w:rsid w:val="00AA66BB"/>
    <w:rsid w:val="00AB5644"/>
    <w:rsid w:val="00AC1157"/>
    <w:rsid w:val="00AC6E69"/>
    <w:rsid w:val="00AC7805"/>
    <w:rsid w:val="00AD5DF4"/>
    <w:rsid w:val="00AE38E7"/>
    <w:rsid w:val="00AE3D58"/>
    <w:rsid w:val="00AE4B31"/>
    <w:rsid w:val="00AF0E95"/>
    <w:rsid w:val="00AF4E21"/>
    <w:rsid w:val="00AF5B69"/>
    <w:rsid w:val="00AF5ECC"/>
    <w:rsid w:val="00B0192D"/>
    <w:rsid w:val="00B02D3D"/>
    <w:rsid w:val="00B04F73"/>
    <w:rsid w:val="00B11873"/>
    <w:rsid w:val="00B141E4"/>
    <w:rsid w:val="00B14268"/>
    <w:rsid w:val="00B23333"/>
    <w:rsid w:val="00B31ACF"/>
    <w:rsid w:val="00B323C0"/>
    <w:rsid w:val="00B32F0A"/>
    <w:rsid w:val="00B357C2"/>
    <w:rsid w:val="00B36C79"/>
    <w:rsid w:val="00B36FE2"/>
    <w:rsid w:val="00B43C2E"/>
    <w:rsid w:val="00B519EB"/>
    <w:rsid w:val="00B52A74"/>
    <w:rsid w:val="00B5732E"/>
    <w:rsid w:val="00B62B5D"/>
    <w:rsid w:val="00B64551"/>
    <w:rsid w:val="00B64CFF"/>
    <w:rsid w:val="00B83D23"/>
    <w:rsid w:val="00B86533"/>
    <w:rsid w:val="00B86B1C"/>
    <w:rsid w:val="00B913A5"/>
    <w:rsid w:val="00B93009"/>
    <w:rsid w:val="00BA287D"/>
    <w:rsid w:val="00BA47C6"/>
    <w:rsid w:val="00BA6E6F"/>
    <w:rsid w:val="00BB1BD2"/>
    <w:rsid w:val="00BB635D"/>
    <w:rsid w:val="00BB7CAD"/>
    <w:rsid w:val="00BC218F"/>
    <w:rsid w:val="00BC2D7F"/>
    <w:rsid w:val="00BC378E"/>
    <w:rsid w:val="00BC3A4C"/>
    <w:rsid w:val="00BD5A83"/>
    <w:rsid w:val="00BE3434"/>
    <w:rsid w:val="00BF1A5B"/>
    <w:rsid w:val="00BF23E5"/>
    <w:rsid w:val="00C03ABD"/>
    <w:rsid w:val="00C04D0F"/>
    <w:rsid w:val="00C065ED"/>
    <w:rsid w:val="00C07DFB"/>
    <w:rsid w:val="00C128C4"/>
    <w:rsid w:val="00C13624"/>
    <w:rsid w:val="00C13726"/>
    <w:rsid w:val="00C14123"/>
    <w:rsid w:val="00C14C52"/>
    <w:rsid w:val="00C37204"/>
    <w:rsid w:val="00C45A86"/>
    <w:rsid w:val="00C46554"/>
    <w:rsid w:val="00C50962"/>
    <w:rsid w:val="00C50ADC"/>
    <w:rsid w:val="00C675C1"/>
    <w:rsid w:val="00C779D4"/>
    <w:rsid w:val="00C832E5"/>
    <w:rsid w:val="00C868DF"/>
    <w:rsid w:val="00C87ACD"/>
    <w:rsid w:val="00C9028B"/>
    <w:rsid w:val="00C95799"/>
    <w:rsid w:val="00CA5736"/>
    <w:rsid w:val="00CA74D3"/>
    <w:rsid w:val="00CA767A"/>
    <w:rsid w:val="00CB13DE"/>
    <w:rsid w:val="00CB6441"/>
    <w:rsid w:val="00CD2CBA"/>
    <w:rsid w:val="00CD5175"/>
    <w:rsid w:val="00CE4E7D"/>
    <w:rsid w:val="00CE760E"/>
    <w:rsid w:val="00CF72AE"/>
    <w:rsid w:val="00CF7585"/>
    <w:rsid w:val="00D0274C"/>
    <w:rsid w:val="00D05D1F"/>
    <w:rsid w:val="00D12505"/>
    <w:rsid w:val="00D163D9"/>
    <w:rsid w:val="00D20C09"/>
    <w:rsid w:val="00D232EA"/>
    <w:rsid w:val="00D246C4"/>
    <w:rsid w:val="00D31480"/>
    <w:rsid w:val="00D43B26"/>
    <w:rsid w:val="00D455F0"/>
    <w:rsid w:val="00D51A74"/>
    <w:rsid w:val="00D559FA"/>
    <w:rsid w:val="00D60EE1"/>
    <w:rsid w:val="00D63769"/>
    <w:rsid w:val="00D6477E"/>
    <w:rsid w:val="00D71ACB"/>
    <w:rsid w:val="00D76454"/>
    <w:rsid w:val="00D77019"/>
    <w:rsid w:val="00D84B83"/>
    <w:rsid w:val="00D87569"/>
    <w:rsid w:val="00DA0356"/>
    <w:rsid w:val="00DA22E2"/>
    <w:rsid w:val="00DA3369"/>
    <w:rsid w:val="00DC29A1"/>
    <w:rsid w:val="00DC427E"/>
    <w:rsid w:val="00DD69B1"/>
    <w:rsid w:val="00DD7349"/>
    <w:rsid w:val="00DE4921"/>
    <w:rsid w:val="00DE5B3E"/>
    <w:rsid w:val="00DE674E"/>
    <w:rsid w:val="00E068E4"/>
    <w:rsid w:val="00E12824"/>
    <w:rsid w:val="00E1318E"/>
    <w:rsid w:val="00E21C8D"/>
    <w:rsid w:val="00E25D01"/>
    <w:rsid w:val="00E26A7C"/>
    <w:rsid w:val="00E327AE"/>
    <w:rsid w:val="00E408A2"/>
    <w:rsid w:val="00E41EA0"/>
    <w:rsid w:val="00E52999"/>
    <w:rsid w:val="00E54DC5"/>
    <w:rsid w:val="00E566A1"/>
    <w:rsid w:val="00E61B82"/>
    <w:rsid w:val="00E6241D"/>
    <w:rsid w:val="00E75FD9"/>
    <w:rsid w:val="00E8404B"/>
    <w:rsid w:val="00E87867"/>
    <w:rsid w:val="00E943EE"/>
    <w:rsid w:val="00E958EF"/>
    <w:rsid w:val="00E972EB"/>
    <w:rsid w:val="00EA00FE"/>
    <w:rsid w:val="00EA22B2"/>
    <w:rsid w:val="00EB166A"/>
    <w:rsid w:val="00EC196A"/>
    <w:rsid w:val="00EC296E"/>
    <w:rsid w:val="00EC6837"/>
    <w:rsid w:val="00EC7BBE"/>
    <w:rsid w:val="00ED0A2E"/>
    <w:rsid w:val="00ED292B"/>
    <w:rsid w:val="00ED3871"/>
    <w:rsid w:val="00ED6564"/>
    <w:rsid w:val="00ED72A2"/>
    <w:rsid w:val="00EE2C5D"/>
    <w:rsid w:val="00EE3061"/>
    <w:rsid w:val="00EE7147"/>
    <w:rsid w:val="00EF08C9"/>
    <w:rsid w:val="00F23681"/>
    <w:rsid w:val="00F27C1C"/>
    <w:rsid w:val="00F27E20"/>
    <w:rsid w:val="00F363EA"/>
    <w:rsid w:val="00F42CD0"/>
    <w:rsid w:val="00F45D1C"/>
    <w:rsid w:val="00F47030"/>
    <w:rsid w:val="00F50553"/>
    <w:rsid w:val="00F52907"/>
    <w:rsid w:val="00F533BB"/>
    <w:rsid w:val="00F61A8A"/>
    <w:rsid w:val="00F70AC7"/>
    <w:rsid w:val="00F72321"/>
    <w:rsid w:val="00F761C4"/>
    <w:rsid w:val="00F82829"/>
    <w:rsid w:val="00F85303"/>
    <w:rsid w:val="00F9319A"/>
    <w:rsid w:val="00F972DE"/>
    <w:rsid w:val="00FA3EFD"/>
    <w:rsid w:val="00FA518D"/>
    <w:rsid w:val="00FA7226"/>
    <w:rsid w:val="00FB1FA3"/>
    <w:rsid w:val="00FB563A"/>
    <w:rsid w:val="00FB5EDA"/>
    <w:rsid w:val="00FB6465"/>
    <w:rsid w:val="00FE2FE4"/>
    <w:rsid w:val="00FE46C6"/>
    <w:rsid w:val="00FF32AE"/>
    <w:rsid w:val="00FF5421"/>
    <w:rsid w:val="00FF5A1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710D1"/>
  <w15:docId w15:val="{EEF95A3C-1899-46D9-8671-4FC0E04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link w:val="HeaderChar"/>
    <w:uiPriority w:val="99"/>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link w:val="T1Char"/>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nl-NL" w:eastAsia="en-US" w:bidi="ar-SA"/>
    </w:rPr>
  </w:style>
  <w:style w:type="character" w:customStyle="1" w:styleId="MadeChar">
    <w:name w:val="Made Char"/>
    <w:link w:val="Made"/>
    <w:locked/>
    <w:rsid w:val="00E61B82"/>
    <w:rPr>
      <w:i/>
      <w:sz w:val="21"/>
      <w:lang w:val="nl-NL"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T1Char">
    <w:name w:val="T1 Char"/>
    <w:link w:val="T1"/>
    <w:locked/>
    <w:rsid w:val="0083627D"/>
    <w:rPr>
      <w:sz w:val="21"/>
      <w:lang w:eastAsia="en-US"/>
    </w:rPr>
  </w:style>
  <w:style w:type="character" w:styleId="FollowedHyperlink">
    <w:name w:val="FollowedHyperlink"/>
    <w:basedOn w:val="DefaultParagraphFont"/>
    <w:semiHidden/>
    <w:unhideWhenUsed/>
    <w:rsid w:val="00755802"/>
    <w:rPr>
      <w:color w:val="800080" w:themeColor="followedHyperlink"/>
      <w:u w:val="single"/>
    </w:rPr>
  </w:style>
  <w:style w:type="paragraph" w:styleId="BalloonText">
    <w:name w:val="Balloon Text"/>
    <w:basedOn w:val="Normal"/>
    <w:link w:val="BalloonTextChar"/>
    <w:semiHidden/>
    <w:unhideWhenUsed/>
    <w:rsid w:val="00FF32AE"/>
    <w:rPr>
      <w:rFonts w:ascii="Segoe UI" w:hAnsi="Segoe UI" w:cs="Segoe UI"/>
      <w:sz w:val="18"/>
      <w:szCs w:val="18"/>
    </w:rPr>
  </w:style>
  <w:style w:type="character" w:customStyle="1" w:styleId="BalloonTextChar">
    <w:name w:val="Balloon Text Char"/>
    <w:basedOn w:val="DefaultParagraphFont"/>
    <w:link w:val="BalloonText"/>
    <w:semiHidden/>
    <w:rsid w:val="00FF32AE"/>
    <w:rPr>
      <w:rFonts w:ascii="Segoe UI" w:hAnsi="Segoe UI" w:cs="Segoe UI"/>
      <w:sz w:val="18"/>
      <w:szCs w:val="18"/>
    </w:rPr>
  </w:style>
  <w:style w:type="character" w:customStyle="1" w:styleId="HeaderChar">
    <w:name w:val="Header Char"/>
    <w:basedOn w:val="DefaultParagraphFont"/>
    <w:link w:val="Header"/>
    <w:uiPriority w:val="99"/>
    <w:rsid w:val="00F9319A"/>
    <w:rPr>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1940">
      <w:bodyDiv w:val="1"/>
      <w:marLeft w:val="0"/>
      <w:marRight w:val="0"/>
      <w:marTop w:val="0"/>
      <w:marBottom w:val="0"/>
      <w:divBdr>
        <w:top w:val="none" w:sz="0" w:space="0" w:color="auto"/>
        <w:left w:val="none" w:sz="0" w:space="0" w:color="auto"/>
        <w:bottom w:val="none" w:sz="0" w:space="0" w:color="auto"/>
        <w:right w:val="none" w:sz="0" w:space="0" w:color="auto"/>
      </w:divBdr>
      <w:divsChild>
        <w:div w:id="104799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gislation.gov.uk/nisr" TargetMode="External"/><Relationship Id="rId4" Type="http://schemas.openxmlformats.org/officeDocument/2006/relationships/webSettings" Target="webSettings.xml"/><Relationship Id="rId9" Type="http://schemas.openxmlformats.org/officeDocument/2006/relationships/hyperlink" Target="http://www.unece.org/trans/main/wp29/wp29re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 V9.dotx</Template>
  <TotalTime>275</TotalTime>
  <Pages>4</Pages>
  <Words>1193</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creator>Caroline Graham</dc:creator>
  <dc:description>Version 9.1</dc:description>
  <cp:lastModifiedBy>Liana Brili</cp:lastModifiedBy>
  <cp:revision>21</cp:revision>
  <cp:lastPrinted>2022-11-25T16:19:00Z</cp:lastPrinted>
  <dcterms:created xsi:type="dcterms:W3CDTF">2022-01-26T15:09:00Z</dcterms:created>
  <dcterms:modified xsi:type="dcterms:W3CDTF">2023-05-02T09:07:00Z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15.0</vt:lpwstr>
  </property>
  <property fmtid="{D5CDD505-2E9C-101B-9397-08002B2CF9AE}" pid="3" name="LastOSversion">
    <vt:lpwstr>16.0</vt:lpwstr>
  </property>
  <property fmtid="{D5CDD505-2E9C-101B-9397-08002B2CF9AE}" pid="4" name="SI template version">
    <vt:lpwstr>Version 9.2</vt:lpwstr>
  </property>
  <property fmtid="{D5CDD505-2E9C-101B-9397-08002B2CF9AE}" pid="5" name="InitialWordVersion">
    <vt:lpwstr>15.0</vt:lpwstr>
  </property>
  <property fmtid="{D5CDD505-2E9C-101B-9397-08002B2CF9AE}" pid="6" name="InitialOSversion">
    <vt:lpwstr>Windows NT 10.0</vt:lpwstr>
  </property>
</Properties>
</file>