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58F7213C" w14:textId="77777777" w:rsidTr="00A857F7">
        <w:trPr>
          <w:cantSplit/>
        </w:trPr>
        <w:tc>
          <w:tcPr>
            <w:tcW w:w="4338" w:type="dxa"/>
            <w:gridSpan w:val="3"/>
            <w:shd w:val="clear" w:color="auto" w:fill="FFFFFF"/>
            <w:hideMark/>
          </w:tcPr>
          <w:p w14:paraId="091A81ED" w14:textId="77777777" w:rsidR="00A857F7" w:rsidRPr="00A857F7" w:rsidRDefault="00A857F7" w:rsidP="00A857F7">
            <w:pPr>
              <w:suppressAutoHyphens w:val="0"/>
              <w:spacing w:line="276" w:lineRule="auto"/>
              <w:jc w:val="center"/>
              <w:rPr>
                <w:b/>
                <w:bCs/>
                <w:color w:val="auto"/>
                <w:szCs w:val="20"/>
                <w:lang w:eastAsia="en-US"/>
              </w:rPr>
            </w:pPr>
            <w:r w:rsidRPr="00A857F7">
              <w:rPr>
                <w:b/>
                <w:bCs/>
                <w:color w:val="auto"/>
                <w:szCs w:val="20"/>
                <w:lang w:eastAsia="en-US"/>
              </w:rPr>
              <w:t>RÉPUBLIQUE FRANÇAISE</w:t>
            </w:r>
          </w:p>
        </w:tc>
      </w:tr>
      <w:tr w:rsidR="00A857F7" w:rsidRPr="00A857F7" w14:paraId="2F616D12" w14:textId="77777777" w:rsidTr="00A857F7">
        <w:trPr>
          <w:cantSplit/>
          <w:trHeight w:hRule="exact" w:val="113"/>
        </w:trPr>
        <w:tc>
          <w:tcPr>
            <w:tcW w:w="1526" w:type="dxa"/>
            <w:shd w:val="clear" w:color="auto" w:fill="FFFFFF"/>
          </w:tcPr>
          <w:p w14:paraId="1BC2E738"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643970B4" w14:textId="77777777" w:rsidTr="00A857F7">
        <w:trPr>
          <w:cantSplit/>
        </w:trPr>
        <w:tc>
          <w:tcPr>
            <w:tcW w:w="4338" w:type="dxa"/>
            <w:gridSpan w:val="3"/>
            <w:shd w:val="clear" w:color="auto" w:fill="FFFFFF"/>
            <w:hideMark/>
          </w:tcPr>
          <w:p w14:paraId="47A22048" w14:textId="77777777" w:rsidR="00A857F7" w:rsidRPr="00A857F7" w:rsidRDefault="00A857F7" w:rsidP="00A857F7">
            <w:pPr>
              <w:widowControl w:val="0"/>
              <w:snapToGrid w:val="0"/>
              <w:spacing w:before="120" w:line="276" w:lineRule="auto"/>
              <w:ind w:hanging="57"/>
              <w:jc w:val="center"/>
              <w:rPr>
                <w:rFonts w:eastAsia="Lucida Sans Unicode"/>
                <w:color w:val="auto"/>
                <w:lang w:eastAsia="en-US" w:bidi="hi-IN"/>
              </w:rPr>
            </w:pPr>
            <w:r w:rsidRPr="00A857F7">
              <w:rPr>
                <w:rFonts w:eastAsia="Lucida Sans Unicode"/>
                <w:color w:val="auto"/>
                <w:lang w:eastAsia="en-US" w:bidi="hi-IN"/>
              </w:rPr>
              <w:t>Ministère de la transition écologique</w:t>
            </w:r>
          </w:p>
          <w:p w14:paraId="47676278" w14:textId="08532887" w:rsidR="00A857F7" w:rsidRPr="00A857F7" w:rsidRDefault="00A857F7" w:rsidP="00972079">
            <w:pPr>
              <w:widowControl w:val="0"/>
              <w:snapToGrid w:val="0"/>
              <w:spacing w:before="120" w:line="276" w:lineRule="auto"/>
              <w:ind w:hanging="57"/>
              <w:jc w:val="center"/>
              <w:rPr>
                <w:rFonts w:eastAsia="Lucida Sans Unicode"/>
                <w:color w:val="auto"/>
                <w:lang w:eastAsia="en-US" w:bidi="hi-IN"/>
              </w:rPr>
            </w:pPr>
            <w:r w:rsidRPr="00A857F7">
              <w:rPr>
                <w:rFonts w:eastAsia="Lucida Sans Unicode"/>
                <w:color w:val="auto"/>
                <w:lang w:eastAsia="en-US" w:bidi="hi-IN"/>
              </w:rPr>
              <w:t xml:space="preserve">Ministère </w:t>
            </w:r>
            <w:r w:rsidR="00972079">
              <w:rPr>
                <w:rFonts w:eastAsia="Lucida Sans Unicode"/>
                <w:color w:val="auto"/>
                <w:lang w:eastAsia="en-US" w:bidi="hi-IN"/>
              </w:rPr>
              <w:t>des solidarités et de la santé</w:t>
            </w:r>
          </w:p>
        </w:tc>
      </w:tr>
      <w:tr w:rsidR="00A857F7" w:rsidRPr="00A857F7" w14:paraId="0D1C3E98" w14:textId="77777777" w:rsidTr="00A857F7">
        <w:trPr>
          <w:cantSplit/>
          <w:trHeight w:hRule="exact" w:val="227"/>
        </w:trPr>
        <w:tc>
          <w:tcPr>
            <w:tcW w:w="1526" w:type="dxa"/>
            <w:shd w:val="clear" w:color="auto" w:fill="FFFFFF"/>
          </w:tcPr>
          <w:p w14:paraId="0AA5A4C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38F1C3CC" w14:textId="77777777" w:rsidTr="00A857F7">
        <w:trPr>
          <w:cantSplit/>
          <w:trHeight w:hRule="exact" w:val="227"/>
        </w:trPr>
        <w:tc>
          <w:tcPr>
            <w:tcW w:w="1526" w:type="dxa"/>
            <w:shd w:val="clear" w:color="auto" w:fill="FFFFFF"/>
          </w:tcPr>
          <w:p w14:paraId="0F9A142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A857F7" w:rsidRDefault="006D6666">
      <w:pPr>
        <w:pStyle w:val="SNNature"/>
      </w:pPr>
      <w:r>
        <w:t>Projet d’a</w:t>
      </w:r>
      <w:r w:rsidR="00C46B5B" w:rsidRPr="00A857F7">
        <w:t xml:space="preserve">rrêté </w:t>
      </w:r>
      <w:r w:rsidR="00C46B5B" w:rsidRPr="00A857F7">
        <w:rPr>
          <w:rStyle w:val="SNDateSignature"/>
        </w:rPr>
        <w:t xml:space="preserve">du </w:t>
      </w:r>
    </w:p>
    <w:p w14:paraId="1EB51F43" w14:textId="190FE6AE" w:rsidR="008347CD" w:rsidRPr="00972079" w:rsidRDefault="00A857F7">
      <w:pPr>
        <w:pStyle w:val="SNObjet"/>
        <w:jc w:val="center"/>
      </w:pPr>
      <w:r w:rsidRPr="00A857F7">
        <w:t>f</w:t>
      </w:r>
      <w:r w:rsidR="0005179D" w:rsidRPr="00A857F7">
        <w:t>ixant la liste des substances présentant</w:t>
      </w:r>
      <w:r w:rsidR="00414610" w:rsidRPr="00A857F7">
        <w:t xml:space="preserve"> des propriétés de perturbation endocrinienne</w:t>
      </w:r>
      <w:r w:rsidR="0005179D" w:rsidRPr="00A857F7">
        <w:t xml:space="preserve"> </w:t>
      </w:r>
      <w:r>
        <w:t>mentionnées au</w:t>
      </w:r>
      <w:r w:rsidR="00F769AF">
        <w:t xml:space="preserve">x </w:t>
      </w:r>
      <w:r>
        <w:t xml:space="preserve">I </w:t>
      </w:r>
      <w:r w:rsidR="00F769AF">
        <w:t xml:space="preserve">et II </w:t>
      </w:r>
      <w:r>
        <w:t>de l’article L. 5232-5 du code de la santé publique</w:t>
      </w:r>
      <w:r w:rsidR="00F769AF">
        <w:t xml:space="preserve"> et les catégories de produits présentant un risque d’exposition particulier mentionnées au II de l’article  L. 5232-5 du code de la santé publique</w:t>
      </w:r>
    </w:p>
    <w:p w14:paraId="478A9991" w14:textId="77777777" w:rsidR="00A857F7" w:rsidRDefault="00A857F7">
      <w:pPr>
        <w:pStyle w:val="SNObjet"/>
        <w:jc w:val="center"/>
        <w:rPr>
          <w:b w:val="0"/>
        </w:rPr>
      </w:pPr>
    </w:p>
    <w:p w14:paraId="4B5AF825" w14:textId="694CEF70" w:rsidR="008347CD" w:rsidRDefault="00C46B5B">
      <w:pPr>
        <w:pStyle w:val="SNObjet"/>
        <w:jc w:val="center"/>
      </w:pPr>
      <w:r>
        <w:rPr>
          <w:b w:val="0"/>
        </w:rPr>
        <w:t xml:space="preserve">NOR : </w:t>
      </w:r>
    </w:p>
    <w:p w14:paraId="7BEE793B" w14:textId="1BACFF04" w:rsidR="008347CD" w:rsidRDefault="00C46B5B">
      <w:pPr>
        <w:spacing w:before="720" w:after="120"/>
        <w:jc w:val="both"/>
      </w:pPr>
      <w:r>
        <w:rPr>
          <w:b/>
          <w:bCs/>
          <w:i/>
          <w:iCs/>
        </w:rPr>
        <w:t>Publics concernés :</w:t>
      </w:r>
      <w:r>
        <w:rPr>
          <w:i/>
          <w:iCs/>
        </w:rPr>
        <w:t xml:space="preserve"> </w:t>
      </w:r>
      <w:r w:rsidR="007C13FE">
        <w:rPr>
          <w:i/>
          <w:iCs/>
        </w:rPr>
        <w:t>T</w:t>
      </w:r>
      <w:r w:rsidR="00A755A3">
        <w:rPr>
          <w:i/>
          <w:iCs/>
        </w:rPr>
        <w:t>oute personne qui met sur le marché des produits à destination des consommateurs qui, au terme de leur fabrication, comportent des substances dont l'Agence nationale de sécurité sanitaire de l'alimentation, de l'environnement et du travail (ANSES) qualifie les propriétés de perturbation endocrinienne d'avérées</w:t>
      </w:r>
      <w:r w:rsidR="00F769AF">
        <w:rPr>
          <w:i/>
          <w:iCs/>
        </w:rPr>
        <w:t xml:space="preserve">, </w:t>
      </w:r>
      <w:r w:rsidR="005C464F">
        <w:rPr>
          <w:i/>
          <w:iCs/>
        </w:rPr>
        <w:t xml:space="preserve">de </w:t>
      </w:r>
      <w:r w:rsidR="00A755A3">
        <w:rPr>
          <w:i/>
          <w:iCs/>
        </w:rPr>
        <w:t>présumées</w:t>
      </w:r>
      <w:r w:rsidR="00026E60">
        <w:rPr>
          <w:i/>
          <w:iCs/>
        </w:rPr>
        <w:t xml:space="preserve"> ou </w:t>
      </w:r>
      <w:r w:rsidR="005C464F">
        <w:rPr>
          <w:i/>
          <w:iCs/>
        </w:rPr>
        <w:t xml:space="preserve">de </w:t>
      </w:r>
      <w:r w:rsidR="00F769AF">
        <w:rPr>
          <w:i/>
          <w:iCs/>
        </w:rPr>
        <w:t>suspectées</w:t>
      </w:r>
    </w:p>
    <w:p w14:paraId="63145422" w14:textId="56CADA03" w:rsidR="00026E60" w:rsidRDefault="00C46B5B" w:rsidP="003A3003">
      <w:pPr>
        <w:spacing w:before="120" w:after="200"/>
        <w:jc w:val="both"/>
        <w:rPr>
          <w:bCs/>
          <w:i/>
          <w:iCs/>
        </w:rPr>
      </w:pPr>
      <w:r>
        <w:rPr>
          <w:b/>
          <w:bCs/>
          <w:i/>
          <w:iCs/>
        </w:rPr>
        <w:t>Objet :</w:t>
      </w:r>
      <w:r>
        <w:rPr>
          <w:i/>
          <w:iCs/>
        </w:rPr>
        <w:t xml:space="preserve"> </w:t>
      </w:r>
      <w:r w:rsidR="00026E60">
        <w:rPr>
          <w:bCs/>
          <w:i/>
          <w:iCs/>
        </w:rPr>
        <w:t>Cet arrêté identifie :</w:t>
      </w:r>
    </w:p>
    <w:p w14:paraId="72CB79D9" w14:textId="554B37C4" w:rsidR="00026E60" w:rsidRPr="00026E60" w:rsidRDefault="00026E60" w:rsidP="00026E60">
      <w:pPr>
        <w:pStyle w:val="Paragraphedeliste"/>
        <w:numPr>
          <w:ilvl w:val="0"/>
          <w:numId w:val="4"/>
        </w:numPr>
        <w:spacing w:before="120" w:after="200"/>
        <w:jc w:val="both"/>
        <w:rPr>
          <w:i/>
        </w:rPr>
      </w:pPr>
      <w:r w:rsidRPr="00026E60">
        <w:rPr>
          <w:bCs/>
          <w:i/>
          <w:iCs/>
        </w:rPr>
        <w:t xml:space="preserve">les substances présentant des propriétés de perturbation endocrinienne qualifiées d’avérées et de présumées, mentionnées au I de l’article L. 5232-5 du code de la santé publique, </w:t>
      </w:r>
      <w:r w:rsidRPr="00026E60">
        <w:rPr>
          <w:i/>
        </w:rPr>
        <w:t>dont l</w:t>
      </w:r>
      <w:r w:rsidR="005C464F">
        <w:rPr>
          <w:i/>
        </w:rPr>
        <w:t>es informations sur l</w:t>
      </w:r>
      <w:r w:rsidRPr="00026E60">
        <w:rPr>
          <w:i/>
        </w:rPr>
        <w:t>a présence dans les produits</w:t>
      </w:r>
      <w:r w:rsidR="005C464F">
        <w:rPr>
          <w:i/>
        </w:rPr>
        <w:t>,</w:t>
      </w:r>
      <w:r w:rsidRPr="00026E60">
        <w:rPr>
          <w:i/>
        </w:rPr>
        <w:t xml:space="preserve"> mentionnés à l’article R. 5232-19 du code de la santé publique</w:t>
      </w:r>
      <w:r w:rsidR="005C464F">
        <w:rPr>
          <w:i/>
        </w:rPr>
        <w:t>,</w:t>
      </w:r>
      <w:r w:rsidRPr="00026E60">
        <w:rPr>
          <w:i/>
        </w:rPr>
        <w:t xml:space="preserve"> doi</w:t>
      </w:r>
      <w:r w:rsidR="005C464F">
        <w:rPr>
          <w:i/>
        </w:rPr>
        <w:t>ven</w:t>
      </w:r>
      <w:r w:rsidRPr="00026E60">
        <w:rPr>
          <w:i/>
        </w:rPr>
        <w:t>t être mise à disposition du public par les personnes qui les mettent sur le marché</w:t>
      </w:r>
      <w:r w:rsidR="00F9491E">
        <w:rPr>
          <w:i/>
        </w:rPr>
        <w:t> ;</w:t>
      </w:r>
    </w:p>
    <w:p w14:paraId="1EEAFD30" w14:textId="650B2653" w:rsidR="00026E60" w:rsidRDefault="00026E60" w:rsidP="00026E60">
      <w:pPr>
        <w:pStyle w:val="Paragraphedeliste"/>
        <w:numPr>
          <w:ilvl w:val="0"/>
          <w:numId w:val="4"/>
        </w:numPr>
        <w:jc w:val="both"/>
        <w:rPr>
          <w:bCs/>
          <w:i/>
          <w:iCs/>
        </w:rPr>
      </w:pPr>
      <w:r w:rsidRPr="00026E60">
        <w:rPr>
          <w:bCs/>
          <w:i/>
          <w:iCs/>
        </w:rPr>
        <w:t>les substances présentant des propriétés de perturbation endocrinienne qualifiées de suspectées, mentionnées au II de l’article L. 5232-5 du code de la santé publique</w:t>
      </w:r>
      <w:r w:rsidR="00F9491E">
        <w:rPr>
          <w:bCs/>
          <w:i/>
          <w:iCs/>
        </w:rPr>
        <w:t> ;</w:t>
      </w:r>
    </w:p>
    <w:p w14:paraId="6E3CD793" w14:textId="6D0420B6" w:rsidR="00026E60" w:rsidRPr="00026E60" w:rsidRDefault="00026E60" w:rsidP="00026E60">
      <w:pPr>
        <w:pStyle w:val="Paragraphedeliste"/>
        <w:numPr>
          <w:ilvl w:val="0"/>
          <w:numId w:val="4"/>
        </w:numPr>
        <w:jc w:val="both"/>
        <w:rPr>
          <w:bCs/>
          <w:i/>
          <w:iCs/>
        </w:rPr>
      </w:pPr>
      <w:r w:rsidRPr="00026E60">
        <w:rPr>
          <w:bCs/>
          <w:i/>
          <w:iCs/>
        </w:rPr>
        <w:t>les catégories de produits présentant un risque d’exposition particulier pour lesquelles s’applique l’obligation d’information relative à la présence de substances de perturbation endocrinienne qualifiées de suspectées.</w:t>
      </w:r>
      <w:bookmarkStart w:id="0" w:name="move773304541"/>
      <w:bookmarkEnd w:id="0"/>
    </w:p>
    <w:p w14:paraId="5470BC4F" w14:textId="72315F6A" w:rsidR="008347CD" w:rsidRDefault="00C46B5B">
      <w:pPr>
        <w:spacing w:before="120" w:after="120"/>
        <w:jc w:val="both"/>
      </w:pPr>
      <w:r>
        <w:rPr>
          <w:b/>
          <w:bCs/>
          <w:i/>
          <w:iCs/>
        </w:rPr>
        <w:t>Entrée en vigueur :</w:t>
      </w:r>
      <w:r w:rsidR="007C13FE">
        <w:rPr>
          <w:i/>
          <w:iCs/>
        </w:rPr>
        <w:t xml:space="preserve"> L</w:t>
      </w:r>
      <w:r>
        <w:rPr>
          <w:i/>
          <w:iCs/>
        </w:rPr>
        <w:t>e texte entre en vigueur le 1</w:t>
      </w:r>
      <w:r>
        <w:rPr>
          <w:i/>
          <w:iCs/>
          <w:vertAlign w:val="superscript"/>
        </w:rPr>
        <w:t>er</w:t>
      </w:r>
      <w:r w:rsidR="006B2B52">
        <w:rPr>
          <w:i/>
          <w:iCs/>
        </w:rPr>
        <w:t xml:space="preserve"> janvier 2022</w:t>
      </w:r>
      <w:r>
        <w:rPr>
          <w:i/>
          <w:iCs/>
        </w:rPr>
        <w:t>.</w:t>
      </w:r>
    </w:p>
    <w:p w14:paraId="733E13B9" w14:textId="7E2678C1" w:rsidR="005C023A" w:rsidRPr="003A3003" w:rsidRDefault="00C46B5B" w:rsidP="009934B3">
      <w:pPr>
        <w:spacing w:after="120"/>
        <w:jc w:val="both"/>
        <w:rPr>
          <w:i/>
          <w:iCs/>
        </w:rPr>
      </w:pPr>
      <w:r>
        <w:rPr>
          <w:b/>
          <w:bCs/>
          <w:i/>
          <w:iCs/>
        </w:rPr>
        <w:t>Notice :</w:t>
      </w:r>
      <w:r w:rsidR="0050742C">
        <w:rPr>
          <w:i/>
          <w:iCs/>
        </w:rPr>
        <w:t xml:space="preserve"> </w:t>
      </w:r>
      <w:r w:rsidR="00844E8D">
        <w:rPr>
          <w:bCs/>
          <w:i/>
          <w:iCs/>
        </w:rPr>
        <w:t xml:space="preserve">La loi </w:t>
      </w:r>
      <w:r w:rsidR="00844E8D" w:rsidRPr="003A3003">
        <w:rPr>
          <w:i/>
          <w:iCs/>
        </w:rPr>
        <w:t xml:space="preserve">n° 2020-105 du 10 février 2020 relative à la lutte contre le gaspillage et à l'économie circulaire, dite « AGEC » prévoit à l’article 13-II </w:t>
      </w:r>
      <w:r w:rsidR="005C023A" w:rsidRPr="003A3003">
        <w:rPr>
          <w:i/>
          <w:iCs/>
        </w:rPr>
        <w:t xml:space="preserve">que </w:t>
      </w:r>
      <w:r w:rsidR="00844E8D" w:rsidRPr="003A3003">
        <w:rPr>
          <w:i/>
          <w:iCs/>
        </w:rPr>
        <w:t xml:space="preserve">toute personne mettant sur le marché des produits à destination des consommateurs, contenant des substances dont l’Agence nationale de sécurité sanitaire de l’alimentation, de l’environnement et du travail (ANSES) qualifie les propriétés de perturbation endocrinienne d’avérées ou présumées doit « mettre à la disposition du public par voie électronique, dans un format ouvert, aisément réutilisable et exploitable par un système de traitement automatisé, pour chacun des produits concernés, les informations permettant d’identifier la présence de telles substances dans ces produits ». </w:t>
      </w:r>
      <w:r w:rsidR="003A3003" w:rsidRPr="003A3003">
        <w:rPr>
          <w:i/>
          <w:iCs/>
        </w:rPr>
        <w:t>Cette obligation s’applique également à</w:t>
      </w:r>
      <w:r w:rsidR="00F9491E" w:rsidRPr="003A3003">
        <w:rPr>
          <w:i/>
          <w:iCs/>
        </w:rPr>
        <w:t xml:space="preserve"> certaines catégories de produits présentant un risque d'exposition particulier, pour les substances dont </w:t>
      </w:r>
      <w:r w:rsidR="003A3003" w:rsidRPr="003A3003">
        <w:rPr>
          <w:i/>
          <w:iCs/>
        </w:rPr>
        <w:t>l’A</w:t>
      </w:r>
      <w:r w:rsidR="00840BD7">
        <w:rPr>
          <w:i/>
          <w:iCs/>
        </w:rPr>
        <w:t>NSES</w:t>
      </w:r>
      <w:r w:rsidR="00F9491E" w:rsidRPr="003A3003">
        <w:rPr>
          <w:i/>
          <w:iCs/>
        </w:rPr>
        <w:t xml:space="preserve"> qualifie les propriétés de perturbation endocrinienne de suspectées.</w:t>
      </w:r>
    </w:p>
    <w:p w14:paraId="5B62B7D5" w14:textId="4A3BF621" w:rsidR="005C023A" w:rsidRDefault="005C023A" w:rsidP="005C023A">
      <w:pPr>
        <w:spacing w:after="120"/>
        <w:jc w:val="both"/>
        <w:rPr>
          <w:i/>
          <w:iCs/>
        </w:rPr>
      </w:pPr>
      <w:r>
        <w:rPr>
          <w:i/>
          <w:iCs/>
        </w:rPr>
        <w:t xml:space="preserve">Cette </w:t>
      </w:r>
      <w:r w:rsidR="003A3003">
        <w:rPr>
          <w:i/>
          <w:iCs/>
        </w:rPr>
        <w:t>obligation</w:t>
      </w:r>
      <w:r>
        <w:rPr>
          <w:i/>
          <w:iCs/>
        </w:rPr>
        <w:t xml:space="preserve"> s'inscrit dans la lignée des objectifs de la deuxième Stratégie nationale sur les perturbateurs endocriniens (SNPE2). Elle vise à assurer aux citoyens une information </w:t>
      </w:r>
      <w:r>
        <w:rPr>
          <w:i/>
          <w:iCs/>
        </w:rPr>
        <w:lastRenderedPageBreak/>
        <w:t xml:space="preserve">transparente sur la présence de substances présentant des propriétés de perturbation endocrinienne dans les produits, au sens de substances, mélanges, articles et denrées alimentaires. </w:t>
      </w:r>
    </w:p>
    <w:p w14:paraId="4B8A6D79" w14:textId="26B4F5AE" w:rsidR="003A3003" w:rsidRDefault="00844E8D" w:rsidP="009934B3">
      <w:pPr>
        <w:spacing w:after="120"/>
        <w:jc w:val="both"/>
        <w:rPr>
          <w:bCs/>
          <w:i/>
          <w:iCs/>
        </w:rPr>
      </w:pPr>
      <w:r>
        <w:rPr>
          <w:bCs/>
          <w:i/>
          <w:iCs/>
        </w:rPr>
        <w:t xml:space="preserve">Les modalités d’application de cette disposition législative ont été définies aux articles R. 5232-19 à </w:t>
      </w:r>
      <w:r w:rsidR="005C023A">
        <w:rPr>
          <w:bCs/>
          <w:i/>
          <w:iCs/>
        </w:rPr>
        <w:t xml:space="preserve">R. 5232-22 du code de la santé publique. L’article R. 5232-19 prévoit qu’un arrêté conjoint des ministres chargés de la santé et de l’environnement fixe, </w:t>
      </w:r>
      <w:r w:rsidR="003A3003">
        <w:rPr>
          <w:bCs/>
          <w:i/>
          <w:iCs/>
        </w:rPr>
        <w:t>sur proposition</w:t>
      </w:r>
      <w:r w:rsidR="005C023A">
        <w:rPr>
          <w:bCs/>
          <w:i/>
          <w:iCs/>
        </w:rPr>
        <w:t xml:space="preserve"> de </w:t>
      </w:r>
      <w:r w:rsidR="00840BD7">
        <w:rPr>
          <w:bCs/>
          <w:i/>
          <w:iCs/>
        </w:rPr>
        <w:t>l’ANSES</w:t>
      </w:r>
      <w:r w:rsidR="003A3003">
        <w:rPr>
          <w:bCs/>
          <w:i/>
          <w:iCs/>
        </w:rPr>
        <w:t> :</w:t>
      </w:r>
    </w:p>
    <w:p w14:paraId="0EF9AEBF" w14:textId="6805D919" w:rsidR="00844E8D" w:rsidRDefault="005C023A" w:rsidP="003A3003">
      <w:pPr>
        <w:pStyle w:val="Paragraphedeliste"/>
        <w:numPr>
          <w:ilvl w:val="0"/>
          <w:numId w:val="4"/>
        </w:numPr>
        <w:spacing w:after="120"/>
        <w:jc w:val="both"/>
        <w:rPr>
          <w:bCs/>
          <w:i/>
          <w:iCs/>
        </w:rPr>
      </w:pPr>
      <w:r w:rsidRPr="003A3003">
        <w:rPr>
          <w:bCs/>
          <w:i/>
          <w:iCs/>
        </w:rPr>
        <w:t>la liste des substances présentant des propriétés de perturbation endocrinienne mentionnées au I de l’article L. 5232-5, réparties en deux catégories, avérées et présumées, selon le niveau de preuve scientifique</w:t>
      </w:r>
      <w:r w:rsidR="00840BD7">
        <w:rPr>
          <w:bCs/>
          <w:i/>
          <w:iCs/>
        </w:rPr>
        <w:t> ;</w:t>
      </w:r>
    </w:p>
    <w:p w14:paraId="1DD34A14" w14:textId="0439FE39" w:rsidR="003A3003" w:rsidRPr="003A3003" w:rsidRDefault="00840BD7" w:rsidP="003A3003">
      <w:pPr>
        <w:pStyle w:val="Paragraphedeliste"/>
        <w:numPr>
          <w:ilvl w:val="0"/>
          <w:numId w:val="4"/>
        </w:numPr>
        <w:autoSpaceDN w:val="0"/>
        <w:jc w:val="both"/>
        <w:textAlignment w:val="baseline"/>
        <w:rPr>
          <w:bCs/>
          <w:i/>
          <w:iCs/>
        </w:rPr>
      </w:pPr>
      <w:r>
        <w:rPr>
          <w:bCs/>
          <w:i/>
          <w:iCs/>
        </w:rPr>
        <w:t>l</w:t>
      </w:r>
      <w:r w:rsidR="003A3003" w:rsidRPr="003A3003">
        <w:rPr>
          <w:bCs/>
          <w:i/>
          <w:iCs/>
        </w:rPr>
        <w:t xml:space="preserve">a liste des substances présentant des propriétés de perturbation endocrinienne suspectées, mentionnées au II de l’article L. 5232-5 ; </w:t>
      </w:r>
    </w:p>
    <w:p w14:paraId="62A7D081" w14:textId="4DFAECBB" w:rsidR="003A3003" w:rsidRPr="003A3003" w:rsidRDefault="00840BD7" w:rsidP="003A3003">
      <w:pPr>
        <w:pStyle w:val="Paragraphedeliste"/>
        <w:numPr>
          <w:ilvl w:val="0"/>
          <w:numId w:val="4"/>
        </w:numPr>
        <w:autoSpaceDN w:val="0"/>
        <w:jc w:val="both"/>
        <w:textAlignment w:val="baseline"/>
        <w:rPr>
          <w:bCs/>
          <w:i/>
          <w:iCs/>
        </w:rPr>
      </w:pPr>
      <w:r>
        <w:rPr>
          <w:bCs/>
          <w:i/>
          <w:iCs/>
        </w:rPr>
        <w:t>l</w:t>
      </w:r>
      <w:r w:rsidR="003A3003" w:rsidRPr="003A3003">
        <w:rPr>
          <w:bCs/>
          <w:i/>
          <w:iCs/>
        </w:rPr>
        <w:t>es catégories de produits présentant un risque d'exposition particulier mentionnés au II de l’article L. 5232-5, au regard des populations exposées, des conditions d’utilisation et d’élimination de ces produits et d’autres critères pertinents.</w:t>
      </w:r>
    </w:p>
    <w:p w14:paraId="46CC9886" w14:textId="77777777" w:rsidR="00844E8D" w:rsidRDefault="00844E8D">
      <w:pPr>
        <w:spacing w:after="120"/>
        <w:jc w:val="both"/>
        <w:rPr>
          <w:i/>
          <w:iCs/>
        </w:rPr>
      </w:pPr>
    </w:p>
    <w:p w14:paraId="6983208D" w14:textId="0044FA4F" w:rsidR="008347CD" w:rsidRDefault="00C46B5B">
      <w:pPr>
        <w:spacing w:after="120"/>
        <w:jc w:val="both"/>
      </w:pPr>
      <w:r>
        <w:rPr>
          <w:b/>
          <w:bCs/>
          <w:i/>
          <w:iCs/>
        </w:rPr>
        <w:t>Références :</w:t>
      </w:r>
      <w:r>
        <w:rPr>
          <w:i/>
          <w:iCs/>
        </w:rPr>
        <w:t xml:space="preserve"> le </w:t>
      </w:r>
      <w:r w:rsidR="00972079">
        <w:rPr>
          <w:i/>
          <w:iCs/>
        </w:rPr>
        <w:t>texte peut être consulté</w:t>
      </w:r>
      <w:r>
        <w:rPr>
          <w:i/>
          <w:iCs/>
        </w:rPr>
        <w:t xml:space="preserve"> sur le site Légifrance (http://legifrance.gouv.fr).</w:t>
      </w:r>
    </w:p>
    <w:p w14:paraId="6684B3B6" w14:textId="77777777" w:rsidR="008347CD" w:rsidRDefault="008347CD">
      <w:pPr>
        <w:pStyle w:val="SNObjet"/>
        <w:rPr>
          <w:b w:val="0"/>
        </w:rPr>
      </w:pPr>
    </w:p>
    <w:p w14:paraId="0BEF3BF1" w14:textId="026CEB60" w:rsidR="008347CD" w:rsidRDefault="00C46B5B">
      <w:pPr>
        <w:pStyle w:val="SNObjet"/>
      </w:pPr>
      <w:r>
        <w:t>La ministre de la tra</w:t>
      </w:r>
      <w:r w:rsidR="007F7405">
        <w:t>nsition écologique et</w:t>
      </w:r>
      <w:r>
        <w:t xml:space="preserve"> </w:t>
      </w:r>
      <w:r w:rsidR="00972079">
        <w:t xml:space="preserve">le </w:t>
      </w:r>
      <w:r>
        <w:t xml:space="preserve">ministre </w:t>
      </w:r>
      <w:r w:rsidR="007F7405">
        <w:t>des solidarités et de la santé</w:t>
      </w:r>
    </w:p>
    <w:p w14:paraId="73DB3276" w14:textId="475B4219" w:rsidR="007F7405" w:rsidRDefault="00C46B5B" w:rsidP="00A42F37">
      <w:pPr>
        <w:pStyle w:val="SNVisa"/>
        <w:ind w:firstLine="708"/>
      </w:pPr>
      <w:r>
        <w:t xml:space="preserve">Vu </w:t>
      </w:r>
      <w:r w:rsidR="006B6ECB">
        <w:t>le règlement (C</w:t>
      </w:r>
      <w:r w:rsidR="007F7405">
        <w:t>E) n°</w:t>
      </w:r>
      <w:r w:rsidR="00972079">
        <w:t> </w:t>
      </w:r>
      <w:r w:rsidR="006B6ECB">
        <w:t xml:space="preserve">1907/2006 </w:t>
      </w:r>
      <w:r w:rsidR="00A42F37" w:rsidRPr="006956AB">
        <w:rPr>
          <w:iCs/>
        </w:rPr>
        <w:t>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r w:rsidR="00A42F37">
        <w:rPr>
          <w:iCs/>
        </w:rPr>
        <w:t> ;</w:t>
      </w:r>
    </w:p>
    <w:p w14:paraId="3B2BD5A0" w14:textId="130383A4" w:rsidR="00A14477" w:rsidRDefault="00A14477" w:rsidP="00A42F37">
      <w:pPr>
        <w:pStyle w:val="SNVisa"/>
        <w:ind w:firstLine="708"/>
      </w:pPr>
      <w:r>
        <w:t>Vu le règlement (CE) n°</w:t>
      </w:r>
      <w:r w:rsidR="00972079">
        <w:t> </w:t>
      </w:r>
      <w:r>
        <w:t>1107/2009 du Parlement européen et du Conseil du 21 octobre 2009 concernant la mise sur le marché des produits phytopharmaceutiques et abrogeant les directives 79/117/CEE et 91/414/CEE du Conseil ;</w:t>
      </w:r>
    </w:p>
    <w:p w14:paraId="1BAF1F3D" w14:textId="08DDD3CB" w:rsidR="008347CD" w:rsidRDefault="007F7405" w:rsidP="00A42F37">
      <w:pPr>
        <w:pStyle w:val="SNVisa"/>
        <w:ind w:firstLine="708"/>
      </w:pPr>
      <w:r>
        <w:t xml:space="preserve">Vu </w:t>
      </w:r>
      <w:r w:rsidR="00C46B5B">
        <w:t>le règlement (UE) n°</w:t>
      </w:r>
      <w:r w:rsidR="00972079">
        <w:t> </w:t>
      </w:r>
      <w:r w:rsidR="00C46B5B">
        <w:t>528/2012 du Parlement Européen et du Conseil du 22 mai 2012 concernant la mise à disposition sur le marché et l’utilisation des produits biocides ;</w:t>
      </w:r>
    </w:p>
    <w:p w14:paraId="284E1EE9" w14:textId="12EEA247" w:rsidR="008347CD" w:rsidRDefault="00C46B5B" w:rsidP="00A42F37">
      <w:pPr>
        <w:pStyle w:val="SNVisa"/>
        <w:ind w:firstLine="708"/>
      </w:pPr>
      <w:r>
        <w:t xml:space="preserve">Vu le </w:t>
      </w:r>
      <w:bookmarkStart w:id="1" w:name="__DdeLink__11050_299813634"/>
      <w:r w:rsidR="00414610">
        <w:t>code de le santé publique</w:t>
      </w:r>
      <w:r w:rsidR="00A14477">
        <w:t xml:space="preserve">, notamment </w:t>
      </w:r>
      <w:r w:rsidR="00972079">
        <w:t xml:space="preserve">son article </w:t>
      </w:r>
      <w:r>
        <w:t>L</w:t>
      </w:r>
      <w:r w:rsidR="00972079">
        <w:t>. </w:t>
      </w:r>
      <w:r>
        <w:t>5</w:t>
      </w:r>
      <w:bookmarkEnd w:id="1"/>
      <w:r w:rsidR="00414610">
        <w:t>232-5 </w:t>
      </w:r>
      <w:r w:rsidR="00972079">
        <w:t xml:space="preserve">dans sa rédaction résultant de l’article 13 de la </w:t>
      </w:r>
      <w:r w:rsidR="00972079">
        <w:rPr>
          <w:bCs/>
        </w:rPr>
        <w:t>loi n</w:t>
      </w:r>
      <w:r w:rsidR="00972079">
        <w:rPr>
          <w:bCs/>
          <w:vertAlign w:val="superscript"/>
        </w:rPr>
        <w:t>o</w:t>
      </w:r>
      <w:r w:rsidR="00972079">
        <w:rPr>
          <w:bCs/>
        </w:rPr>
        <w:t xml:space="preserve"> 2020-105 du 10 février 2020 relative à la lutte contre le gaspillage et à l’économie circulaire</w:t>
      </w:r>
      <w:r w:rsidR="009934B3">
        <w:rPr>
          <w:bCs/>
        </w:rPr>
        <w:t xml:space="preserve"> et son article R. 5232-19</w:t>
      </w:r>
      <w:r w:rsidR="00972079">
        <w:rPr>
          <w:bCs/>
        </w:rPr>
        <w:t> </w:t>
      </w:r>
      <w:r w:rsidR="00414610">
        <w:t>;</w:t>
      </w:r>
    </w:p>
    <w:p w14:paraId="58048984" w14:textId="5480FE12" w:rsidR="008347CD" w:rsidRDefault="00414610" w:rsidP="00A42F37">
      <w:pPr>
        <w:pStyle w:val="SNVisa"/>
        <w:ind w:firstLine="708"/>
      </w:pPr>
      <w:r>
        <w:t xml:space="preserve">Vu l’avis </w:t>
      </w:r>
      <w:r w:rsidR="00C46B5B">
        <w:t>de l’Agence nationale de sécurité sanitaire de l’alimentation, de l’enviro</w:t>
      </w:r>
      <w:r>
        <w:t xml:space="preserve">nnement et du travail </w:t>
      </w:r>
      <w:r w:rsidR="00972079">
        <w:t>rendu le XXXX</w:t>
      </w:r>
      <w:r w:rsidR="009934B3">
        <w:t> ;</w:t>
      </w:r>
    </w:p>
    <w:p w14:paraId="411C619F" w14:textId="77777777" w:rsidR="008347CD" w:rsidRDefault="00C46B5B">
      <w:pPr>
        <w:pStyle w:val="SNActe"/>
      </w:pPr>
      <w:r>
        <w:t>Arrêtent :</w:t>
      </w:r>
    </w:p>
    <w:p w14:paraId="78D9F457" w14:textId="77777777" w:rsidR="008347CD" w:rsidRDefault="008347CD">
      <w:pPr>
        <w:pStyle w:val="SNArticle"/>
      </w:pPr>
    </w:p>
    <w:p w14:paraId="5C7F96CE" w14:textId="77777777" w:rsidR="008347CD" w:rsidRDefault="00C46B5B">
      <w:pPr>
        <w:pStyle w:val="SNArticle"/>
      </w:pPr>
      <w:r>
        <w:t>Article 1</w:t>
      </w:r>
      <w:r>
        <w:rPr>
          <w:vertAlign w:val="superscript"/>
        </w:rPr>
        <w:t>er</w:t>
      </w:r>
    </w:p>
    <w:p w14:paraId="25C93793" w14:textId="77777777" w:rsidR="00A42F37" w:rsidRDefault="00A42F37">
      <w:pPr>
        <w:jc w:val="both"/>
      </w:pPr>
    </w:p>
    <w:p w14:paraId="658E2A64" w14:textId="1473D7BA" w:rsidR="00A42F37" w:rsidRDefault="00A42F37" w:rsidP="00F92FDA">
      <w:pPr>
        <w:jc w:val="both"/>
      </w:pPr>
      <w:r>
        <w:t>Les substances</w:t>
      </w:r>
      <w:r w:rsidR="00164440">
        <w:t xml:space="preserve"> </w:t>
      </w:r>
      <w:r w:rsidR="00220182" w:rsidRPr="007D3BAF">
        <w:rPr>
          <w:kern w:val="3"/>
        </w:rPr>
        <w:t>présentant des propriétés de perturbation endocrinienne avérées et présumées</w:t>
      </w:r>
      <w:r w:rsidR="00220182">
        <w:rPr>
          <w:kern w:val="3"/>
        </w:rPr>
        <w:t>,</w:t>
      </w:r>
      <w:r w:rsidR="00220182" w:rsidRPr="007D3BAF">
        <w:rPr>
          <w:kern w:val="3"/>
        </w:rPr>
        <w:t xml:space="preserve"> mentionnées au I de l’article L. 5232-5</w:t>
      </w:r>
      <w:r w:rsidR="00220182">
        <w:rPr>
          <w:kern w:val="3"/>
        </w:rPr>
        <w:t xml:space="preserve"> du code de la santé publique sont listées dans le tableau A en </w:t>
      </w:r>
      <w:r w:rsidR="00220182">
        <w:t xml:space="preserve">annexe </w:t>
      </w:r>
      <w:r w:rsidR="00F92FDA">
        <w:t xml:space="preserve">I </w:t>
      </w:r>
      <w:r w:rsidR="00220182">
        <w:t>du présent arrêté.</w:t>
      </w:r>
    </w:p>
    <w:p w14:paraId="1B8D27AD" w14:textId="3F1A9B07" w:rsidR="008347CD" w:rsidRDefault="008347CD">
      <w:pPr>
        <w:jc w:val="both"/>
      </w:pPr>
    </w:p>
    <w:p w14:paraId="7ABA31A2" w14:textId="540F08BD" w:rsidR="003A3003" w:rsidRDefault="003A3003">
      <w:pPr>
        <w:jc w:val="both"/>
      </w:pPr>
    </w:p>
    <w:p w14:paraId="5FCF2249" w14:textId="28632C61" w:rsidR="003A3003" w:rsidRDefault="003A3003">
      <w:pPr>
        <w:jc w:val="both"/>
      </w:pPr>
    </w:p>
    <w:p w14:paraId="7FAA4141" w14:textId="41964769" w:rsidR="003A3003" w:rsidRDefault="003A3003">
      <w:pPr>
        <w:jc w:val="both"/>
      </w:pPr>
    </w:p>
    <w:p w14:paraId="3D3E5718" w14:textId="2E589BC6" w:rsidR="003A3003" w:rsidRDefault="003A3003">
      <w:pPr>
        <w:jc w:val="both"/>
      </w:pPr>
    </w:p>
    <w:p w14:paraId="185CCC9B" w14:textId="77777777" w:rsidR="00840BD7" w:rsidRDefault="00840BD7">
      <w:pPr>
        <w:jc w:val="both"/>
      </w:pPr>
    </w:p>
    <w:p w14:paraId="1CB2A07C" w14:textId="61E452D4" w:rsidR="00220182" w:rsidRDefault="00220182" w:rsidP="00220182">
      <w:pPr>
        <w:pStyle w:val="SNArticle"/>
      </w:pPr>
      <w:r>
        <w:lastRenderedPageBreak/>
        <w:t>Article 2</w:t>
      </w:r>
    </w:p>
    <w:p w14:paraId="0BC38752" w14:textId="77777777" w:rsidR="00220182" w:rsidRDefault="00220182" w:rsidP="00220182">
      <w:pPr>
        <w:jc w:val="both"/>
      </w:pPr>
    </w:p>
    <w:p w14:paraId="29D79603" w14:textId="7710243A" w:rsidR="00220182" w:rsidRDefault="00220182" w:rsidP="00220182">
      <w:pPr>
        <w:jc w:val="both"/>
      </w:pPr>
      <w:r>
        <w:t xml:space="preserve">Les substances </w:t>
      </w:r>
      <w:r w:rsidRPr="007D3BAF">
        <w:rPr>
          <w:kern w:val="3"/>
        </w:rPr>
        <w:t xml:space="preserve">présentant des propriétés de perturbation endocrinienne </w:t>
      </w:r>
      <w:r>
        <w:rPr>
          <w:kern w:val="3"/>
        </w:rPr>
        <w:t>suspectées,</w:t>
      </w:r>
      <w:r w:rsidRPr="007D3BAF">
        <w:rPr>
          <w:kern w:val="3"/>
        </w:rPr>
        <w:t xml:space="preserve"> mentionnées au </w:t>
      </w:r>
      <w:r>
        <w:rPr>
          <w:kern w:val="3"/>
        </w:rPr>
        <w:t>I</w:t>
      </w:r>
      <w:r w:rsidRPr="007D3BAF">
        <w:rPr>
          <w:kern w:val="3"/>
        </w:rPr>
        <w:t>I de l’article L. 5232-5</w:t>
      </w:r>
      <w:r>
        <w:rPr>
          <w:kern w:val="3"/>
        </w:rPr>
        <w:t xml:space="preserve"> du code de la santé publique sont listées dans le tableau B en </w:t>
      </w:r>
      <w:r>
        <w:t xml:space="preserve">annexe </w:t>
      </w:r>
      <w:r w:rsidR="0091346D">
        <w:t xml:space="preserve">I </w:t>
      </w:r>
      <w:r>
        <w:t>du présent arrêté.</w:t>
      </w:r>
    </w:p>
    <w:p w14:paraId="414AAF65" w14:textId="77777777" w:rsidR="00840BD7" w:rsidRDefault="00840BD7" w:rsidP="00220182">
      <w:pPr>
        <w:jc w:val="both"/>
      </w:pPr>
    </w:p>
    <w:p w14:paraId="414FCA1E" w14:textId="71ABDFE8" w:rsidR="00220182" w:rsidRDefault="00220182" w:rsidP="00220182">
      <w:pPr>
        <w:pStyle w:val="SNArticle"/>
      </w:pPr>
      <w:r>
        <w:t>Article 3</w:t>
      </w:r>
    </w:p>
    <w:p w14:paraId="2D09A589" w14:textId="77777777" w:rsidR="00220182" w:rsidRDefault="00220182" w:rsidP="00220182">
      <w:pPr>
        <w:jc w:val="both"/>
      </w:pPr>
    </w:p>
    <w:p w14:paraId="19C5E591" w14:textId="14F23B7A" w:rsidR="00220182" w:rsidRDefault="00220182" w:rsidP="00220182">
      <w:pPr>
        <w:jc w:val="both"/>
      </w:pPr>
      <w:r w:rsidRPr="007D3BAF">
        <w:rPr>
          <w:kern w:val="3"/>
        </w:rPr>
        <w:t>Les catégories de produits présentant un risque d'exposition particulier mentionnés au II de l’article L. 5232-5</w:t>
      </w:r>
      <w:r>
        <w:rPr>
          <w:kern w:val="3"/>
        </w:rPr>
        <w:t xml:space="preserve"> du code de la santé publique</w:t>
      </w:r>
      <w:r w:rsidRPr="007D3BAF">
        <w:rPr>
          <w:kern w:val="3"/>
        </w:rPr>
        <w:t>,</w:t>
      </w:r>
      <w:r w:rsidRPr="00220182">
        <w:t xml:space="preserve"> </w:t>
      </w:r>
      <w:r w:rsidR="007D3B6E">
        <w:rPr>
          <w:kern w:val="3"/>
        </w:rPr>
        <w:t xml:space="preserve">sont listées en </w:t>
      </w:r>
      <w:r w:rsidR="007D3B6E">
        <w:t>annexe</w:t>
      </w:r>
      <w:r w:rsidR="0091346D">
        <w:t xml:space="preserve"> II</w:t>
      </w:r>
      <w:r w:rsidR="007D3B6E">
        <w:t xml:space="preserve"> du présent arrêté.</w:t>
      </w:r>
    </w:p>
    <w:p w14:paraId="1FF4DAAD" w14:textId="21F9B44B" w:rsidR="00220182" w:rsidRDefault="00220182" w:rsidP="00220182">
      <w:pPr>
        <w:jc w:val="both"/>
      </w:pPr>
    </w:p>
    <w:p w14:paraId="1137E4CD" w14:textId="3090F12E" w:rsidR="008347CD" w:rsidRDefault="00C46B5B">
      <w:pPr>
        <w:pStyle w:val="SNArticle"/>
      </w:pPr>
      <w:r>
        <w:t xml:space="preserve">Article </w:t>
      </w:r>
      <w:r w:rsidR="00220182">
        <w:t>4</w:t>
      </w:r>
    </w:p>
    <w:p w14:paraId="285154DB" w14:textId="77777777" w:rsidR="008347CD" w:rsidRDefault="00C46B5B">
      <w:pPr>
        <w:pStyle w:val="SNArticle"/>
        <w:jc w:val="left"/>
        <w:rPr>
          <w:b w:val="0"/>
        </w:rPr>
      </w:pPr>
      <w:r>
        <w:rPr>
          <w:b w:val="0"/>
        </w:rPr>
        <w:t>Les dispositions du présent arrêté entren</w:t>
      </w:r>
      <w:r w:rsidR="00A42F37">
        <w:rPr>
          <w:b w:val="0"/>
        </w:rPr>
        <w:t>t en vigueur le 1er janvier 2022</w:t>
      </w:r>
      <w:r>
        <w:rPr>
          <w:b w:val="0"/>
        </w:rPr>
        <w:t xml:space="preserve">. </w:t>
      </w:r>
    </w:p>
    <w:p w14:paraId="716A6006" w14:textId="77777777" w:rsidR="009F20C4" w:rsidRDefault="009F20C4">
      <w:pPr>
        <w:pStyle w:val="SNArticle"/>
      </w:pPr>
    </w:p>
    <w:p w14:paraId="1DE0912A" w14:textId="43814AF3" w:rsidR="008347CD" w:rsidRDefault="00C46B5B">
      <w:pPr>
        <w:pStyle w:val="SNArticle"/>
      </w:pPr>
      <w:r>
        <w:t xml:space="preserve">Article </w:t>
      </w:r>
      <w:r w:rsidR="00220182">
        <w:t>5</w:t>
      </w:r>
    </w:p>
    <w:p w14:paraId="4B2DBBEB" w14:textId="77777777" w:rsidR="008347CD" w:rsidRDefault="00C46B5B">
      <w:pPr>
        <w:pStyle w:val="Corpsdetexte"/>
        <w:jc w:val="both"/>
      </w:pPr>
      <w:r>
        <w:t xml:space="preserve">Le présent arrêté sera publié au </w:t>
      </w:r>
      <w:r>
        <w:rPr>
          <w:i/>
        </w:rPr>
        <w:t>Journal officiel</w:t>
      </w:r>
      <w:r>
        <w:t xml:space="preserve"> de la République française.</w:t>
      </w:r>
    </w:p>
    <w:p w14:paraId="348F0109" w14:textId="121A36A3" w:rsidR="008347CD" w:rsidRDefault="008347CD" w:rsidP="0005179D">
      <w:pPr>
        <w:tabs>
          <w:tab w:val="left" w:pos="5685"/>
        </w:tabs>
      </w:pPr>
    </w:p>
    <w:p w14:paraId="6D2787DD" w14:textId="77777777" w:rsidR="008347CD" w:rsidRDefault="008347CD"/>
    <w:p w14:paraId="20942212" w14:textId="77777777" w:rsidR="008347CD" w:rsidRDefault="00C46B5B">
      <w:pPr>
        <w:ind w:firstLine="540"/>
      </w:pPr>
      <w:r>
        <w:t xml:space="preserve">Fait le </w:t>
      </w:r>
    </w:p>
    <w:p w14:paraId="6DEBDEE2" w14:textId="77777777" w:rsidR="008347CD" w:rsidRDefault="008347CD">
      <w:pPr>
        <w:ind w:left="539"/>
      </w:pPr>
    </w:p>
    <w:p w14:paraId="0CD275D9" w14:textId="77777777" w:rsidR="008347CD" w:rsidRDefault="008347CD">
      <w:pPr>
        <w:pStyle w:val="SNSignatureGauche"/>
        <w:ind w:left="539"/>
      </w:pPr>
    </w:p>
    <w:p w14:paraId="00FFAF1F" w14:textId="77777777" w:rsidR="008347CD" w:rsidRDefault="008347CD">
      <w:pPr>
        <w:pStyle w:val="SNSignatureGauche"/>
        <w:ind w:left="539"/>
      </w:pPr>
    </w:p>
    <w:p w14:paraId="6BEDEEF5" w14:textId="25330FB5" w:rsidR="008347CD" w:rsidRDefault="00C46B5B">
      <w:pPr>
        <w:pStyle w:val="SNSignatureGauche"/>
        <w:ind w:left="539"/>
      </w:pPr>
      <w:r>
        <w:t>La ministre de la transition écologique,</w:t>
      </w:r>
    </w:p>
    <w:p w14:paraId="21F51DC6" w14:textId="77777777" w:rsidR="008347CD" w:rsidRDefault="00C46B5B">
      <w:pPr>
        <w:pStyle w:val="SNSignatureDroite"/>
        <w:ind w:left="539" w:firstLine="0"/>
      </w:pPr>
      <w:r>
        <w:t>Pour la ministre et par délégation :</w:t>
      </w:r>
    </w:p>
    <w:p w14:paraId="5384022E" w14:textId="77777777" w:rsidR="008347CD" w:rsidRDefault="00C46B5B">
      <w:pPr>
        <w:pStyle w:val="SNSignatureDroite"/>
        <w:ind w:left="539" w:firstLine="0"/>
      </w:pPr>
      <w:r>
        <w:t>Le directeur général de la prévention des risques,</w:t>
      </w:r>
    </w:p>
    <w:p w14:paraId="0A5482F8" w14:textId="77777777" w:rsidR="008347CD" w:rsidRDefault="008347CD">
      <w:pPr>
        <w:pStyle w:val="SNSignatureGauche"/>
        <w:ind w:left="539"/>
      </w:pPr>
    </w:p>
    <w:p w14:paraId="673118EB" w14:textId="77777777" w:rsidR="008347CD" w:rsidRDefault="008347CD">
      <w:pPr>
        <w:pStyle w:val="SNSignatureDroite"/>
        <w:ind w:left="539" w:firstLine="0"/>
      </w:pPr>
    </w:p>
    <w:p w14:paraId="6195CB62" w14:textId="77777777" w:rsidR="008347CD" w:rsidRDefault="008347CD">
      <w:pPr>
        <w:pStyle w:val="SNSignatureGauche"/>
        <w:ind w:left="539"/>
      </w:pPr>
    </w:p>
    <w:p w14:paraId="4AA84A8A" w14:textId="77777777" w:rsidR="008347CD" w:rsidRDefault="00C46B5B">
      <w:pPr>
        <w:pStyle w:val="SNSignatureDroite"/>
        <w:ind w:left="539" w:firstLine="0"/>
      </w:pPr>
      <w:r>
        <w:t>Cédric BOURILLET</w:t>
      </w:r>
    </w:p>
    <w:p w14:paraId="3540651A" w14:textId="77777777" w:rsidR="008347CD" w:rsidRDefault="008347CD">
      <w:pPr>
        <w:ind w:left="539"/>
      </w:pPr>
    </w:p>
    <w:p w14:paraId="02736F8A" w14:textId="77777777" w:rsidR="008347CD" w:rsidRDefault="008347CD">
      <w:pPr>
        <w:ind w:left="539"/>
      </w:pPr>
    </w:p>
    <w:p w14:paraId="218AB37D" w14:textId="77777777" w:rsidR="008347CD" w:rsidRDefault="008347CD">
      <w:pPr>
        <w:ind w:left="539"/>
      </w:pPr>
    </w:p>
    <w:p w14:paraId="61147849" w14:textId="32EE603B" w:rsidR="008347CD" w:rsidRDefault="00305F8C" w:rsidP="009934B3">
      <w:pPr>
        <w:ind w:left="539"/>
      </w:pPr>
      <w:r>
        <w:t xml:space="preserve">Le </w:t>
      </w:r>
      <w:r w:rsidR="00C46B5B">
        <w:t>ministre des solidarités et de la santé,</w:t>
      </w:r>
    </w:p>
    <w:p w14:paraId="69576A00" w14:textId="7DEE8A3A" w:rsidR="008347CD" w:rsidRDefault="00C46B5B" w:rsidP="009934B3">
      <w:pPr>
        <w:ind w:left="539"/>
      </w:pPr>
      <w:r>
        <w:t xml:space="preserve">Pour </w:t>
      </w:r>
      <w:r w:rsidR="00305F8C">
        <w:t xml:space="preserve">le </w:t>
      </w:r>
      <w:r>
        <w:t>ministre et par délégation :</w:t>
      </w:r>
    </w:p>
    <w:p w14:paraId="598A67E7" w14:textId="77777777" w:rsidR="008347CD" w:rsidRDefault="00C46B5B" w:rsidP="009934B3">
      <w:pPr>
        <w:ind w:left="539"/>
      </w:pPr>
      <w:r>
        <w:t>Le directeur général de la santé,</w:t>
      </w:r>
    </w:p>
    <w:p w14:paraId="2DC0E3F5" w14:textId="77777777" w:rsidR="008347CD" w:rsidRDefault="008347CD" w:rsidP="009934B3">
      <w:pPr>
        <w:ind w:left="539"/>
      </w:pPr>
    </w:p>
    <w:p w14:paraId="5BF5FC14" w14:textId="77777777" w:rsidR="008347CD" w:rsidRDefault="008347CD" w:rsidP="009934B3">
      <w:pPr>
        <w:ind w:left="539"/>
      </w:pPr>
    </w:p>
    <w:p w14:paraId="06D46F73" w14:textId="77777777" w:rsidR="008347CD" w:rsidRDefault="008347CD" w:rsidP="009934B3">
      <w:pPr>
        <w:ind w:left="539"/>
      </w:pPr>
    </w:p>
    <w:p w14:paraId="1EC43CA3" w14:textId="26DC16E0" w:rsidR="008347CD" w:rsidRDefault="00C46B5B" w:rsidP="009934B3">
      <w:pPr>
        <w:ind w:left="539"/>
      </w:pPr>
      <w:r>
        <w:t>Jérôme SALOMON</w:t>
      </w:r>
    </w:p>
    <w:p w14:paraId="646663AB" w14:textId="470A7E39" w:rsidR="0091346D" w:rsidRDefault="0091346D" w:rsidP="009934B3">
      <w:pPr>
        <w:ind w:left="539"/>
      </w:pPr>
    </w:p>
    <w:p w14:paraId="78992825" w14:textId="26A612AC" w:rsidR="0091346D" w:rsidRDefault="0091346D" w:rsidP="009934B3">
      <w:pPr>
        <w:ind w:left="539"/>
      </w:pPr>
    </w:p>
    <w:p w14:paraId="4C271472" w14:textId="12482997" w:rsidR="0091346D" w:rsidRDefault="0091346D" w:rsidP="009934B3">
      <w:pPr>
        <w:ind w:left="539"/>
      </w:pPr>
    </w:p>
    <w:p w14:paraId="757046F7" w14:textId="6F5F6C03" w:rsidR="0091346D" w:rsidRDefault="0091346D" w:rsidP="009934B3">
      <w:pPr>
        <w:ind w:left="539"/>
      </w:pPr>
    </w:p>
    <w:p w14:paraId="30CBFC27" w14:textId="77777777" w:rsidR="009F20C4" w:rsidRDefault="009F20C4" w:rsidP="009934B3">
      <w:pPr>
        <w:ind w:left="539"/>
      </w:pPr>
    </w:p>
    <w:p w14:paraId="203CF528" w14:textId="77777777" w:rsidR="009F20C4" w:rsidRDefault="009F20C4" w:rsidP="009934B3">
      <w:pPr>
        <w:ind w:left="539"/>
      </w:pPr>
    </w:p>
    <w:p w14:paraId="55CCE532" w14:textId="77777777" w:rsidR="009F20C4" w:rsidRDefault="009F20C4" w:rsidP="009934B3">
      <w:pPr>
        <w:ind w:left="539"/>
      </w:pPr>
    </w:p>
    <w:p w14:paraId="75D34D20" w14:textId="77777777" w:rsidR="009F20C4" w:rsidRDefault="009F20C4" w:rsidP="009934B3">
      <w:pPr>
        <w:ind w:left="539"/>
      </w:pPr>
    </w:p>
    <w:p w14:paraId="093B3990" w14:textId="77777777" w:rsidR="009F20C4" w:rsidRDefault="009F20C4" w:rsidP="009934B3">
      <w:pPr>
        <w:ind w:left="539"/>
      </w:pPr>
    </w:p>
    <w:p w14:paraId="0EB4AC6D" w14:textId="77777777" w:rsidR="009F20C4" w:rsidRDefault="009F20C4" w:rsidP="009934B3">
      <w:pPr>
        <w:ind w:left="539"/>
      </w:pPr>
    </w:p>
    <w:p w14:paraId="07DFCF09" w14:textId="77777777" w:rsidR="009F20C4" w:rsidRDefault="009F20C4" w:rsidP="009934B3">
      <w:pPr>
        <w:ind w:left="539"/>
      </w:pPr>
    </w:p>
    <w:p w14:paraId="7290D6B3" w14:textId="05AEFB86" w:rsidR="0091346D" w:rsidRDefault="00F9491E" w:rsidP="009934B3">
      <w:pPr>
        <w:ind w:left="539"/>
      </w:pPr>
      <w:r>
        <w:t>A</w:t>
      </w:r>
      <w:r w:rsidR="0091346D">
        <w:t xml:space="preserve">nnexes </w:t>
      </w:r>
    </w:p>
    <w:p w14:paraId="6EA669F8" w14:textId="77777777" w:rsidR="0091346D" w:rsidRDefault="0091346D" w:rsidP="009934B3">
      <w:pPr>
        <w:ind w:left="539"/>
      </w:pPr>
    </w:p>
    <w:p w14:paraId="7CD2C0F1" w14:textId="77777777" w:rsidR="0091346D" w:rsidRDefault="0091346D" w:rsidP="009934B3">
      <w:pPr>
        <w:ind w:left="539"/>
      </w:pPr>
    </w:p>
    <w:p w14:paraId="3ABF99B7" w14:textId="4BA3CD32" w:rsidR="0091346D" w:rsidRDefault="0091346D" w:rsidP="00F92FDA">
      <w:pPr>
        <w:ind w:left="539"/>
        <w:jc w:val="both"/>
      </w:pPr>
      <w:r>
        <w:t>Annexe I : L</w:t>
      </w:r>
      <w:r w:rsidRPr="00A857F7">
        <w:t xml:space="preserve">iste des substances présentant des propriétés de perturbation endocrinienne </w:t>
      </w:r>
      <w:r>
        <w:t>mentionnées aux I et II de l’article l. 5232-5 du code de la sante publique</w:t>
      </w:r>
    </w:p>
    <w:p w14:paraId="225B512E" w14:textId="24460C4F" w:rsidR="0091346D" w:rsidRDefault="0091346D" w:rsidP="00F92FDA">
      <w:pPr>
        <w:ind w:left="539"/>
        <w:jc w:val="both"/>
      </w:pPr>
    </w:p>
    <w:p w14:paraId="2E52E7D3" w14:textId="52D8F88D" w:rsidR="0091346D" w:rsidRDefault="0091346D" w:rsidP="00F92FDA">
      <w:pPr>
        <w:ind w:left="539"/>
        <w:jc w:val="both"/>
      </w:pPr>
      <w:r>
        <w:t xml:space="preserve">TABLEAU A : Liste des substances </w:t>
      </w:r>
      <w:r w:rsidRPr="00A857F7">
        <w:t xml:space="preserve">présentant des propriétés de perturbation endocrinienne </w:t>
      </w:r>
      <w:r w:rsidRPr="007D3BAF">
        <w:rPr>
          <w:kern w:val="3"/>
        </w:rPr>
        <w:t>avérées et présumées</w:t>
      </w:r>
      <w:r>
        <w:rPr>
          <w:kern w:val="3"/>
        </w:rPr>
        <w:t>,</w:t>
      </w:r>
      <w:r w:rsidRPr="007D3BAF">
        <w:rPr>
          <w:kern w:val="3"/>
        </w:rPr>
        <w:t xml:space="preserve"> mentionnées au I de l’article L. 5232-5</w:t>
      </w:r>
      <w:r>
        <w:rPr>
          <w:kern w:val="3"/>
        </w:rPr>
        <w:t xml:space="preserve"> du code de la santé publique</w:t>
      </w:r>
    </w:p>
    <w:p w14:paraId="07AAC79F" w14:textId="3DB8C2F4" w:rsidR="0091346D" w:rsidRDefault="0091346D" w:rsidP="009934B3">
      <w:pPr>
        <w:ind w:left="539"/>
      </w:pPr>
    </w:p>
    <w:tbl>
      <w:tblPr>
        <w:tblStyle w:val="Grilledutableau"/>
        <w:tblW w:w="0" w:type="auto"/>
        <w:tblInd w:w="539" w:type="dxa"/>
        <w:tblLook w:val="04A0" w:firstRow="1" w:lastRow="0" w:firstColumn="1" w:lastColumn="0" w:noHBand="0" w:noVBand="1"/>
      </w:tblPr>
      <w:tblGrid>
        <w:gridCol w:w="3449"/>
        <w:gridCol w:w="2680"/>
        <w:gridCol w:w="2676"/>
      </w:tblGrid>
      <w:tr w:rsidR="00F92FDA" w:rsidRPr="00A95817" w14:paraId="4DF6403F" w14:textId="602410DF" w:rsidTr="00A95817">
        <w:tc>
          <w:tcPr>
            <w:tcW w:w="3449" w:type="dxa"/>
          </w:tcPr>
          <w:p w14:paraId="36C34FAB" w14:textId="20DA6C2C" w:rsidR="00F92FDA" w:rsidRPr="00A95817" w:rsidRDefault="00F92FDA" w:rsidP="00840BD7">
            <w:pPr>
              <w:jc w:val="center"/>
              <w:rPr>
                <w:b/>
                <w:sz w:val="20"/>
                <w:szCs w:val="20"/>
              </w:rPr>
            </w:pPr>
            <w:r w:rsidRPr="00A95817">
              <w:rPr>
                <w:b/>
                <w:sz w:val="20"/>
                <w:szCs w:val="20"/>
              </w:rPr>
              <w:t>Nom de la substance</w:t>
            </w:r>
          </w:p>
        </w:tc>
        <w:tc>
          <w:tcPr>
            <w:tcW w:w="2680" w:type="dxa"/>
          </w:tcPr>
          <w:p w14:paraId="133DF615" w14:textId="6C64F141" w:rsidR="00F92FDA" w:rsidRPr="00A95817" w:rsidRDefault="00F92FDA" w:rsidP="00840BD7">
            <w:pPr>
              <w:jc w:val="center"/>
              <w:rPr>
                <w:b/>
                <w:sz w:val="20"/>
                <w:szCs w:val="20"/>
              </w:rPr>
            </w:pPr>
            <w:r w:rsidRPr="00A95817">
              <w:rPr>
                <w:b/>
                <w:sz w:val="20"/>
                <w:szCs w:val="20"/>
              </w:rPr>
              <w:t>N</w:t>
            </w:r>
            <w:r w:rsidR="00E93CF9">
              <w:rPr>
                <w:b/>
                <w:sz w:val="20"/>
                <w:szCs w:val="20"/>
              </w:rPr>
              <w:t xml:space="preserve">uméro </w:t>
            </w:r>
            <w:r w:rsidRPr="00A95817">
              <w:rPr>
                <w:b/>
                <w:sz w:val="20"/>
                <w:szCs w:val="20"/>
              </w:rPr>
              <w:t>CAS</w:t>
            </w:r>
          </w:p>
        </w:tc>
        <w:tc>
          <w:tcPr>
            <w:tcW w:w="2676" w:type="dxa"/>
          </w:tcPr>
          <w:p w14:paraId="62A8287B" w14:textId="4A5E46C1" w:rsidR="00F92FDA" w:rsidRPr="00A95817" w:rsidRDefault="00E93CF9" w:rsidP="00840BD7">
            <w:pPr>
              <w:jc w:val="center"/>
              <w:rPr>
                <w:b/>
                <w:sz w:val="20"/>
                <w:szCs w:val="20"/>
              </w:rPr>
            </w:pPr>
            <w:r>
              <w:rPr>
                <w:b/>
                <w:sz w:val="20"/>
                <w:szCs w:val="20"/>
              </w:rPr>
              <w:t xml:space="preserve">Numéro </w:t>
            </w:r>
            <w:r w:rsidR="00F92FDA" w:rsidRPr="00A95817">
              <w:rPr>
                <w:b/>
                <w:sz w:val="20"/>
                <w:szCs w:val="20"/>
              </w:rPr>
              <w:t>CE</w:t>
            </w:r>
          </w:p>
        </w:tc>
      </w:tr>
      <w:tr w:rsidR="00E93CF9" w:rsidRPr="00A95817" w14:paraId="56F53086" w14:textId="77777777" w:rsidTr="00A95817">
        <w:tc>
          <w:tcPr>
            <w:tcW w:w="3449" w:type="dxa"/>
          </w:tcPr>
          <w:p w14:paraId="2C5938A8" w14:textId="047E872C" w:rsidR="00E93CF9" w:rsidRPr="00A95817" w:rsidRDefault="00E93CF9" w:rsidP="00E93CF9">
            <w:pPr>
              <w:rPr>
                <w:sz w:val="20"/>
                <w:szCs w:val="20"/>
              </w:rPr>
            </w:pPr>
            <w:r>
              <w:rPr>
                <w:sz w:val="20"/>
                <w:szCs w:val="20"/>
              </w:rPr>
              <w:t>4,4-(1-méthylpropylidène)bisphé</w:t>
            </w:r>
            <w:r w:rsidRPr="00C46588">
              <w:rPr>
                <w:sz w:val="20"/>
                <w:szCs w:val="20"/>
              </w:rPr>
              <w:t>nol</w:t>
            </w:r>
          </w:p>
        </w:tc>
        <w:tc>
          <w:tcPr>
            <w:tcW w:w="2680" w:type="dxa"/>
          </w:tcPr>
          <w:p w14:paraId="75DF6097" w14:textId="4C4B61B0" w:rsidR="00E93CF9" w:rsidRPr="00E93CF9" w:rsidRDefault="00E93CF9" w:rsidP="00E93CF9">
            <w:pPr>
              <w:jc w:val="center"/>
              <w:rPr>
                <w:color w:val="auto"/>
                <w:sz w:val="20"/>
                <w:szCs w:val="20"/>
              </w:rPr>
            </w:pPr>
            <w:r w:rsidRPr="00E93CF9">
              <w:rPr>
                <w:color w:val="auto"/>
                <w:sz w:val="20"/>
                <w:szCs w:val="20"/>
              </w:rPr>
              <w:t>77-40-7</w:t>
            </w:r>
          </w:p>
        </w:tc>
        <w:tc>
          <w:tcPr>
            <w:tcW w:w="2676" w:type="dxa"/>
          </w:tcPr>
          <w:p w14:paraId="15897FB6" w14:textId="02EF7847" w:rsidR="00E93CF9" w:rsidRPr="00E93CF9" w:rsidRDefault="00E93CF9" w:rsidP="00E93CF9">
            <w:pPr>
              <w:jc w:val="center"/>
              <w:rPr>
                <w:color w:val="auto"/>
                <w:sz w:val="20"/>
                <w:szCs w:val="20"/>
              </w:rPr>
            </w:pPr>
            <w:r w:rsidRPr="00E93CF9">
              <w:rPr>
                <w:color w:val="auto"/>
                <w:sz w:val="20"/>
                <w:szCs w:val="20"/>
              </w:rPr>
              <w:t>201-025-1</w:t>
            </w:r>
          </w:p>
        </w:tc>
      </w:tr>
      <w:tr w:rsidR="00E93CF9" w:rsidRPr="00A95817" w14:paraId="7FE6D8F2" w14:textId="6825DEFB" w:rsidTr="00A95817">
        <w:tc>
          <w:tcPr>
            <w:tcW w:w="3449" w:type="dxa"/>
          </w:tcPr>
          <w:p w14:paraId="680D6D7E" w14:textId="77777777" w:rsidR="00E93CF9" w:rsidRPr="00A95817" w:rsidRDefault="00E93CF9" w:rsidP="00E93CF9">
            <w:pPr>
              <w:rPr>
                <w:sz w:val="20"/>
                <w:szCs w:val="20"/>
              </w:rPr>
            </w:pPr>
            <w:r w:rsidRPr="00A95817">
              <w:rPr>
                <w:sz w:val="20"/>
                <w:szCs w:val="20"/>
              </w:rPr>
              <w:t>Phosphite de tris(4-nonylphényle, ramifié et linéaire) (TNPP) avec au moins 0.1% m/m de 4-nonylphénol, ramifié et linéaire (4-NP)</w:t>
            </w:r>
          </w:p>
          <w:p w14:paraId="662E5CB4" w14:textId="77777777" w:rsidR="00E93CF9" w:rsidRPr="00A95817" w:rsidRDefault="00E93CF9" w:rsidP="00E93CF9">
            <w:pPr>
              <w:pStyle w:val="Paragraphedeliste"/>
              <w:numPr>
                <w:ilvl w:val="0"/>
                <w:numId w:val="3"/>
              </w:numPr>
              <w:rPr>
                <w:sz w:val="20"/>
                <w:szCs w:val="20"/>
              </w:rPr>
            </w:pPr>
            <w:r w:rsidRPr="00A95817">
              <w:rPr>
                <w:sz w:val="20"/>
                <w:szCs w:val="20"/>
              </w:rPr>
              <w:t>Phosphite de tris(4-nonylphényle, ramifié)</w:t>
            </w:r>
          </w:p>
          <w:p w14:paraId="6F2A5ECF" w14:textId="77777777" w:rsidR="00E93CF9" w:rsidRPr="00A95817" w:rsidRDefault="00E93CF9" w:rsidP="00E93CF9">
            <w:pPr>
              <w:pStyle w:val="Paragraphedeliste"/>
              <w:numPr>
                <w:ilvl w:val="0"/>
                <w:numId w:val="3"/>
              </w:numPr>
              <w:rPr>
                <w:sz w:val="20"/>
                <w:szCs w:val="20"/>
              </w:rPr>
            </w:pPr>
            <w:r w:rsidRPr="00A95817">
              <w:rPr>
                <w:sz w:val="20"/>
                <w:szCs w:val="20"/>
              </w:rPr>
              <w:t>Phénol, 4-nonyl-, phosphite (3:1)</w:t>
            </w:r>
          </w:p>
          <w:p w14:paraId="7B0BA21A" w14:textId="3AAF38FF" w:rsidR="00E93CF9" w:rsidRPr="00A95817" w:rsidRDefault="00E93CF9" w:rsidP="00E93CF9">
            <w:pPr>
              <w:pStyle w:val="Paragraphedeliste"/>
              <w:numPr>
                <w:ilvl w:val="0"/>
                <w:numId w:val="3"/>
              </w:numPr>
              <w:rPr>
                <w:sz w:val="20"/>
                <w:szCs w:val="20"/>
              </w:rPr>
            </w:pPr>
            <w:r w:rsidRPr="00A95817">
              <w:rPr>
                <w:sz w:val="20"/>
                <w:szCs w:val="20"/>
              </w:rPr>
              <w:t>Phosphite de tris(nonylphényle)</w:t>
            </w:r>
          </w:p>
        </w:tc>
        <w:tc>
          <w:tcPr>
            <w:tcW w:w="2680" w:type="dxa"/>
          </w:tcPr>
          <w:p w14:paraId="162D69BA" w14:textId="77777777" w:rsidR="00E93CF9" w:rsidRPr="00A95817" w:rsidRDefault="00E93CF9" w:rsidP="00E93CF9">
            <w:pPr>
              <w:jc w:val="center"/>
              <w:rPr>
                <w:sz w:val="20"/>
                <w:szCs w:val="20"/>
              </w:rPr>
            </w:pPr>
          </w:p>
          <w:p w14:paraId="673DD03F" w14:textId="77777777" w:rsidR="00E93CF9" w:rsidRPr="00A95817" w:rsidRDefault="00E93CF9" w:rsidP="00E93CF9">
            <w:pPr>
              <w:jc w:val="center"/>
              <w:rPr>
                <w:sz w:val="20"/>
                <w:szCs w:val="20"/>
              </w:rPr>
            </w:pPr>
          </w:p>
          <w:p w14:paraId="496AEC42" w14:textId="77777777" w:rsidR="00E93CF9" w:rsidRPr="00A95817" w:rsidRDefault="00E93CF9" w:rsidP="00E93CF9">
            <w:pPr>
              <w:jc w:val="center"/>
              <w:rPr>
                <w:sz w:val="20"/>
                <w:szCs w:val="20"/>
              </w:rPr>
            </w:pPr>
          </w:p>
          <w:p w14:paraId="1689416E" w14:textId="77777777" w:rsidR="00E93CF9" w:rsidRPr="00A95817" w:rsidRDefault="00E93CF9" w:rsidP="00E93CF9">
            <w:pPr>
              <w:jc w:val="center"/>
              <w:rPr>
                <w:sz w:val="20"/>
                <w:szCs w:val="20"/>
              </w:rPr>
            </w:pPr>
          </w:p>
          <w:p w14:paraId="504A4CA9" w14:textId="77777777" w:rsidR="00E93CF9" w:rsidRPr="00A95817" w:rsidRDefault="00E93CF9" w:rsidP="00E93CF9">
            <w:pPr>
              <w:jc w:val="center"/>
              <w:rPr>
                <w:sz w:val="20"/>
                <w:szCs w:val="20"/>
              </w:rPr>
            </w:pPr>
          </w:p>
          <w:p w14:paraId="25F684FB" w14:textId="2A9FD20F" w:rsidR="00E93CF9" w:rsidRPr="00A95817" w:rsidRDefault="00E93CF9" w:rsidP="00E93CF9">
            <w:pPr>
              <w:jc w:val="center"/>
              <w:rPr>
                <w:sz w:val="20"/>
                <w:szCs w:val="20"/>
              </w:rPr>
            </w:pPr>
            <w:r w:rsidRPr="00A95817">
              <w:rPr>
                <w:sz w:val="20"/>
                <w:szCs w:val="20"/>
              </w:rPr>
              <w:t>-</w:t>
            </w:r>
          </w:p>
          <w:p w14:paraId="6C8F3D54" w14:textId="77777777" w:rsidR="00E93CF9" w:rsidRPr="00A95817" w:rsidRDefault="00E93CF9" w:rsidP="00E93CF9">
            <w:pPr>
              <w:jc w:val="center"/>
              <w:rPr>
                <w:sz w:val="20"/>
                <w:szCs w:val="20"/>
              </w:rPr>
            </w:pPr>
          </w:p>
          <w:p w14:paraId="7D586553" w14:textId="4EBD0BB2" w:rsidR="00E93CF9" w:rsidRPr="00A95817" w:rsidRDefault="00E93CF9" w:rsidP="00E93CF9">
            <w:pPr>
              <w:jc w:val="center"/>
              <w:rPr>
                <w:sz w:val="20"/>
                <w:szCs w:val="20"/>
              </w:rPr>
            </w:pPr>
            <w:r w:rsidRPr="00A95817">
              <w:rPr>
                <w:sz w:val="20"/>
                <w:szCs w:val="20"/>
              </w:rPr>
              <w:t>3050-88-2</w:t>
            </w:r>
          </w:p>
          <w:p w14:paraId="7C685F9A" w14:textId="77777777" w:rsidR="00E93CF9" w:rsidRPr="00A95817" w:rsidRDefault="00E93CF9" w:rsidP="00E93CF9">
            <w:pPr>
              <w:jc w:val="center"/>
              <w:rPr>
                <w:sz w:val="20"/>
                <w:szCs w:val="20"/>
              </w:rPr>
            </w:pPr>
          </w:p>
          <w:p w14:paraId="2E8935C4" w14:textId="433420AE" w:rsidR="00E93CF9" w:rsidRPr="00A95817" w:rsidRDefault="00E93CF9" w:rsidP="00E93CF9">
            <w:pPr>
              <w:jc w:val="center"/>
              <w:rPr>
                <w:sz w:val="20"/>
                <w:szCs w:val="20"/>
              </w:rPr>
            </w:pPr>
            <w:r w:rsidRPr="00A95817">
              <w:rPr>
                <w:sz w:val="20"/>
                <w:szCs w:val="20"/>
              </w:rPr>
              <w:t>26523-78-4</w:t>
            </w:r>
          </w:p>
        </w:tc>
        <w:tc>
          <w:tcPr>
            <w:tcW w:w="2676" w:type="dxa"/>
          </w:tcPr>
          <w:p w14:paraId="5FD3F30C" w14:textId="77777777" w:rsidR="00E93CF9" w:rsidRPr="00A95817" w:rsidRDefault="00E93CF9" w:rsidP="00E93CF9">
            <w:pPr>
              <w:jc w:val="center"/>
              <w:rPr>
                <w:color w:val="384A53"/>
                <w:sz w:val="20"/>
                <w:szCs w:val="20"/>
              </w:rPr>
            </w:pPr>
          </w:p>
          <w:p w14:paraId="611FFC55" w14:textId="77777777" w:rsidR="00E93CF9" w:rsidRPr="00A95817" w:rsidRDefault="00E93CF9" w:rsidP="00E93CF9">
            <w:pPr>
              <w:jc w:val="center"/>
              <w:rPr>
                <w:color w:val="384A53"/>
                <w:sz w:val="20"/>
                <w:szCs w:val="20"/>
              </w:rPr>
            </w:pPr>
          </w:p>
          <w:p w14:paraId="23203514" w14:textId="77777777" w:rsidR="00E93CF9" w:rsidRPr="00A95817" w:rsidRDefault="00E93CF9" w:rsidP="00E93CF9">
            <w:pPr>
              <w:jc w:val="center"/>
              <w:rPr>
                <w:color w:val="384A53"/>
                <w:sz w:val="20"/>
                <w:szCs w:val="20"/>
              </w:rPr>
            </w:pPr>
          </w:p>
          <w:p w14:paraId="3DB3B8FA" w14:textId="77777777" w:rsidR="00E93CF9" w:rsidRPr="00A95817" w:rsidRDefault="00E93CF9" w:rsidP="00E93CF9">
            <w:pPr>
              <w:jc w:val="center"/>
              <w:rPr>
                <w:sz w:val="20"/>
                <w:szCs w:val="20"/>
              </w:rPr>
            </w:pPr>
          </w:p>
          <w:p w14:paraId="5A526ED2" w14:textId="77777777" w:rsidR="00E93CF9" w:rsidRPr="00A95817" w:rsidRDefault="00E93CF9" w:rsidP="00E93CF9">
            <w:pPr>
              <w:jc w:val="center"/>
              <w:rPr>
                <w:sz w:val="20"/>
                <w:szCs w:val="20"/>
              </w:rPr>
            </w:pPr>
          </w:p>
          <w:p w14:paraId="25A0FED5" w14:textId="5271686F" w:rsidR="00E93CF9" w:rsidRPr="00A95817" w:rsidRDefault="00E93CF9" w:rsidP="00E93CF9">
            <w:pPr>
              <w:jc w:val="center"/>
              <w:rPr>
                <w:sz w:val="20"/>
                <w:szCs w:val="20"/>
              </w:rPr>
            </w:pPr>
            <w:r w:rsidRPr="00A95817">
              <w:rPr>
                <w:sz w:val="20"/>
                <w:szCs w:val="20"/>
              </w:rPr>
              <w:t>701-028-2</w:t>
            </w:r>
          </w:p>
          <w:p w14:paraId="63C05D56" w14:textId="77777777" w:rsidR="00E93CF9" w:rsidRPr="00A95817" w:rsidRDefault="00E93CF9" w:rsidP="00E93CF9">
            <w:pPr>
              <w:jc w:val="center"/>
              <w:rPr>
                <w:sz w:val="20"/>
                <w:szCs w:val="20"/>
              </w:rPr>
            </w:pPr>
          </w:p>
          <w:p w14:paraId="2C5CFE8E" w14:textId="65C9A579" w:rsidR="00E93CF9" w:rsidRPr="00A95817" w:rsidRDefault="00E93CF9" w:rsidP="00E93CF9">
            <w:pPr>
              <w:jc w:val="center"/>
              <w:rPr>
                <w:sz w:val="20"/>
                <w:szCs w:val="20"/>
              </w:rPr>
            </w:pPr>
            <w:r w:rsidRPr="00A95817">
              <w:rPr>
                <w:sz w:val="20"/>
                <w:szCs w:val="20"/>
              </w:rPr>
              <w:t>608-492-4</w:t>
            </w:r>
          </w:p>
          <w:p w14:paraId="03DE0F1E" w14:textId="77777777" w:rsidR="00E93CF9" w:rsidRPr="00A95817" w:rsidRDefault="00E93CF9" w:rsidP="00E93CF9">
            <w:pPr>
              <w:jc w:val="center"/>
              <w:rPr>
                <w:sz w:val="20"/>
                <w:szCs w:val="20"/>
              </w:rPr>
            </w:pPr>
          </w:p>
          <w:p w14:paraId="0FE83D65" w14:textId="069E6AE0" w:rsidR="00E93CF9" w:rsidRPr="00A95817" w:rsidRDefault="00E93CF9" w:rsidP="00E93CF9">
            <w:pPr>
              <w:jc w:val="center"/>
              <w:rPr>
                <w:sz w:val="20"/>
                <w:szCs w:val="20"/>
              </w:rPr>
            </w:pPr>
            <w:r w:rsidRPr="00A95817">
              <w:rPr>
                <w:sz w:val="20"/>
                <w:szCs w:val="20"/>
              </w:rPr>
              <w:t>247-759-6</w:t>
            </w:r>
          </w:p>
        </w:tc>
      </w:tr>
      <w:tr w:rsidR="00E93CF9" w:rsidRPr="00A95817" w14:paraId="0897E629" w14:textId="5B8808FB" w:rsidTr="00EB2FDE">
        <w:tc>
          <w:tcPr>
            <w:tcW w:w="3449" w:type="dxa"/>
          </w:tcPr>
          <w:p w14:paraId="2952BEDB" w14:textId="77777777" w:rsidR="00E93CF9" w:rsidRPr="006D6666" w:rsidRDefault="00E93CF9" w:rsidP="00E93CF9">
            <w:pPr>
              <w:rPr>
                <w:sz w:val="20"/>
                <w:szCs w:val="20"/>
              </w:rPr>
            </w:pPr>
            <w:r w:rsidRPr="006D6666">
              <w:rPr>
                <w:sz w:val="20"/>
                <w:szCs w:val="20"/>
              </w:rPr>
              <w:t xml:space="preserve">Produits de réaction de 1,3,4-thiadiazolidine-2,5-dithione, formaldéhyde et 4-heptylphénol, branché et linéaire (RP-HP) </w:t>
            </w:r>
          </w:p>
          <w:p w14:paraId="561DC03D" w14:textId="66709812" w:rsidR="00E93CF9" w:rsidRPr="006D6666" w:rsidRDefault="00E93CF9" w:rsidP="00E93CF9">
            <w:pPr>
              <w:rPr>
                <w:sz w:val="20"/>
                <w:szCs w:val="20"/>
              </w:rPr>
            </w:pPr>
            <w:r w:rsidRPr="006D6666">
              <w:rPr>
                <w:sz w:val="20"/>
                <w:szCs w:val="20"/>
              </w:rPr>
              <w:t>[avec ≥ 0.1% p/p 4-heptylphénol, branché et linéaire]</w:t>
            </w:r>
          </w:p>
        </w:tc>
        <w:tc>
          <w:tcPr>
            <w:tcW w:w="2680" w:type="dxa"/>
            <w:vAlign w:val="center"/>
          </w:tcPr>
          <w:p w14:paraId="1D2CFB63" w14:textId="3B133BDB" w:rsidR="00E93CF9" w:rsidRPr="006D6666" w:rsidRDefault="00E93CF9" w:rsidP="00E93CF9">
            <w:pPr>
              <w:pStyle w:val="Paragraphedeliste"/>
              <w:ind w:hanging="845"/>
              <w:jc w:val="center"/>
              <w:rPr>
                <w:sz w:val="20"/>
                <w:szCs w:val="20"/>
              </w:rPr>
            </w:pPr>
            <w:r w:rsidRPr="006D6666">
              <w:rPr>
                <w:sz w:val="20"/>
                <w:szCs w:val="20"/>
              </w:rPr>
              <w:t>-</w:t>
            </w:r>
          </w:p>
        </w:tc>
        <w:tc>
          <w:tcPr>
            <w:tcW w:w="2676" w:type="dxa"/>
            <w:vAlign w:val="center"/>
          </w:tcPr>
          <w:p w14:paraId="0CCD755B" w14:textId="5C672518" w:rsidR="00E93CF9" w:rsidRPr="006D6666" w:rsidRDefault="00E93CF9" w:rsidP="00E93CF9">
            <w:pPr>
              <w:pStyle w:val="Paragraphedeliste"/>
              <w:ind w:hanging="720"/>
              <w:jc w:val="center"/>
              <w:rPr>
                <w:sz w:val="20"/>
                <w:szCs w:val="20"/>
              </w:rPr>
            </w:pPr>
            <w:r w:rsidRPr="006D6666">
              <w:rPr>
                <w:sz w:val="20"/>
                <w:szCs w:val="20"/>
              </w:rPr>
              <w:t>-</w:t>
            </w:r>
          </w:p>
        </w:tc>
      </w:tr>
      <w:tr w:rsidR="00E93CF9" w:rsidRPr="00A95817" w14:paraId="02A73360" w14:textId="411BD450" w:rsidTr="00A95817">
        <w:tc>
          <w:tcPr>
            <w:tcW w:w="3449" w:type="dxa"/>
          </w:tcPr>
          <w:p w14:paraId="4665671F" w14:textId="15FFA47B" w:rsidR="00E93CF9" w:rsidRPr="006D6666" w:rsidRDefault="00E93CF9" w:rsidP="00E93CF9">
            <w:pPr>
              <w:rPr>
                <w:sz w:val="20"/>
                <w:szCs w:val="20"/>
              </w:rPr>
            </w:pPr>
            <w:r w:rsidRPr="006D6666">
              <w:rPr>
                <w:sz w:val="20"/>
                <w:szCs w:val="20"/>
                <w:lang w:val="en-US"/>
              </w:rPr>
              <w:t>4-tert-pentylphenol (PTAP)</w:t>
            </w:r>
          </w:p>
        </w:tc>
        <w:tc>
          <w:tcPr>
            <w:tcW w:w="2680" w:type="dxa"/>
            <w:vAlign w:val="center"/>
          </w:tcPr>
          <w:p w14:paraId="71224A09" w14:textId="7C06FC95" w:rsidR="00E93CF9" w:rsidRPr="006D6666" w:rsidRDefault="00E93CF9" w:rsidP="00E93CF9">
            <w:pPr>
              <w:jc w:val="center"/>
              <w:rPr>
                <w:sz w:val="20"/>
                <w:szCs w:val="20"/>
              </w:rPr>
            </w:pPr>
            <w:r w:rsidRPr="006D6666">
              <w:rPr>
                <w:sz w:val="20"/>
                <w:szCs w:val="20"/>
              </w:rPr>
              <w:t>80-46-6</w:t>
            </w:r>
          </w:p>
        </w:tc>
        <w:tc>
          <w:tcPr>
            <w:tcW w:w="2676" w:type="dxa"/>
            <w:vAlign w:val="center"/>
          </w:tcPr>
          <w:p w14:paraId="63ACDA00" w14:textId="3314CB6D" w:rsidR="00E93CF9" w:rsidRPr="006D6666" w:rsidRDefault="00E93CF9" w:rsidP="00E93CF9">
            <w:pPr>
              <w:jc w:val="center"/>
              <w:rPr>
                <w:sz w:val="20"/>
                <w:szCs w:val="20"/>
              </w:rPr>
            </w:pPr>
            <w:r w:rsidRPr="006D6666">
              <w:rPr>
                <w:sz w:val="20"/>
                <w:szCs w:val="20"/>
              </w:rPr>
              <w:t>201-280-9</w:t>
            </w:r>
          </w:p>
        </w:tc>
      </w:tr>
      <w:tr w:rsidR="00E93CF9" w:rsidRPr="00A95817" w14:paraId="07FA3306" w14:textId="79342323" w:rsidTr="00A95817">
        <w:tc>
          <w:tcPr>
            <w:tcW w:w="3449" w:type="dxa"/>
            <w:vAlign w:val="center"/>
          </w:tcPr>
          <w:p w14:paraId="636A957B" w14:textId="0F92096D" w:rsidR="00E93CF9" w:rsidRPr="006D6666" w:rsidRDefault="00E93CF9" w:rsidP="00E93CF9">
            <w:pPr>
              <w:rPr>
                <w:sz w:val="20"/>
                <w:szCs w:val="20"/>
              </w:rPr>
            </w:pPr>
            <w:r w:rsidRPr="006D6666">
              <w:rPr>
                <w:sz w:val="20"/>
                <w:szCs w:val="20"/>
              </w:rPr>
              <w:t>Phtalate de diisobutyle (DIBP)</w:t>
            </w:r>
          </w:p>
        </w:tc>
        <w:tc>
          <w:tcPr>
            <w:tcW w:w="2680" w:type="dxa"/>
            <w:vAlign w:val="center"/>
          </w:tcPr>
          <w:p w14:paraId="668D3727" w14:textId="3FCCF2A2" w:rsidR="00E93CF9" w:rsidRPr="006D6666" w:rsidRDefault="00E93CF9" w:rsidP="00E93CF9">
            <w:pPr>
              <w:jc w:val="center"/>
              <w:rPr>
                <w:sz w:val="20"/>
                <w:szCs w:val="20"/>
              </w:rPr>
            </w:pPr>
            <w:r w:rsidRPr="006D6666">
              <w:rPr>
                <w:sz w:val="20"/>
                <w:szCs w:val="20"/>
              </w:rPr>
              <w:t>84-69-5</w:t>
            </w:r>
          </w:p>
        </w:tc>
        <w:tc>
          <w:tcPr>
            <w:tcW w:w="2676" w:type="dxa"/>
            <w:vAlign w:val="center"/>
          </w:tcPr>
          <w:p w14:paraId="6035008E" w14:textId="5AA54357" w:rsidR="00E93CF9" w:rsidRPr="006D6666" w:rsidRDefault="00E93CF9" w:rsidP="00E93CF9">
            <w:pPr>
              <w:jc w:val="center"/>
              <w:rPr>
                <w:sz w:val="20"/>
                <w:szCs w:val="20"/>
              </w:rPr>
            </w:pPr>
            <w:r w:rsidRPr="006D6666">
              <w:rPr>
                <w:sz w:val="20"/>
                <w:szCs w:val="20"/>
              </w:rPr>
              <w:t>201-553-2</w:t>
            </w:r>
          </w:p>
        </w:tc>
      </w:tr>
      <w:tr w:rsidR="00E93CF9" w:rsidRPr="00A95817" w14:paraId="425C7666" w14:textId="6C6337C0" w:rsidTr="00A95817">
        <w:tc>
          <w:tcPr>
            <w:tcW w:w="3449" w:type="dxa"/>
            <w:vAlign w:val="center"/>
          </w:tcPr>
          <w:p w14:paraId="2484315E" w14:textId="39C8F1D1" w:rsidR="00E93CF9" w:rsidRPr="006D6666" w:rsidRDefault="00E93CF9" w:rsidP="00E93CF9">
            <w:pPr>
              <w:rPr>
                <w:sz w:val="20"/>
                <w:szCs w:val="20"/>
              </w:rPr>
            </w:pPr>
            <w:r w:rsidRPr="006D6666">
              <w:rPr>
                <w:sz w:val="20"/>
                <w:szCs w:val="20"/>
              </w:rPr>
              <w:t>Phtalate de dicyclohexyle (DCHP)</w:t>
            </w:r>
          </w:p>
        </w:tc>
        <w:tc>
          <w:tcPr>
            <w:tcW w:w="2680" w:type="dxa"/>
            <w:vAlign w:val="center"/>
          </w:tcPr>
          <w:p w14:paraId="0BACDEA1" w14:textId="3485091E" w:rsidR="00E93CF9" w:rsidRPr="006D6666" w:rsidRDefault="00E93CF9" w:rsidP="00E93CF9">
            <w:pPr>
              <w:jc w:val="center"/>
              <w:rPr>
                <w:sz w:val="20"/>
                <w:szCs w:val="20"/>
              </w:rPr>
            </w:pPr>
            <w:r w:rsidRPr="006D6666">
              <w:rPr>
                <w:sz w:val="20"/>
                <w:szCs w:val="20"/>
              </w:rPr>
              <w:t>84-61-7</w:t>
            </w:r>
          </w:p>
        </w:tc>
        <w:tc>
          <w:tcPr>
            <w:tcW w:w="2676" w:type="dxa"/>
            <w:vAlign w:val="center"/>
          </w:tcPr>
          <w:p w14:paraId="355EBDBB" w14:textId="6EBB9CB0" w:rsidR="00E93CF9" w:rsidRPr="006D6666" w:rsidRDefault="00E93CF9" w:rsidP="00E93CF9">
            <w:pPr>
              <w:jc w:val="center"/>
              <w:rPr>
                <w:sz w:val="20"/>
                <w:szCs w:val="20"/>
              </w:rPr>
            </w:pPr>
            <w:r w:rsidRPr="006D6666">
              <w:rPr>
                <w:sz w:val="20"/>
                <w:szCs w:val="20"/>
              </w:rPr>
              <w:t>201-545-9</w:t>
            </w:r>
          </w:p>
        </w:tc>
      </w:tr>
      <w:tr w:rsidR="00E93CF9" w:rsidRPr="00A95817" w14:paraId="1EEDD8D3" w14:textId="0EA187E0" w:rsidTr="00A95817">
        <w:tc>
          <w:tcPr>
            <w:tcW w:w="3449" w:type="dxa"/>
            <w:vAlign w:val="center"/>
          </w:tcPr>
          <w:p w14:paraId="7036FC18" w14:textId="436DC02A" w:rsidR="00E93CF9" w:rsidRPr="006D6666" w:rsidRDefault="00E93CF9" w:rsidP="00E93CF9">
            <w:pPr>
              <w:rPr>
                <w:sz w:val="20"/>
                <w:szCs w:val="20"/>
              </w:rPr>
            </w:pPr>
            <w:r w:rsidRPr="006D6666">
              <w:rPr>
                <w:sz w:val="20"/>
                <w:szCs w:val="20"/>
              </w:rPr>
              <w:t>Phtalate de dibutyle (DBP)</w:t>
            </w:r>
          </w:p>
        </w:tc>
        <w:tc>
          <w:tcPr>
            <w:tcW w:w="2680" w:type="dxa"/>
            <w:vAlign w:val="center"/>
          </w:tcPr>
          <w:p w14:paraId="5A8AB5A7" w14:textId="2E76EF25" w:rsidR="00E93CF9" w:rsidRPr="006D6666" w:rsidRDefault="00E93CF9" w:rsidP="00E93CF9">
            <w:pPr>
              <w:jc w:val="center"/>
              <w:rPr>
                <w:sz w:val="20"/>
                <w:szCs w:val="20"/>
              </w:rPr>
            </w:pPr>
            <w:r w:rsidRPr="006D6666">
              <w:rPr>
                <w:sz w:val="20"/>
                <w:szCs w:val="20"/>
              </w:rPr>
              <w:t>84-74-2</w:t>
            </w:r>
          </w:p>
        </w:tc>
        <w:tc>
          <w:tcPr>
            <w:tcW w:w="2676" w:type="dxa"/>
            <w:vAlign w:val="center"/>
          </w:tcPr>
          <w:p w14:paraId="65E66727" w14:textId="23C124CD" w:rsidR="00E93CF9" w:rsidRPr="006D6666" w:rsidRDefault="00E93CF9" w:rsidP="00E93CF9">
            <w:pPr>
              <w:jc w:val="center"/>
              <w:rPr>
                <w:sz w:val="20"/>
                <w:szCs w:val="20"/>
              </w:rPr>
            </w:pPr>
            <w:r w:rsidRPr="006D6666">
              <w:rPr>
                <w:sz w:val="20"/>
                <w:szCs w:val="20"/>
              </w:rPr>
              <w:t>201-557-4</w:t>
            </w:r>
          </w:p>
        </w:tc>
      </w:tr>
      <w:tr w:rsidR="00E93CF9" w:rsidRPr="00A95817" w14:paraId="529DDB67" w14:textId="531027A5" w:rsidTr="00A95817">
        <w:tc>
          <w:tcPr>
            <w:tcW w:w="3449" w:type="dxa"/>
            <w:vAlign w:val="center"/>
          </w:tcPr>
          <w:p w14:paraId="25A3DAD7" w14:textId="6E54A57D" w:rsidR="00E93CF9" w:rsidRPr="006D6666" w:rsidRDefault="00E93CF9" w:rsidP="00E93CF9">
            <w:pPr>
              <w:rPr>
                <w:sz w:val="20"/>
                <w:szCs w:val="20"/>
              </w:rPr>
            </w:pPr>
            <w:bookmarkStart w:id="2" w:name="_GoBack" w:colFirst="0" w:colLast="3"/>
            <w:r w:rsidRPr="006D6666">
              <w:rPr>
                <w:sz w:val="20"/>
                <w:szCs w:val="20"/>
              </w:rPr>
              <w:t xml:space="preserve">Cholécalciférol </w:t>
            </w:r>
          </w:p>
        </w:tc>
        <w:tc>
          <w:tcPr>
            <w:tcW w:w="2680" w:type="dxa"/>
            <w:vAlign w:val="center"/>
          </w:tcPr>
          <w:p w14:paraId="22976ACA" w14:textId="43AD9574" w:rsidR="00E93CF9" w:rsidRPr="006D6666" w:rsidRDefault="00E93CF9" w:rsidP="00E93CF9">
            <w:pPr>
              <w:jc w:val="center"/>
              <w:rPr>
                <w:sz w:val="20"/>
                <w:szCs w:val="20"/>
              </w:rPr>
            </w:pPr>
            <w:r w:rsidRPr="006D6666">
              <w:rPr>
                <w:sz w:val="20"/>
                <w:szCs w:val="20"/>
              </w:rPr>
              <w:t>67-97-0</w:t>
            </w:r>
          </w:p>
        </w:tc>
        <w:tc>
          <w:tcPr>
            <w:tcW w:w="2676" w:type="dxa"/>
            <w:vAlign w:val="center"/>
          </w:tcPr>
          <w:p w14:paraId="2DCDD509" w14:textId="754B59D4" w:rsidR="00E93CF9" w:rsidRPr="006D6666" w:rsidRDefault="00E93CF9" w:rsidP="00E93CF9">
            <w:pPr>
              <w:jc w:val="center"/>
              <w:rPr>
                <w:sz w:val="20"/>
                <w:szCs w:val="20"/>
              </w:rPr>
            </w:pPr>
            <w:r w:rsidRPr="006D6666">
              <w:rPr>
                <w:sz w:val="20"/>
                <w:szCs w:val="20"/>
              </w:rPr>
              <w:t>200-673-2</w:t>
            </w:r>
          </w:p>
        </w:tc>
      </w:tr>
      <w:bookmarkEnd w:id="2"/>
      <w:tr w:rsidR="00E93CF9" w:rsidRPr="00A95817" w14:paraId="5B54DEFF" w14:textId="77777777" w:rsidTr="00A95817">
        <w:tc>
          <w:tcPr>
            <w:tcW w:w="3449" w:type="dxa"/>
            <w:vAlign w:val="center"/>
          </w:tcPr>
          <w:p w14:paraId="159E6E20" w14:textId="462AB5BD" w:rsidR="00E93CF9" w:rsidRPr="006D6666" w:rsidRDefault="00E93CF9" w:rsidP="00E93CF9">
            <w:pPr>
              <w:rPr>
                <w:sz w:val="20"/>
                <w:szCs w:val="20"/>
              </w:rPr>
            </w:pPr>
            <w:r w:rsidRPr="006D6666">
              <w:rPr>
                <w:sz w:val="20"/>
                <w:szCs w:val="20"/>
              </w:rPr>
              <w:t>Butyl 4-hydroxybenzoate</w:t>
            </w:r>
          </w:p>
        </w:tc>
        <w:tc>
          <w:tcPr>
            <w:tcW w:w="2680" w:type="dxa"/>
            <w:vAlign w:val="center"/>
          </w:tcPr>
          <w:p w14:paraId="79F3709A" w14:textId="66C22049" w:rsidR="00E93CF9" w:rsidRPr="006D6666" w:rsidRDefault="00E93CF9" w:rsidP="00E93CF9">
            <w:pPr>
              <w:jc w:val="center"/>
              <w:rPr>
                <w:sz w:val="20"/>
                <w:szCs w:val="20"/>
              </w:rPr>
            </w:pPr>
            <w:r w:rsidRPr="006D6666">
              <w:rPr>
                <w:sz w:val="20"/>
                <w:szCs w:val="20"/>
              </w:rPr>
              <w:t>94-26-8</w:t>
            </w:r>
          </w:p>
        </w:tc>
        <w:tc>
          <w:tcPr>
            <w:tcW w:w="2676" w:type="dxa"/>
            <w:vAlign w:val="center"/>
          </w:tcPr>
          <w:p w14:paraId="0B33BFE1" w14:textId="0243ABFA" w:rsidR="00E93CF9" w:rsidRPr="006D6666" w:rsidRDefault="00E93CF9" w:rsidP="00E93CF9">
            <w:pPr>
              <w:jc w:val="center"/>
              <w:rPr>
                <w:sz w:val="20"/>
                <w:szCs w:val="20"/>
              </w:rPr>
            </w:pPr>
            <w:r w:rsidRPr="006D6666">
              <w:rPr>
                <w:sz w:val="20"/>
                <w:szCs w:val="20"/>
              </w:rPr>
              <w:t>202-318-7</w:t>
            </w:r>
          </w:p>
        </w:tc>
      </w:tr>
      <w:tr w:rsidR="00E93CF9" w:rsidRPr="00A95817" w14:paraId="13C0F189" w14:textId="77777777" w:rsidTr="00A95817">
        <w:tc>
          <w:tcPr>
            <w:tcW w:w="3449" w:type="dxa"/>
            <w:vAlign w:val="center"/>
          </w:tcPr>
          <w:p w14:paraId="0C63F40B" w14:textId="3A5C7A89" w:rsidR="00E93CF9" w:rsidRPr="006D6666" w:rsidRDefault="00E93CF9" w:rsidP="00E93CF9">
            <w:pPr>
              <w:rPr>
                <w:sz w:val="20"/>
                <w:szCs w:val="20"/>
              </w:rPr>
            </w:pPr>
            <w:r w:rsidRPr="006D6666">
              <w:rPr>
                <w:sz w:val="20"/>
                <w:szCs w:val="20"/>
                <w:lang w:val="en-US"/>
              </w:rPr>
              <w:t>4,4'-isopropylidenediphenol (bisphénol A)</w:t>
            </w:r>
          </w:p>
        </w:tc>
        <w:tc>
          <w:tcPr>
            <w:tcW w:w="2680" w:type="dxa"/>
            <w:vAlign w:val="center"/>
          </w:tcPr>
          <w:p w14:paraId="7195F839" w14:textId="405D7D8A" w:rsidR="00E93CF9" w:rsidRPr="006D6666" w:rsidRDefault="00E93CF9" w:rsidP="00E93CF9">
            <w:pPr>
              <w:jc w:val="center"/>
              <w:rPr>
                <w:sz w:val="20"/>
                <w:szCs w:val="20"/>
              </w:rPr>
            </w:pPr>
            <w:r w:rsidRPr="006D6666">
              <w:rPr>
                <w:sz w:val="20"/>
                <w:szCs w:val="20"/>
              </w:rPr>
              <w:t>80-05-7</w:t>
            </w:r>
          </w:p>
        </w:tc>
        <w:tc>
          <w:tcPr>
            <w:tcW w:w="2676" w:type="dxa"/>
            <w:vAlign w:val="center"/>
          </w:tcPr>
          <w:p w14:paraId="2160A5AF" w14:textId="5DA5FBFC" w:rsidR="00E93CF9" w:rsidRPr="006D6666" w:rsidRDefault="00E93CF9" w:rsidP="00E93CF9">
            <w:pPr>
              <w:jc w:val="center"/>
              <w:rPr>
                <w:sz w:val="20"/>
                <w:szCs w:val="20"/>
              </w:rPr>
            </w:pPr>
            <w:r w:rsidRPr="006D6666">
              <w:rPr>
                <w:sz w:val="20"/>
                <w:szCs w:val="20"/>
              </w:rPr>
              <w:t>201-245-8</w:t>
            </w:r>
          </w:p>
        </w:tc>
      </w:tr>
      <w:tr w:rsidR="00E93CF9" w:rsidRPr="00A95817" w14:paraId="270E6B64" w14:textId="77777777" w:rsidTr="00A95817">
        <w:tc>
          <w:tcPr>
            <w:tcW w:w="3449" w:type="dxa"/>
            <w:vAlign w:val="center"/>
          </w:tcPr>
          <w:p w14:paraId="4F5992E0" w14:textId="242606A2" w:rsidR="00E93CF9" w:rsidRPr="006D6666" w:rsidRDefault="00E93CF9" w:rsidP="00E93CF9">
            <w:pPr>
              <w:rPr>
                <w:sz w:val="20"/>
                <w:szCs w:val="20"/>
              </w:rPr>
            </w:pPr>
            <w:r w:rsidRPr="006D6666">
              <w:rPr>
                <w:sz w:val="20"/>
                <w:szCs w:val="20"/>
              </w:rPr>
              <w:t>Phtalate de bis(2-éthylhexyle) (DEHP)</w:t>
            </w:r>
          </w:p>
        </w:tc>
        <w:tc>
          <w:tcPr>
            <w:tcW w:w="2680" w:type="dxa"/>
            <w:vAlign w:val="center"/>
          </w:tcPr>
          <w:p w14:paraId="3A6479C9" w14:textId="43C0DF1E" w:rsidR="00E93CF9" w:rsidRPr="006D6666" w:rsidRDefault="00E93CF9" w:rsidP="00E93CF9">
            <w:pPr>
              <w:jc w:val="center"/>
              <w:rPr>
                <w:sz w:val="20"/>
                <w:szCs w:val="20"/>
              </w:rPr>
            </w:pPr>
            <w:r w:rsidRPr="006D6666">
              <w:rPr>
                <w:sz w:val="20"/>
                <w:szCs w:val="20"/>
              </w:rPr>
              <w:t>117-81-7</w:t>
            </w:r>
          </w:p>
        </w:tc>
        <w:tc>
          <w:tcPr>
            <w:tcW w:w="2676" w:type="dxa"/>
            <w:vAlign w:val="center"/>
          </w:tcPr>
          <w:p w14:paraId="3BA0E8C4" w14:textId="0AE4C2CB" w:rsidR="00E93CF9" w:rsidRPr="006D6666" w:rsidRDefault="00E93CF9" w:rsidP="00E93CF9">
            <w:pPr>
              <w:jc w:val="center"/>
              <w:rPr>
                <w:sz w:val="20"/>
                <w:szCs w:val="20"/>
              </w:rPr>
            </w:pPr>
            <w:r w:rsidRPr="006D6666">
              <w:rPr>
                <w:sz w:val="20"/>
                <w:szCs w:val="20"/>
              </w:rPr>
              <w:t>204-211-0</w:t>
            </w:r>
          </w:p>
        </w:tc>
      </w:tr>
      <w:tr w:rsidR="00E93CF9" w:rsidRPr="00A95817" w14:paraId="6797E19F" w14:textId="77777777" w:rsidTr="00A95817">
        <w:tc>
          <w:tcPr>
            <w:tcW w:w="3449" w:type="dxa"/>
            <w:vAlign w:val="center"/>
          </w:tcPr>
          <w:p w14:paraId="29DBA1BA" w14:textId="60CD7756" w:rsidR="00E93CF9" w:rsidRPr="006D6666" w:rsidRDefault="00E93CF9" w:rsidP="00E93CF9">
            <w:pPr>
              <w:rPr>
                <w:sz w:val="20"/>
                <w:szCs w:val="20"/>
              </w:rPr>
            </w:pPr>
            <w:r w:rsidRPr="006D6666">
              <w:rPr>
                <w:sz w:val="20"/>
                <w:szCs w:val="20"/>
              </w:rPr>
              <w:t>Phtalate de benzyle et de butyle (BBP)</w:t>
            </w:r>
          </w:p>
        </w:tc>
        <w:tc>
          <w:tcPr>
            <w:tcW w:w="2680" w:type="dxa"/>
            <w:vAlign w:val="center"/>
          </w:tcPr>
          <w:p w14:paraId="69D82BEB" w14:textId="593C634E" w:rsidR="00E93CF9" w:rsidRPr="006D6666" w:rsidRDefault="00E93CF9" w:rsidP="00E93CF9">
            <w:pPr>
              <w:jc w:val="center"/>
              <w:rPr>
                <w:sz w:val="20"/>
                <w:szCs w:val="20"/>
              </w:rPr>
            </w:pPr>
            <w:r w:rsidRPr="006D6666">
              <w:rPr>
                <w:sz w:val="20"/>
                <w:szCs w:val="20"/>
              </w:rPr>
              <w:t>85-68-7</w:t>
            </w:r>
          </w:p>
        </w:tc>
        <w:tc>
          <w:tcPr>
            <w:tcW w:w="2676" w:type="dxa"/>
            <w:vAlign w:val="center"/>
          </w:tcPr>
          <w:p w14:paraId="2519BDED" w14:textId="7CBA8644" w:rsidR="00E93CF9" w:rsidRPr="006D6666" w:rsidRDefault="00E93CF9" w:rsidP="00E93CF9">
            <w:pPr>
              <w:jc w:val="center"/>
              <w:rPr>
                <w:sz w:val="20"/>
                <w:szCs w:val="20"/>
              </w:rPr>
            </w:pPr>
            <w:r w:rsidRPr="006D6666">
              <w:rPr>
                <w:sz w:val="20"/>
                <w:szCs w:val="20"/>
              </w:rPr>
              <w:t>201-622-7</w:t>
            </w:r>
          </w:p>
        </w:tc>
      </w:tr>
      <w:tr w:rsidR="00E93CF9" w:rsidRPr="00A95817" w14:paraId="20DA067C" w14:textId="77777777" w:rsidTr="00A95817">
        <w:tc>
          <w:tcPr>
            <w:tcW w:w="3449" w:type="dxa"/>
            <w:vAlign w:val="center"/>
          </w:tcPr>
          <w:p w14:paraId="5FD4C2D6" w14:textId="44B73653" w:rsidR="00E93CF9" w:rsidRPr="00A95817" w:rsidRDefault="00E93CF9" w:rsidP="00E93CF9">
            <w:pPr>
              <w:rPr>
                <w:sz w:val="20"/>
                <w:szCs w:val="20"/>
              </w:rPr>
            </w:pPr>
            <w:r w:rsidRPr="00A95817">
              <w:rPr>
                <w:sz w:val="20"/>
                <w:szCs w:val="20"/>
              </w:rPr>
              <w:t>4-tert-butylphénol</w:t>
            </w:r>
          </w:p>
        </w:tc>
        <w:tc>
          <w:tcPr>
            <w:tcW w:w="2680" w:type="dxa"/>
            <w:vAlign w:val="center"/>
          </w:tcPr>
          <w:p w14:paraId="00437B17" w14:textId="1ABDE43A" w:rsidR="00E93CF9" w:rsidRPr="00A95817" w:rsidRDefault="00E93CF9" w:rsidP="00E93CF9">
            <w:pPr>
              <w:jc w:val="center"/>
              <w:rPr>
                <w:sz w:val="20"/>
                <w:szCs w:val="20"/>
              </w:rPr>
            </w:pPr>
            <w:r w:rsidRPr="00A95817">
              <w:rPr>
                <w:sz w:val="20"/>
                <w:szCs w:val="20"/>
              </w:rPr>
              <w:t>98-54-4</w:t>
            </w:r>
          </w:p>
        </w:tc>
        <w:tc>
          <w:tcPr>
            <w:tcW w:w="2676" w:type="dxa"/>
            <w:vAlign w:val="center"/>
          </w:tcPr>
          <w:p w14:paraId="37D5D1AF" w14:textId="01E952ED" w:rsidR="00E93CF9" w:rsidRPr="00A95817" w:rsidRDefault="00E93CF9" w:rsidP="00E93CF9">
            <w:pPr>
              <w:jc w:val="center"/>
              <w:rPr>
                <w:sz w:val="20"/>
                <w:szCs w:val="20"/>
              </w:rPr>
            </w:pPr>
            <w:r w:rsidRPr="00A95817">
              <w:rPr>
                <w:sz w:val="20"/>
                <w:szCs w:val="20"/>
              </w:rPr>
              <w:t>202-679-0</w:t>
            </w:r>
          </w:p>
        </w:tc>
      </w:tr>
      <w:tr w:rsidR="00E93CF9" w:rsidRPr="00A95817" w14:paraId="5CD11AC7" w14:textId="77777777" w:rsidTr="00A95817">
        <w:tc>
          <w:tcPr>
            <w:tcW w:w="3449" w:type="dxa"/>
            <w:vAlign w:val="center"/>
          </w:tcPr>
          <w:p w14:paraId="595A2B78" w14:textId="338FB50F" w:rsidR="00E93CF9" w:rsidRPr="00A95817" w:rsidRDefault="00E93CF9" w:rsidP="00E93CF9">
            <w:pPr>
              <w:rPr>
                <w:sz w:val="20"/>
                <w:szCs w:val="20"/>
              </w:rPr>
            </w:pPr>
            <w:r w:rsidRPr="00A95817">
              <w:rPr>
                <w:sz w:val="20"/>
                <w:szCs w:val="20"/>
              </w:rPr>
              <w:t>Éthoxylate de 4-Nonylphénol, ramifié et linéaire, [substances, ayant une chaîne alkyle linéaire et/ou ramifiée, de 9 atomes de carbone liés de façon covalente en position 4 du phénol, éthoxylées, couvrant les substances UVCB et les substances bien définies, polymères et homologues, qui incluent tous les isomères individuels et/ou les combinaisons de ceux-ci]</w:t>
            </w:r>
          </w:p>
        </w:tc>
        <w:tc>
          <w:tcPr>
            <w:tcW w:w="2680" w:type="dxa"/>
            <w:vAlign w:val="center"/>
          </w:tcPr>
          <w:p w14:paraId="73427E3F" w14:textId="4AAC527B" w:rsidR="00E93CF9" w:rsidRPr="00A95817" w:rsidRDefault="00E93CF9" w:rsidP="00E93CF9">
            <w:pPr>
              <w:jc w:val="center"/>
              <w:rPr>
                <w:sz w:val="20"/>
                <w:szCs w:val="20"/>
              </w:rPr>
            </w:pPr>
            <w:r>
              <w:rPr>
                <w:sz w:val="20"/>
                <w:szCs w:val="20"/>
              </w:rPr>
              <w:t>-</w:t>
            </w:r>
          </w:p>
        </w:tc>
        <w:tc>
          <w:tcPr>
            <w:tcW w:w="2676" w:type="dxa"/>
            <w:vAlign w:val="center"/>
          </w:tcPr>
          <w:p w14:paraId="58F2270E" w14:textId="4C2D10BD" w:rsidR="00E93CF9" w:rsidRPr="00A95817" w:rsidRDefault="00E93CF9" w:rsidP="00E93CF9">
            <w:pPr>
              <w:jc w:val="center"/>
              <w:rPr>
                <w:sz w:val="20"/>
                <w:szCs w:val="20"/>
              </w:rPr>
            </w:pPr>
            <w:r>
              <w:rPr>
                <w:sz w:val="20"/>
                <w:szCs w:val="20"/>
              </w:rPr>
              <w:t>-</w:t>
            </w:r>
          </w:p>
        </w:tc>
      </w:tr>
      <w:tr w:rsidR="00E93CF9" w:rsidRPr="00A95817" w14:paraId="0EE8A2D2" w14:textId="77777777" w:rsidTr="00A95817">
        <w:tc>
          <w:tcPr>
            <w:tcW w:w="3449" w:type="dxa"/>
            <w:vAlign w:val="center"/>
          </w:tcPr>
          <w:p w14:paraId="6ADB878B" w14:textId="3E37E507" w:rsidR="00E93CF9" w:rsidRPr="00A95817" w:rsidRDefault="00E93CF9" w:rsidP="00E93CF9">
            <w:pPr>
              <w:rPr>
                <w:sz w:val="20"/>
                <w:szCs w:val="20"/>
              </w:rPr>
            </w:pPr>
            <w:r w:rsidRPr="00A95817">
              <w:rPr>
                <w:sz w:val="20"/>
                <w:szCs w:val="20"/>
              </w:rPr>
              <w:t>4-Nonylphenol, ramifié et linéaire [substances, ayant une chaîne alkyle linéaire et/ou ramifiée, de 9 atomes de carbone liés de façon covalente en position 4 du phénol, éthoxylées, couvrant les substances UVCB et les substances bien définies, polymères et homologues, qui incluent tous les isomères individuels et/ou les combinaisons de ceux-ci]</w:t>
            </w:r>
          </w:p>
        </w:tc>
        <w:tc>
          <w:tcPr>
            <w:tcW w:w="2680" w:type="dxa"/>
            <w:vAlign w:val="center"/>
          </w:tcPr>
          <w:p w14:paraId="02EBD6A3" w14:textId="5BDF1D2B" w:rsidR="00E93CF9" w:rsidRPr="00A95817" w:rsidRDefault="00E93CF9" w:rsidP="00E93CF9">
            <w:pPr>
              <w:jc w:val="center"/>
              <w:rPr>
                <w:sz w:val="20"/>
                <w:szCs w:val="20"/>
              </w:rPr>
            </w:pPr>
            <w:r>
              <w:rPr>
                <w:sz w:val="20"/>
                <w:szCs w:val="20"/>
              </w:rPr>
              <w:t>-</w:t>
            </w:r>
          </w:p>
        </w:tc>
        <w:tc>
          <w:tcPr>
            <w:tcW w:w="2676" w:type="dxa"/>
            <w:vAlign w:val="center"/>
          </w:tcPr>
          <w:p w14:paraId="2C95EE6D" w14:textId="77E800D8" w:rsidR="00E93CF9" w:rsidRPr="00A95817" w:rsidRDefault="00E93CF9" w:rsidP="00E93CF9">
            <w:pPr>
              <w:jc w:val="center"/>
              <w:rPr>
                <w:sz w:val="20"/>
                <w:szCs w:val="20"/>
              </w:rPr>
            </w:pPr>
            <w:r>
              <w:rPr>
                <w:sz w:val="20"/>
                <w:szCs w:val="20"/>
              </w:rPr>
              <w:t>-</w:t>
            </w:r>
          </w:p>
        </w:tc>
      </w:tr>
      <w:tr w:rsidR="00E93CF9" w:rsidRPr="00A95817" w14:paraId="34ADB2EA" w14:textId="77777777" w:rsidTr="00A95817">
        <w:tc>
          <w:tcPr>
            <w:tcW w:w="3449" w:type="dxa"/>
            <w:vAlign w:val="center"/>
          </w:tcPr>
          <w:p w14:paraId="186E43BD" w14:textId="72C542A3" w:rsidR="00E93CF9" w:rsidRPr="00A95817" w:rsidRDefault="00E93CF9" w:rsidP="00E93CF9">
            <w:pPr>
              <w:rPr>
                <w:sz w:val="20"/>
                <w:szCs w:val="20"/>
              </w:rPr>
            </w:pPr>
            <w:r w:rsidRPr="00A95817">
              <w:rPr>
                <w:sz w:val="20"/>
                <w:szCs w:val="20"/>
              </w:rPr>
              <w:t>4-heptylphenol, ramifié et linéaire (4-HPbl)</w:t>
            </w:r>
          </w:p>
        </w:tc>
        <w:tc>
          <w:tcPr>
            <w:tcW w:w="2680" w:type="dxa"/>
            <w:vAlign w:val="center"/>
          </w:tcPr>
          <w:p w14:paraId="592958A4" w14:textId="65A8302B" w:rsidR="00E93CF9" w:rsidRPr="00A95817" w:rsidRDefault="00E93CF9" w:rsidP="00E93CF9">
            <w:pPr>
              <w:jc w:val="center"/>
              <w:rPr>
                <w:sz w:val="20"/>
                <w:szCs w:val="20"/>
              </w:rPr>
            </w:pPr>
            <w:r>
              <w:rPr>
                <w:sz w:val="20"/>
                <w:szCs w:val="20"/>
              </w:rPr>
              <w:t>-</w:t>
            </w:r>
          </w:p>
        </w:tc>
        <w:tc>
          <w:tcPr>
            <w:tcW w:w="2676" w:type="dxa"/>
            <w:vAlign w:val="center"/>
          </w:tcPr>
          <w:p w14:paraId="223A6126" w14:textId="1A7544AC" w:rsidR="00E93CF9" w:rsidRPr="00A95817" w:rsidRDefault="00E93CF9" w:rsidP="00E93CF9">
            <w:pPr>
              <w:jc w:val="center"/>
              <w:rPr>
                <w:sz w:val="20"/>
                <w:szCs w:val="20"/>
              </w:rPr>
            </w:pPr>
            <w:r>
              <w:rPr>
                <w:sz w:val="20"/>
                <w:szCs w:val="20"/>
              </w:rPr>
              <w:t>-</w:t>
            </w:r>
          </w:p>
        </w:tc>
      </w:tr>
      <w:tr w:rsidR="00E93CF9" w:rsidRPr="00A95817" w14:paraId="59E6D907" w14:textId="4C7289EB" w:rsidTr="00A95817">
        <w:tc>
          <w:tcPr>
            <w:tcW w:w="3449" w:type="dxa"/>
            <w:vAlign w:val="center"/>
          </w:tcPr>
          <w:p w14:paraId="13239AED" w14:textId="393D7566" w:rsidR="00E93CF9" w:rsidRPr="00A95817" w:rsidRDefault="00E93CF9" w:rsidP="00E93CF9">
            <w:pPr>
              <w:rPr>
                <w:sz w:val="20"/>
                <w:szCs w:val="20"/>
                <w:highlight w:val="yellow"/>
              </w:rPr>
            </w:pPr>
            <w:r w:rsidRPr="00A95817">
              <w:rPr>
                <w:sz w:val="20"/>
                <w:szCs w:val="20"/>
              </w:rPr>
              <w:t>4-(1,1,3,3-Tetramethylbutyl)phénol, éthoxylé - couvrant les substances bien définies et les substances UVCB, polymères et homologues</w:t>
            </w:r>
          </w:p>
        </w:tc>
        <w:tc>
          <w:tcPr>
            <w:tcW w:w="2680" w:type="dxa"/>
            <w:vAlign w:val="center"/>
          </w:tcPr>
          <w:p w14:paraId="57FB2C7F" w14:textId="07B40523" w:rsidR="00E93CF9" w:rsidRPr="00A95817" w:rsidRDefault="00E93CF9" w:rsidP="00E93CF9">
            <w:pPr>
              <w:jc w:val="center"/>
              <w:rPr>
                <w:sz w:val="20"/>
                <w:szCs w:val="20"/>
              </w:rPr>
            </w:pPr>
            <w:r>
              <w:rPr>
                <w:sz w:val="20"/>
                <w:szCs w:val="20"/>
              </w:rPr>
              <w:t>-</w:t>
            </w:r>
          </w:p>
        </w:tc>
        <w:tc>
          <w:tcPr>
            <w:tcW w:w="2676" w:type="dxa"/>
            <w:vAlign w:val="center"/>
          </w:tcPr>
          <w:p w14:paraId="6121D96E" w14:textId="1FD84B09" w:rsidR="00E93CF9" w:rsidRPr="00A95817" w:rsidRDefault="00E93CF9" w:rsidP="00E93CF9">
            <w:pPr>
              <w:jc w:val="center"/>
              <w:rPr>
                <w:sz w:val="20"/>
                <w:szCs w:val="20"/>
              </w:rPr>
            </w:pPr>
            <w:r>
              <w:rPr>
                <w:sz w:val="20"/>
                <w:szCs w:val="20"/>
              </w:rPr>
              <w:t>-</w:t>
            </w:r>
          </w:p>
        </w:tc>
      </w:tr>
      <w:tr w:rsidR="00E93CF9" w:rsidRPr="00A95817" w14:paraId="56B0AACE" w14:textId="77777777" w:rsidTr="00A95817">
        <w:tc>
          <w:tcPr>
            <w:tcW w:w="3449" w:type="dxa"/>
            <w:vAlign w:val="center"/>
          </w:tcPr>
          <w:p w14:paraId="290681DC" w14:textId="74C36D90" w:rsidR="00E93CF9" w:rsidRPr="00A95817" w:rsidRDefault="00E93CF9" w:rsidP="00E93CF9">
            <w:pPr>
              <w:rPr>
                <w:sz w:val="20"/>
                <w:szCs w:val="20"/>
                <w:highlight w:val="yellow"/>
              </w:rPr>
            </w:pPr>
            <w:r w:rsidRPr="00A95817">
              <w:rPr>
                <w:sz w:val="20"/>
                <w:szCs w:val="20"/>
              </w:rPr>
              <w:t>4-(1,1,3,3-tétraméthylbutyl)phénol</w:t>
            </w:r>
          </w:p>
        </w:tc>
        <w:tc>
          <w:tcPr>
            <w:tcW w:w="2680" w:type="dxa"/>
            <w:vAlign w:val="center"/>
          </w:tcPr>
          <w:p w14:paraId="79B08B3E" w14:textId="6F1EF702" w:rsidR="00E93CF9" w:rsidRPr="00A95817" w:rsidRDefault="00E93CF9" w:rsidP="00E93CF9">
            <w:pPr>
              <w:jc w:val="center"/>
              <w:rPr>
                <w:sz w:val="20"/>
                <w:szCs w:val="20"/>
              </w:rPr>
            </w:pPr>
            <w:r w:rsidRPr="00A95817">
              <w:rPr>
                <w:sz w:val="20"/>
                <w:szCs w:val="20"/>
              </w:rPr>
              <w:t>140-66-9</w:t>
            </w:r>
          </w:p>
        </w:tc>
        <w:tc>
          <w:tcPr>
            <w:tcW w:w="2676" w:type="dxa"/>
            <w:vAlign w:val="center"/>
          </w:tcPr>
          <w:p w14:paraId="04DABDD1" w14:textId="11F6E851" w:rsidR="00E93CF9" w:rsidRPr="00A95817" w:rsidRDefault="00E93CF9" w:rsidP="00E93CF9">
            <w:pPr>
              <w:jc w:val="center"/>
              <w:rPr>
                <w:sz w:val="20"/>
                <w:szCs w:val="20"/>
              </w:rPr>
            </w:pPr>
            <w:r w:rsidRPr="00A95817">
              <w:rPr>
                <w:sz w:val="20"/>
                <w:szCs w:val="20"/>
              </w:rPr>
              <w:t>205-426-2</w:t>
            </w:r>
          </w:p>
        </w:tc>
      </w:tr>
      <w:tr w:rsidR="00E93CF9" w:rsidRPr="00A95817" w14:paraId="51B46484" w14:textId="77777777" w:rsidTr="00A95817">
        <w:tc>
          <w:tcPr>
            <w:tcW w:w="3449" w:type="dxa"/>
          </w:tcPr>
          <w:p w14:paraId="7C0A8C8B" w14:textId="4716FABC" w:rsidR="00E93CF9" w:rsidRPr="00A95817" w:rsidRDefault="00E93CF9" w:rsidP="00E93CF9">
            <w:pPr>
              <w:rPr>
                <w:sz w:val="20"/>
                <w:szCs w:val="20"/>
              </w:rPr>
            </w:pPr>
            <w:r w:rsidRPr="00A95817">
              <w:rPr>
                <w:sz w:val="20"/>
                <w:szCs w:val="20"/>
              </w:rPr>
              <w:t>1,7,7-triméthyl-3-(phénylméthylène)bicyclo[2.2.1]heptan-2-one (3-benzylidène camphre)</w:t>
            </w:r>
          </w:p>
        </w:tc>
        <w:tc>
          <w:tcPr>
            <w:tcW w:w="2680" w:type="dxa"/>
            <w:vAlign w:val="center"/>
          </w:tcPr>
          <w:p w14:paraId="3BBEB1D3" w14:textId="483B14B6" w:rsidR="00E93CF9" w:rsidRPr="00A95817" w:rsidRDefault="00E93CF9" w:rsidP="00E93CF9">
            <w:pPr>
              <w:jc w:val="center"/>
              <w:rPr>
                <w:sz w:val="20"/>
                <w:szCs w:val="20"/>
              </w:rPr>
            </w:pPr>
            <w:r w:rsidRPr="00A95817">
              <w:rPr>
                <w:sz w:val="20"/>
                <w:szCs w:val="20"/>
              </w:rPr>
              <w:t>15087-24-8</w:t>
            </w:r>
          </w:p>
        </w:tc>
        <w:tc>
          <w:tcPr>
            <w:tcW w:w="2676" w:type="dxa"/>
            <w:vAlign w:val="center"/>
          </w:tcPr>
          <w:p w14:paraId="1DB8B2E9" w14:textId="1D96672E" w:rsidR="00E93CF9" w:rsidRPr="00A95817" w:rsidRDefault="00E93CF9" w:rsidP="00E93CF9">
            <w:pPr>
              <w:jc w:val="center"/>
              <w:rPr>
                <w:sz w:val="20"/>
                <w:szCs w:val="20"/>
              </w:rPr>
            </w:pPr>
            <w:r w:rsidRPr="00A95817">
              <w:rPr>
                <w:sz w:val="20"/>
                <w:szCs w:val="20"/>
              </w:rPr>
              <w:t>239-139-9</w:t>
            </w:r>
          </w:p>
        </w:tc>
      </w:tr>
    </w:tbl>
    <w:p w14:paraId="3F2D113E" w14:textId="77777777" w:rsidR="00F92FDA" w:rsidRDefault="00F92FDA" w:rsidP="009934B3">
      <w:pPr>
        <w:ind w:left="539"/>
      </w:pPr>
    </w:p>
    <w:p w14:paraId="39CDB39E" w14:textId="77777777" w:rsidR="00F92FDA" w:rsidRDefault="00F92FDA" w:rsidP="009934B3">
      <w:pPr>
        <w:ind w:left="539"/>
      </w:pPr>
    </w:p>
    <w:p w14:paraId="638D44C7" w14:textId="4FA76721" w:rsidR="0091346D" w:rsidRDefault="0091346D" w:rsidP="00F92FDA">
      <w:pPr>
        <w:ind w:left="539"/>
        <w:jc w:val="both"/>
        <w:rPr>
          <w:kern w:val="3"/>
        </w:rPr>
      </w:pPr>
      <w:r>
        <w:t xml:space="preserve">TABLEAU B : Liste des substances </w:t>
      </w:r>
      <w:r w:rsidRPr="00A857F7">
        <w:t xml:space="preserve">présentant des propriétés de perturbation endocrinienne </w:t>
      </w:r>
      <w:r>
        <w:rPr>
          <w:kern w:val="3"/>
        </w:rPr>
        <w:t>suspectées,</w:t>
      </w:r>
      <w:r w:rsidRPr="007D3BAF">
        <w:rPr>
          <w:kern w:val="3"/>
        </w:rPr>
        <w:t xml:space="preserve"> mentionnées au I</w:t>
      </w:r>
      <w:r>
        <w:rPr>
          <w:kern w:val="3"/>
        </w:rPr>
        <w:t>I</w:t>
      </w:r>
      <w:r w:rsidRPr="007D3BAF">
        <w:rPr>
          <w:kern w:val="3"/>
        </w:rPr>
        <w:t xml:space="preserve"> de l’article L. 5232-5</w:t>
      </w:r>
      <w:r>
        <w:rPr>
          <w:kern w:val="3"/>
        </w:rPr>
        <w:t xml:space="preserve"> du code de la santé publique</w:t>
      </w:r>
    </w:p>
    <w:p w14:paraId="642C4104" w14:textId="594CDADD" w:rsidR="0091346D" w:rsidRDefault="0091346D" w:rsidP="00F92FDA">
      <w:pPr>
        <w:ind w:left="539"/>
        <w:jc w:val="both"/>
        <w:rPr>
          <w:kern w:val="3"/>
        </w:rPr>
      </w:pPr>
    </w:p>
    <w:tbl>
      <w:tblPr>
        <w:tblStyle w:val="Grilledutableau"/>
        <w:tblW w:w="0" w:type="auto"/>
        <w:tblInd w:w="539" w:type="dxa"/>
        <w:tblLook w:val="04A0" w:firstRow="1" w:lastRow="0" w:firstColumn="1" w:lastColumn="0" w:noHBand="0" w:noVBand="1"/>
      </w:tblPr>
      <w:tblGrid>
        <w:gridCol w:w="3449"/>
        <w:gridCol w:w="2680"/>
        <w:gridCol w:w="2676"/>
      </w:tblGrid>
      <w:tr w:rsidR="00840BD7" w:rsidRPr="00A95817" w14:paraId="7B8CE649" w14:textId="77777777" w:rsidTr="00540F9C">
        <w:tc>
          <w:tcPr>
            <w:tcW w:w="3449" w:type="dxa"/>
          </w:tcPr>
          <w:p w14:paraId="54F334A4" w14:textId="77777777" w:rsidR="00840BD7" w:rsidRPr="00A95817" w:rsidRDefault="00840BD7" w:rsidP="00540F9C">
            <w:pPr>
              <w:jc w:val="center"/>
              <w:rPr>
                <w:b/>
                <w:sz w:val="20"/>
                <w:szCs w:val="20"/>
              </w:rPr>
            </w:pPr>
            <w:r w:rsidRPr="00A95817">
              <w:rPr>
                <w:b/>
                <w:sz w:val="20"/>
                <w:szCs w:val="20"/>
              </w:rPr>
              <w:t>Nom de la substance</w:t>
            </w:r>
          </w:p>
        </w:tc>
        <w:tc>
          <w:tcPr>
            <w:tcW w:w="2680" w:type="dxa"/>
          </w:tcPr>
          <w:p w14:paraId="11374AFA" w14:textId="77777777" w:rsidR="00840BD7" w:rsidRPr="00A95817" w:rsidRDefault="00840BD7" w:rsidP="00540F9C">
            <w:pPr>
              <w:jc w:val="center"/>
              <w:rPr>
                <w:b/>
                <w:sz w:val="20"/>
                <w:szCs w:val="20"/>
              </w:rPr>
            </w:pPr>
            <w:r w:rsidRPr="00A95817">
              <w:rPr>
                <w:b/>
                <w:sz w:val="20"/>
                <w:szCs w:val="20"/>
              </w:rPr>
              <w:t>N</w:t>
            </w:r>
            <w:r>
              <w:rPr>
                <w:b/>
                <w:sz w:val="20"/>
                <w:szCs w:val="20"/>
              </w:rPr>
              <w:t xml:space="preserve">uméro </w:t>
            </w:r>
            <w:r w:rsidRPr="00A95817">
              <w:rPr>
                <w:b/>
                <w:sz w:val="20"/>
                <w:szCs w:val="20"/>
              </w:rPr>
              <w:t>CAS</w:t>
            </w:r>
          </w:p>
        </w:tc>
        <w:tc>
          <w:tcPr>
            <w:tcW w:w="2676" w:type="dxa"/>
          </w:tcPr>
          <w:p w14:paraId="114412AB" w14:textId="77777777" w:rsidR="00840BD7" w:rsidRPr="00A95817" w:rsidRDefault="00840BD7" w:rsidP="00540F9C">
            <w:pPr>
              <w:jc w:val="center"/>
              <w:rPr>
                <w:b/>
                <w:sz w:val="20"/>
                <w:szCs w:val="20"/>
              </w:rPr>
            </w:pPr>
            <w:r>
              <w:rPr>
                <w:b/>
                <w:sz w:val="20"/>
                <w:szCs w:val="20"/>
              </w:rPr>
              <w:t xml:space="preserve">Numéro </w:t>
            </w:r>
            <w:r w:rsidRPr="00A95817">
              <w:rPr>
                <w:b/>
                <w:sz w:val="20"/>
                <w:szCs w:val="20"/>
              </w:rPr>
              <w:t>CE</w:t>
            </w:r>
          </w:p>
        </w:tc>
      </w:tr>
      <w:tr w:rsidR="00840BD7" w:rsidRPr="00A95817" w14:paraId="564772EC" w14:textId="77777777" w:rsidTr="00540F9C">
        <w:tc>
          <w:tcPr>
            <w:tcW w:w="3449" w:type="dxa"/>
          </w:tcPr>
          <w:p w14:paraId="608C3231" w14:textId="0E10BA61" w:rsidR="00840BD7" w:rsidRPr="00A95817" w:rsidRDefault="00840BD7" w:rsidP="00540F9C">
            <w:pPr>
              <w:jc w:val="center"/>
              <w:rPr>
                <w:b/>
                <w:sz w:val="20"/>
                <w:szCs w:val="20"/>
              </w:rPr>
            </w:pPr>
            <w:r>
              <w:rPr>
                <w:b/>
                <w:sz w:val="20"/>
                <w:szCs w:val="20"/>
              </w:rPr>
              <w:t>-</w:t>
            </w:r>
          </w:p>
        </w:tc>
        <w:tc>
          <w:tcPr>
            <w:tcW w:w="2680" w:type="dxa"/>
          </w:tcPr>
          <w:p w14:paraId="7D6E6933" w14:textId="32CACB45" w:rsidR="00840BD7" w:rsidRPr="00A95817" w:rsidRDefault="00840BD7" w:rsidP="00540F9C">
            <w:pPr>
              <w:jc w:val="center"/>
              <w:rPr>
                <w:b/>
                <w:sz w:val="20"/>
                <w:szCs w:val="20"/>
              </w:rPr>
            </w:pPr>
            <w:r>
              <w:rPr>
                <w:b/>
                <w:sz w:val="20"/>
                <w:szCs w:val="20"/>
              </w:rPr>
              <w:t>-</w:t>
            </w:r>
          </w:p>
        </w:tc>
        <w:tc>
          <w:tcPr>
            <w:tcW w:w="2676" w:type="dxa"/>
          </w:tcPr>
          <w:p w14:paraId="0FC6BCD8" w14:textId="28E4DA1A" w:rsidR="00840BD7" w:rsidRDefault="00840BD7" w:rsidP="00540F9C">
            <w:pPr>
              <w:jc w:val="center"/>
              <w:rPr>
                <w:b/>
                <w:sz w:val="20"/>
                <w:szCs w:val="20"/>
              </w:rPr>
            </w:pPr>
            <w:r>
              <w:rPr>
                <w:b/>
                <w:sz w:val="20"/>
                <w:szCs w:val="20"/>
              </w:rPr>
              <w:t>-</w:t>
            </w:r>
          </w:p>
        </w:tc>
      </w:tr>
    </w:tbl>
    <w:p w14:paraId="74753E47" w14:textId="50E31C82" w:rsidR="00840BD7" w:rsidRDefault="00840BD7" w:rsidP="00F92FDA">
      <w:pPr>
        <w:ind w:left="539"/>
        <w:jc w:val="both"/>
        <w:rPr>
          <w:kern w:val="3"/>
        </w:rPr>
      </w:pPr>
    </w:p>
    <w:p w14:paraId="32D03191" w14:textId="780A5C7E" w:rsidR="0091346D" w:rsidRDefault="0091346D" w:rsidP="00F92FDA">
      <w:pPr>
        <w:ind w:left="539"/>
        <w:jc w:val="both"/>
        <w:rPr>
          <w:kern w:val="3"/>
        </w:rPr>
      </w:pPr>
    </w:p>
    <w:p w14:paraId="3907DAEA" w14:textId="004EC57B" w:rsidR="0091346D" w:rsidRDefault="0091346D" w:rsidP="00F92FDA">
      <w:pPr>
        <w:ind w:left="539"/>
        <w:jc w:val="both"/>
        <w:rPr>
          <w:kern w:val="3"/>
        </w:rPr>
      </w:pPr>
      <w:r>
        <w:t>Annexe II : L</w:t>
      </w:r>
      <w:r w:rsidRPr="00A857F7">
        <w:t>iste des</w:t>
      </w:r>
      <w:r w:rsidRPr="007D3BAF">
        <w:rPr>
          <w:kern w:val="3"/>
        </w:rPr>
        <w:t xml:space="preserve"> catégories de produits présentant un risque d'exposition particulier mentionnés au II de l’article L. 5232-5</w:t>
      </w:r>
      <w:r>
        <w:rPr>
          <w:kern w:val="3"/>
        </w:rPr>
        <w:t xml:space="preserve"> du code de la santé publique</w:t>
      </w:r>
    </w:p>
    <w:p w14:paraId="68FABC73" w14:textId="761C6D87" w:rsidR="0091346D" w:rsidRDefault="0091346D" w:rsidP="0091346D">
      <w:pPr>
        <w:ind w:left="539"/>
        <w:rPr>
          <w:kern w:val="3"/>
        </w:rPr>
      </w:pPr>
    </w:p>
    <w:p w14:paraId="20C6B0C6" w14:textId="170FAE88" w:rsidR="0091346D" w:rsidRDefault="0091346D" w:rsidP="0091346D">
      <w:pPr>
        <w:ind w:left="539"/>
        <w:rPr>
          <w:kern w:val="3"/>
        </w:rPr>
      </w:pPr>
      <w:r>
        <w:t>Sans objet</w:t>
      </w:r>
    </w:p>
    <w:p w14:paraId="408B3F4A" w14:textId="77777777" w:rsidR="0091346D"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30F5" w14:textId="77777777" w:rsidR="00C40AB0" w:rsidRDefault="00C40AB0" w:rsidP="00C40AB0">
      <w:r>
        <w:separator/>
      </w:r>
    </w:p>
  </w:endnote>
  <w:endnote w:type="continuationSeparator" w:id="0">
    <w:p w14:paraId="35B5E52F" w14:textId="77777777" w:rsidR="00C40AB0" w:rsidRDefault="00C40AB0"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9D72" w14:textId="77777777" w:rsidR="006D6666" w:rsidRDefault="006D66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C441" w14:textId="77777777" w:rsidR="006D6666" w:rsidRDefault="006D66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9A9E" w14:textId="77777777" w:rsidR="006D6666" w:rsidRDefault="006D66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817C" w14:textId="77777777" w:rsidR="00C40AB0" w:rsidRDefault="00C40AB0" w:rsidP="00C40AB0">
      <w:r>
        <w:separator/>
      </w:r>
    </w:p>
  </w:footnote>
  <w:footnote w:type="continuationSeparator" w:id="0">
    <w:p w14:paraId="5570AEAF" w14:textId="77777777" w:rsidR="00C40AB0" w:rsidRDefault="00C40AB0"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C0E0" w14:textId="5785586D" w:rsidR="006D6666" w:rsidRDefault="006D6666">
    <w:pPr>
      <w:pStyle w:val="En-tte"/>
    </w:pPr>
    <w:r>
      <w:rPr>
        <w:noProof/>
      </w:rP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4C23" w14:textId="49B06B63" w:rsidR="006D6666" w:rsidRDefault="006D6666">
    <w:pPr>
      <w:pStyle w:val="En-tte"/>
    </w:pPr>
    <w:r>
      <w:rPr>
        <w:noProof/>
      </w:rP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6F30" w14:textId="56FBCD41" w:rsidR="006D6666" w:rsidRDefault="006D6666">
    <w:pPr>
      <w:pStyle w:val="En-tte"/>
    </w:pPr>
    <w:r>
      <w:rPr>
        <w:noProof/>
      </w:rP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2B42"/>
    <w:multiLevelType w:val="multilevel"/>
    <w:tmpl w:val="6476617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CD"/>
    <w:rsid w:val="0001023B"/>
    <w:rsid w:val="00026E60"/>
    <w:rsid w:val="0005179D"/>
    <w:rsid w:val="000C4EE6"/>
    <w:rsid w:val="000C5D4F"/>
    <w:rsid w:val="000E5822"/>
    <w:rsid w:val="000F3707"/>
    <w:rsid w:val="001200AE"/>
    <w:rsid w:val="00164440"/>
    <w:rsid w:val="00220182"/>
    <w:rsid w:val="00254416"/>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20C4"/>
    <w:rsid w:val="00A14477"/>
    <w:rsid w:val="00A42F37"/>
    <w:rsid w:val="00A755A3"/>
    <w:rsid w:val="00A857F7"/>
    <w:rsid w:val="00A95817"/>
    <w:rsid w:val="00B533B8"/>
    <w:rsid w:val="00B96689"/>
    <w:rsid w:val="00C40AB0"/>
    <w:rsid w:val="00C46B5B"/>
    <w:rsid w:val="00CC4ECF"/>
    <w:rsid w:val="00DF04E0"/>
    <w:rsid w:val="00E35F75"/>
    <w:rsid w:val="00E93CF9"/>
    <w:rsid w:val="00ED6EB5"/>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Titre1">
    <w:name w:val="heading 1"/>
    <w:basedOn w:val="Normal"/>
    <w:next w:val="Normal"/>
    <w:qFormat/>
    <w:pPr>
      <w:keepNext/>
      <w:numPr>
        <w:numId w:val="1"/>
      </w:numPr>
      <w:spacing w:before="480" w:after="120"/>
      <w:jc w:val="center"/>
      <w:outlineLvl w:val="0"/>
    </w:pPr>
    <w:rPr>
      <w:rFonts w:cs="Arial"/>
      <w:b/>
      <w:bCs/>
      <w:sz w:val="32"/>
      <w:szCs w:val="32"/>
    </w:rPr>
  </w:style>
  <w:style w:type="paragraph" w:styleId="Titre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aireCar">
    <w:name w:val="Commentaire Car"/>
    <w:basedOn w:val="Policepardfaut"/>
    <w:link w:val="Commentaire"/>
    <w:uiPriority w:val="99"/>
    <w:semiHidden/>
    <w:qFormat/>
    <w:rPr>
      <w:rFonts w:ascii="Times New Roman" w:eastAsia="Times New Roman" w:hAnsi="Times New Roman" w:cs="Times New Roman"/>
      <w:color w:val="00000A"/>
      <w:szCs w:val="20"/>
      <w:lang w:bidi="ar-SA"/>
    </w:rPr>
  </w:style>
  <w:style w:type="character" w:styleId="Marquedecommentaire">
    <w:name w:val="annotation reference"/>
    <w:basedOn w:val="Policepardfaut"/>
    <w:uiPriority w:val="99"/>
    <w:semiHidden/>
    <w:unhideWhenUsed/>
    <w:qFormat/>
    <w:rPr>
      <w:sz w:val="16"/>
      <w:szCs w:val="16"/>
    </w:rPr>
  </w:style>
  <w:style w:type="character" w:customStyle="1" w:styleId="ObjetducommentaireCar">
    <w:name w:val="Objet du commentaire Car"/>
    <w:basedOn w:val="CommentaireCar"/>
    <w:link w:val="Objetducommentaire"/>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qFormat/>
    <w:pPr>
      <w:keepNext/>
      <w:spacing w:before="240" w:after="120"/>
    </w:pPr>
    <w:rPr>
      <w:rFonts w:ascii="Liberation Sans;Arial" w:eastAsia="Microsoft YaHei" w:hAnsi="Liberation Sans;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0">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Corpsdetexte"/>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lang w:val="en-GB"/>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lang w:val="en-GB"/>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Textedebulles">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style>
  <w:style w:type="paragraph" w:styleId="Commentaire">
    <w:name w:val="annotation text"/>
    <w:basedOn w:val="Normal"/>
    <w:link w:val="CommentaireCar"/>
    <w:uiPriority w:val="99"/>
    <w:semiHidden/>
    <w:unhideWhenUsed/>
    <w:qFormat/>
    <w:rPr>
      <w:sz w:val="20"/>
      <w:szCs w:val="20"/>
    </w:rPr>
  </w:style>
  <w:style w:type="paragraph" w:styleId="Objetducommentaire">
    <w:name w:val="annotation subject"/>
    <w:basedOn w:val="Commentaire"/>
    <w:link w:val="ObjetducommentaireC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Paragraphedeliste">
    <w:name w:val="List Paragraph"/>
    <w:basedOn w:val="Normal"/>
    <w:uiPriority w:val="34"/>
    <w:qFormat/>
    <w:rsid w:val="00B533B8"/>
    <w:pPr>
      <w:ind w:left="720"/>
      <w:contextualSpacing/>
    </w:pPr>
  </w:style>
  <w:style w:type="table" w:styleId="Grilledutableau">
    <w:name w:val="Table Grid"/>
    <w:basedOn w:val="Tableau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Notedebasdepage">
    <w:name w:val="footnote text"/>
    <w:basedOn w:val="Normal"/>
    <w:link w:val="NotedebasdepageCar"/>
    <w:rsid w:val="00C40AB0"/>
    <w:rPr>
      <w:color w:val="auto"/>
      <w:sz w:val="20"/>
      <w:szCs w:val="20"/>
    </w:rPr>
  </w:style>
  <w:style w:type="character" w:customStyle="1" w:styleId="NotedebasdepageCar">
    <w:name w:val="Note de bas de page Car"/>
    <w:basedOn w:val="Policepardfaut"/>
    <w:link w:val="Notedebasdepage"/>
    <w:rsid w:val="00C40AB0"/>
    <w:rPr>
      <w:rFonts w:ascii="Times New Roman" w:eastAsia="Times New Roman" w:hAnsi="Times New Roman" w:cs="Times New Roman"/>
      <w:szCs w:val="20"/>
      <w:lang w:bidi="ar-SA"/>
    </w:rPr>
  </w:style>
  <w:style w:type="paragraph" w:styleId="Pieddepage">
    <w:name w:val="footer"/>
    <w:basedOn w:val="Normal"/>
    <w:link w:val="PieddepageCar"/>
    <w:uiPriority w:val="99"/>
    <w:unhideWhenUsed/>
    <w:rsid w:val="006D6666"/>
    <w:pPr>
      <w:tabs>
        <w:tab w:val="center" w:pos="4536"/>
        <w:tab w:val="right" w:pos="9072"/>
      </w:tabs>
    </w:pPr>
  </w:style>
  <w:style w:type="character" w:customStyle="1" w:styleId="PieddepageCar">
    <w:name w:val="Pied de page Car"/>
    <w:basedOn w:val="Policepardfaut"/>
    <w:link w:val="Pieddepage"/>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8025</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BLATON Elisabeth</cp:lastModifiedBy>
  <cp:revision>2</cp:revision>
  <cp:lastPrinted>2021-09-08T16:41:00Z</cp:lastPrinted>
  <dcterms:created xsi:type="dcterms:W3CDTF">2021-09-08T16:42:00Z</dcterms:created>
  <dcterms:modified xsi:type="dcterms:W3CDTF">2021-09-08T16:42:00Z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