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338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6"/>
        <w:gridCol w:w="968"/>
        <w:gridCol w:w="1844"/>
      </w:tblGrid>
      <w:tr w:rsidR="00A857F7" w:rsidRPr="007779CC" w14:paraId="58F7213C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091A81ED" w14:textId="77777777" w:rsidR="00A857F7" w:rsidRPr="007779CC" w:rsidRDefault="00A857F7" w:rsidP="00A857F7">
            <w:pPr>
              <w:suppressAutoHyphens w:val="0"/>
              <w:spacing w:line="276" w:lineRule="auto"/>
              <w:jc w:val="center"/>
              <w:rPr>
                <w:b/>
                <w:bCs/>
                <w:color w:val="auto"/>
                <w:szCs w:val="20"/>
              </w:rPr>
            </w:pPr>
            <w:r w:rsidRPr="007779CC">
              <w:rPr>
                <w:b/>
                <w:color w:val="auto"/>
              </w:rPr>
              <w:t>REPUBLIKA FRANCUSKA</w:t>
            </w:r>
          </w:p>
        </w:tc>
      </w:tr>
      <w:tr w:rsidR="00A857F7" w:rsidRPr="007779CC" w14:paraId="2F616D12" w14:textId="77777777" w:rsidTr="00A857F7">
        <w:trPr>
          <w:cantSplit/>
          <w:trHeight w:hRule="exact" w:val="113"/>
        </w:trPr>
        <w:tc>
          <w:tcPr>
            <w:tcW w:w="1526" w:type="dxa"/>
            <w:shd w:val="clear" w:color="auto" w:fill="FFFFFF"/>
          </w:tcPr>
          <w:p w14:paraId="1BC2E738" w14:textId="77777777" w:rsidR="00A857F7" w:rsidRPr="007779CC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1F2D22D1" w14:textId="77777777" w:rsidR="00A857F7" w:rsidRPr="007779CC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219D6CBE" w14:textId="77777777" w:rsidR="00A857F7" w:rsidRPr="007779CC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7779CC" w14:paraId="643970B4" w14:textId="77777777" w:rsidTr="00A857F7">
        <w:trPr>
          <w:cantSplit/>
        </w:trPr>
        <w:tc>
          <w:tcPr>
            <w:tcW w:w="4338" w:type="dxa"/>
            <w:gridSpan w:val="3"/>
            <w:shd w:val="clear" w:color="auto" w:fill="FFFFFF"/>
            <w:hideMark/>
          </w:tcPr>
          <w:p w14:paraId="47A22048" w14:textId="77777777" w:rsidR="00A857F7" w:rsidRPr="007779CC" w:rsidRDefault="00A857F7" w:rsidP="00A857F7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rFonts w:eastAsia="Lucida Sans Unicode"/>
                <w:color w:val="auto"/>
              </w:rPr>
            </w:pPr>
            <w:r w:rsidRPr="007779CC">
              <w:rPr>
                <w:color w:val="auto"/>
              </w:rPr>
              <w:t>Ministerstwo Transformacji Ekologicznej</w:t>
            </w:r>
          </w:p>
          <w:p w14:paraId="47676278" w14:textId="08532887" w:rsidR="00A857F7" w:rsidRPr="007779CC" w:rsidRDefault="00A857F7" w:rsidP="00972079">
            <w:pPr>
              <w:widowControl w:val="0"/>
              <w:snapToGrid w:val="0"/>
              <w:spacing w:before="120" w:line="276" w:lineRule="auto"/>
              <w:ind w:hanging="57"/>
              <w:jc w:val="center"/>
              <w:rPr>
                <w:rFonts w:eastAsia="Lucida Sans Unicode"/>
                <w:color w:val="auto"/>
              </w:rPr>
            </w:pPr>
            <w:r w:rsidRPr="007779CC">
              <w:rPr>
                <w:color w:val="auto"/>
              </w:rPr>
              <w:t>Ministerstwo Solidarności i Zdrowia</w:t>
            </w:r>
          </w:p>
        </w:tc>
      </w:tr>
      <w:tr w:rsidR="00A857F7" w:rsidRPr="007779CC" w14:paraId="0D1C3E98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AA5A4CD" w14:textId="77777777" w:rsidR="00A857F7" w:rsidRPr="007779CC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14:paraId="0FB0062C" w14:textId="77777777" w:rsidR="00A857F7" w:rsidRPr="007779CC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6EE97436" w14:textId="77777777" w:rsidR="00A857F7" w:rsidRPr="007779CC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A857F7" w:rsidRPr="007779CC" w14:paraId="38F1C3CC" w14:textId="77777777" w:rsidTr="00A857F7">
        <w:trPr>
          <w:cantSplit/>
          <w:trHeight w:hRule="exact" w:val="227"/>
        </w:trPr>
        <w:tc>
          <w:tcPr>
            <w:tcW w:w="1526" w:type="dxa"/>
            <w:shd w:val="clear" w:color="auto" w:fill="FFFFFF"/>
          </w:tcPr>
          <w:p w14:paraId="0F9A142E" w14:textId="77777777" w:rsidR="00A857F7" w:rsidRPr="007779CC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shd w:val="clear" w:color="auto" w:fill="FFFFFF"/>
          </w:tcPr>
          <w:p w14:paraId="2504DCB7" w14:textId="77777777" w:rsidR="00A857F7" w:rsidRPr="007779CC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</w:tcPr>
          <w:p w14:paraId="46940E34" w14:textId="77777777" w:rsidR="00A857F7" w:rsidRPr="007779CC" w:rsidRDefault="00A857F7" w:rsidP="00A857F7">
            <w:pPr>
              <w:suppressAutoHyphens w:val="0"/>
              <w:spacing w:after="160" w:line="256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7EA9DD1" w14:textId="289D73EA" w:rsidR="008347CD" w:rsidRPr="007779CC" w:rsidRDefault="006D6666">
      <w:pPr>
        <w:pStyle w:val="SNNature"/>
      </w:pPr>
      <w:r w:rsidRPr="007779CC">
        <w:t>Projekt</w:t>
      </w:r>
      <w:r w:rsidRPr="007779CC">
        <w:br/>
        <w:t xml:space="preserve">Rozporządzenie z </w:t>
      </w:r>
      <w:r w:rsidRPr="007779CC">
        <w:rPr>
          <w:rStyle w:val="SNDateSignature"/>
        </w:rPr>
        <w:t xml:space="preserve">dnia </w:t>
      </w:r>
    </w:p>
    <w:p w14:paraId="1EB51F43" w14:textId="190FE6AE" w:rsidR="008347CD" w:rsidRPr="007779CC" w:rsidRDefault="00A857F7">
      <w:pPr>
        <w:pStyle w:val="SNObjet"/>
        <w:jc w:val="center"/>
      </w:pPr>
      <w:r w:rsidRPr="007779CC">
        <w:t>ustanawiające wykaz substancji o właściwościach zaburzających funkcjonowanie układu hormonalnego, o których mowa w art. L. 5232-5 ust. I i II kodeksu zdrowia publicznego, oraz kategorie produktów stwarzających szczególne ryzyko narażenia, o których mowa w art. L. 5232-5 kodeksu zdrowia publicznego</w:t>
      </w:r>
    </w:p>
    <w:p w14:paraId="478A9991" w14:textId="77777777" w:rsidR="00A857F7" w:rsidRPr="007779CC" w:rsidRDefault="00A857F7">
      <w:pPr>
        <w:pStyle w:val="SNObjet"/>
        <w:jc w:val="center"/>
        <w:rPr>
          <w:b w:val="0"/>
        </w:rPr>
      </w:pPr>
    </w:p>
    <w:p w14:paraId="4B5AF825" w14:textId="694CEF70" w:rsidR="008347CD" w:rsidRPr="007779CC" w:rsidRDefault="00C46B5B">
      <w:pPr>
        <w:pStyle w:val="SNObjet"/>
        <w:jc w:val="center"/>
      </w:pPr>
      <w:r w:rsidRPr="007779CC">
        <w:rPr>
          <w:b w:val="0"/>
        </w:rPr>
        <w:t xml:space="preserve">NR REF.: </w:t>
      </w:r>
    </w:p>
    <w:p w14:paraId="7BEE793B" w14:textId="1BACFF04" w:rsidR="008347CD" w:rsidRPr="007779CC" w:rsidRDefault="00C46B5B">
      <w:pPr>
        <w:spacing w:before="720" w:after="120"/>
        <w:jc w:val="both"/>
      </w:pPr>
      <w:r w:rsidRPr="007779CC">
        <w:rPr>
          <w:b/>
          <w:i/>
        </w:rPr>
        <w:t>Grupy docelowe:</w:t>
      </w:r>
      <w:r w:rsidRPr="007779CC">
        <w:rPr>
          <w:i/>
        </w:rPr>
        <w:t xml:space="preserve"> wszystkie osoby wprowadzające do obrotu produkty przeznaczone dla konsumentów, które to produkty po zakończeniu procesu produkcji zawierają substancje zakwalifikowane przez francuską Krajową Agencję Bezpieczeństwa Sanitarnego Żywności, Środowiska i Pracy (ANSES) jako substancje, co do których potwierdzono, istnieje domniemanie lub podejrzewa się, że posiadają właściwości zaburzające funkcjonowanie układu hormonalnego</w:t>
      </w:r>
    </w:p>
    <w:p w14:paraId="63145422" w14:textId="56CADA03" w:rsidR="00026E60" w:rsidRPr="007779CC" w:rsidRDefault="00C46B5B" w:rsidP="003A3003">
      <w:pPr>
        <w:spacing w:before="120" w:after="200"/>
        <w:jc w:val="both"/>
        <w:rPr>
          <w:bCs/>
          <w:i/>
          <w:iCs/>
        </w:rPr>
      </w:pPr>
      <w:r w:rsidRPr="007779CC">
        <w:rPr>
          <w:b/>
          <w:i/>
        </w:rPr>
        <w:t>Przedmiot:</w:t>
      </w:r>
      <w:r w:rsidRPr="007779CC">
        <w:rPr>
          <w:i/>
        </w:rPr>
        <w:t xml:space="preserve"> niniejsze rozporządzenie określa:</w:t>
      </w:r>
    </w:p>
    <w:p w14:paraId="72CB79D9" w14:textId="554B37C4" w:rsidR="00026E60" w:rsidRPr="007779CC" w:rsidRDefault="00026E60" w:rsidP="00026E60">
      <w:pPr>
        <w:pStyle w:val="ListParagraph"/>
        <w:numPr>
          <w:ilvl w:val="0"/>
          <w:numId w:val="4"/>
        </w:numPr>
        <w:spacing w:before="120" w:after="200"/>
        <w:jc w:val="both"/>
        <w:rPr>
          <w:i/>
        </w:rPr>
      </w:pPr>
      <w:r w:rsidRPr="007779CC">
        <w:rPr>
          <w:i/>
        </w:rPr>
        <w:t>substancje posiadające właściwości, co do których potwierdzono i istnieje domniemanie, że zaburzają funkcjonowanie układu hormonalnego, o których mowa w art. L. 5232-5 kodeksu zdrowia publicznego i o których obecności w produktach wymienionych w art. R. 5232-19 kodeksu zdrowia publicznego osoby wprowadzające te produkty do obrotu muszą informować opinię publiczną;</w:t>
      </w:r>
    </w:p>
    <w:p w14:paraId="1EEAFD30" w14:textId="650B2653" w:rsidR="00026E60" w:rsidRPr="007779CC" w:rsidRDefault="00026E60" w:rsidP="00026E60">
      <w:pPr>
        <w:pStyle w:val="ListParagraph"/>
        <w:numPr>
          <w:ilvl w:val="0"/>
          <w:numId w:val="4"/>
        </w:numPr>
        <w:jc w:val="both"/>
        <w:rPr>
          <w:bCs/>
          <w:i/>
          <w:iCs/>
        </w:rPr>
      </w:pPr>
      <w:r w:rsidRPr="007779CC">
        <w:rPr>
          <w:i/>
        </w:rPr>
        <w:t>substancje, co do których podejrzewa się, że zaburzają funkcjonowanie układu hormonalnego, o których mowa w art. L. 5232-5 ust. II kodeksu zdrowia publicznego;</w:t>
      </w:r>
    </w:p>
    <w:p w14:paraId="6E3CD793" w14:textId="6D0420B6" w:rsidR="00026E60" w:rsidRPr="007779CC" w:rsidRDefault="00026E60" w:rsidP="00026E60">
      <w:pPr>
        <w:pStyle w:val="ListParagraph"/>
        <w:numPr>
          <w:ilvl w:val="0"/>
          <w:numId w:val="4"/>
        </w:numPr>
        <w:jc w:val="both"/>
        <w:rPr>
          <w:bCs/>
          <w:i/>
          <w:iCs/>
        </w:rPr>
      </w:pPr>
      <w:r w:rsidRPr="007779CC">
        <w:rPr>
          <w:i/>
        </w:rPr>
        <w:t>kategorie produktów o szczególnym ryzyku narażenia, do których ma zastosowanie obowiązek przekazywania informacji na temat obecności substancji, co do których podejrzewa się, że zaburzają funkcjonowanie układu hormonalnego.</w:t>
      </w:r>
      <w:bookmarkStart w:id="0" w:name="move773304541"/>
      <w:bookmarkEnd w:id="0"/>
    </w:p>
    <w:p w14:paraId="5470BC4F" w14:textId="72315F6A" w:rsidR="008347CD" w:rsidRPr="007779CC" w:rsidRDefault="00C46B5B">
      <w:pPr>
        <w:spacing w:before="120" w:after="120"/>
        <w:jc w:val="both"/>
      </w:pPr>
      <w:r w:rsidRPr="007779CC">
        <w:rPr>
          <w:b/>
          <w:i/>
        </w:rPr>
        <w:t>Wejście w życie:</w:t>
      </w:r>
      <w:r w:rsidRPr="007779CC">
        <w:rPr>
          <w:i/>
        </w:rPr>
        <w:t xml:space="preserve"> tekst wchodzi w życie z dniem 1 stycznia 2022 r.</w:t>
      </w:r>
    </w:p>
    <w:p w14:paraId="733E13B9" w14:textId="7E2678C1" w:rsidR="005C023A" w:rsidRPr="007779CC" w:rsidRDefault="00C46B5B" w:rsidP="009934B3">
      <w:pPr>
        <w:spacing w:after="120"/>
        <w:jc w:val="both"/>
        <w:rPr>
          <w:i/>
          <w:iCs/>
        </w:rPr>
      </w:pPr>
      <w:r w:rsidRPr="007779CC">
        <w:rPr>
          <w:b/>
          <w:i/>
        </w:rPr>
        <w:t>Uwaga:</w:t>
      </w:r>
      <w:r w:rsidRPr="007779CC">
        <w:rPr>
          <w:i/>
        </w:rPr>
        <w:t xml:space="preserve"> art. 13 ust. II ustawy nr 2020-105 z dnia 10 lutego 2020 r. o zwalczaniu marnotrawstwa i gospodarce o obiegu zamkniętym przewiduje, że każda osoba wprowadzająca do obrotu produkty przeznaczone dla konsumentów i zawierające substancje, które w ocenie francuskiej Krajowej Agencji Bezpieczeństwa Sanitarnego Żywności, Środowiska i Pracy (ANSES) posiadają właściwości, co do których potwierdzono lub istnieje domniemanie, że zaburzają funkcjonowanie układu hormonalnego, „ma obowiązek publikacji informacji pozwalających na identyfikację obecności takich substancji w produkcie. Publikacja dotyczy każdego odnośnego produktu i ma formę otwartą umożliwiającą łatwe ponowne wykorzystanie i automatyczne przetwarzanie informacji”. Obowiązek ten ma również zastosowanie do niektórych kategorii produktów stwarzających szczególne ryzyko narażenia w odniesieniu do substancji, co do których zgodnie z klasyfikacją ANSES podejrzewa się, że zaburzają funkcjonowanie układu hormonalnego.</w:t>
      </w:r>
    </w:p>
    <w:p w14:paraId="5B62B7D5" w14:textId="4A3BF621" w:rsidR="005C023A" w:rsidRPr="007779CC" w:rsidRDefault="005C023A" w:rsidP="005C023A">
      <w:pPr>
        <w:spacing w:after="120"/>
        <w:jc w:val="both"/>
        <w:rPr>
          <w:i/>
          <w:iCs/>
        </w:rPr>
      </w:pPr>
      <w:r w:rsidRPr="007779CC">
        <w:rPr>
          <w:i/>
        </w:rPr>
        <w:lastRenderedPageBreak/>
        <w:t xml:space="preserve">Obowiązek ten jest zgodny z celami drugiej krajowej strategii w sprawie substancji zaburzających funkcjonowanie układu hormonalnego (SNPE2). Jej celem jest zapewnienie obywatelom przejrzystych informacji na temat obecności substancji o właściwościach zaburzających funkcjonowanie układu hormonalnego w produktach, tj.w substancjach, mieszaninach, wyrobach i środkach spożywczych. </w:t>
      </w:r>
    </w:p>
    <w:p w14:paraId="4B8A6D79" w14:textId="26B4F5AE" w:rsidR="003A3003" w:rsidRPr="007779CC" w:rsidRDefault="00844E8D" w:rsidP="009934B3">
      <w:pPr>
        <w:spacing w:after="120"/>
        <w:jc w:val="both"/>
        <w:rPr>
          <w:bCs/>
          <w:i/>
          <w:iCs/>
        </w:rPr>
      </w:pPr>
      <w:r w:rsidRPr="007779CC">
        <w:rPr>
          <w:i/>
        </w:rPr>
        <w:t>Szczegółowe zasady stosowania tego przepisu zostały określone w art. R. 5232-19 do R. 5232-22 kodeksu zdrowia publicznego. Art. R. 5232-19 stanowi, że wspólne rozporządzenie ministrów odpowiedzialnych za zdrowie i środowisko, na wniosek ANSES, określi:</w:t>
      </w:r>
    </w:p>
    <w:p w14:paraId="0EF9AEBF" w14:textId="6805D919" w:rsidR="00844E8D" w:rsidRPr="007779CC" w:rsidRDefault="005C023A" w:rsidP="003A3003">
      <w:pPr>
        <w:pStyle w:val="ListParagraph"/>
        <w:numPr>
          <w:ilvl w:val="0"/>
          <w:numId w:val="4"/>
        </w:numPr>
        <w:spacing w:after="120"/>
        <w:jc w:val="both"/>
        <w:rPr>
          <w:bCs/>
          <w:i/>
          <w:iCs/>
        </w:rPr>
      </w:pPr>
      <w:r w:rsidRPr="007779CC">
        <w:rPr>
          <w:i/>
        </w:rPr>
        <w:t>wykaz substancji o właściwościach zaburzających funkcjonowanie układu hormonalnego, o których mowa w art. L. 5232-5 ust. I, podzielony na dwie kategorie: potwierdzone i domniemane, według poziomu dowodów naukowych;</w:t>
      </w:r>
    </w:p>
    <w:p w14:paraId="1DD34A14" w14:textId="0439FE39" w:rsidR="003A3003" w:rsidRPr="007779CC" w:rsidRDefault="00840BD7" w:rsidP="003A3003">
      <w:pPr>
        <w:pStyle w:val="ListParagraph"/>
        <w:numPr>
          <w:ilvl w:val="0"/>
          <w:numId w:val="4"/>
        </w:numPr>
        <w:autoSpaceDN w:val="0"/>
        <w:jc w:val="both"/>
        <w:textAlignment w:val="baseline"/>
        <w:rPr>
          <w:bCs/>
          <w:i/>
          <w:iCs/>
        </w:rPr>
      </w:pPr>
      <w:r w:rsidRPr="007779CC">
        <w:rPr>
          <w:i/>
        </w:rPr>
        <w:t xml:space="preserve">wykaz substancji o podejrzewanych właściwościach zaburzających funkcjonowanie układu hormonalnego, o których mowa w art. L. 5232-5; </w:t>
      </w:r>
    </w:p>
    <w:p w14:paraId="62A7D081" w14:textId="4DFAECBB" w:rsidR="003A3003" w:rsidRPr="007779CC" w:rsidRDefault="00840BD7" w:rsidP="003A3003">
      <w:pPr>
        <w:pStyle w:val="ListParagraph"/>
        <w:numPr>
          <w:ilvl w:val="0"/>
          <w:numId w:val="4"/>
        </w:numPr>
        <w:autoSpaceDN w:val="0"/>
        <w:jc w:val="both"/>
        <w:textAlignment w:val="baseline"/>
        <w:rPr>
          <w:bCs/>
          <w:i/>
          <w:iCs/>
        </w:rPr>
      </w:pPr>
      <w:r w:rsidRPr="007779CC">
        <w:rPr>
          <w:i/>
        </w:rPr>
        <w:t>kategorie produktów stwarzających szczególne ryzyko narażenia, o których mowa w art. L. 5232-5 ust. II, w odniesieniu do populacji narażonych, warunków stosowania i usuwania tych produktów oraz innych istotnych kryteriów.</w:t>
      </w:r>
    </w:p>
    <w:p w14:paraId="46CC9886" w14:textId="77777777" w:rsidR="00844E8D" w:rsidRPr="007779CC" w:rsidRDefault="00844E8D">
      <w:pPr>
        <w:spacing w:after="120"/>
        <w:jc w:val="both"/>
        <w:rPr>
          <w:i/>
          <w:iCs/>
        </w:rPr>
      </w:pPr>
    </w:p>
    <w:p w14:paraId="6983208D" w14:textId="6432FC6E" w:rsidR="008347CD" w:rsidRPr="007779CC" w:rsidRDefault="00C46B5B">
      <w:pPr>
        <w:spacing w:after="120"/>
        <w:jc w:val="both"/>
      </w:pPr>
      <w:r w:rsidRPr="007779CC">
        <w:rPr>
          <w:b/>
          <w:i/>
        </w:rPr>
        <w:t>Źródła:</w:t>
      </w:r>
      <w:r w:rsidRPr="007779CC">
        <w:rPr>
          <w:i/>
        </w:rPr>
        <w:t xml:space="preserve"> z tekstem można zapoznać się w witrynie internetowej Légifrance (http://legifrance.gouv.fr).</w:t>
      </w:r>
    </w:p>
    <w:p w14:paraId="6684B3B6" w14:textId="77777777" w:rsidR="008347CD" w:rsidRPr="007779CC" w:rsidRDefault="008347CD">
      <w:pPr>
        <w:pStyle w:val="SNObjet"/>
        <w:rPr>
          <w:b w:val="0"/>
        </w:rPr>
      </w:pPr>
    </w:p>
    <w:p w14:paraId="0BEF3BF1" w14:textId="026CEB60" w:rsidR="008347CD" w:rsidRPr="007779CC" w:rsidRDefault="00C46B5B">
      <w:pPr>
        <w:pStyle w:val="SNObjet"/>
      </w:pPr>
      <w:r w:rsidRPr="007779CC">
        <w:t>Minister Transformacji Ekologicznej oraz Minister Solidarności i Zdrowia,</w:t>
      </w:r>
    </w:p>
    <w:p w14:paraId="73DB3276" w14:textId="475B4219" w:rsidR="007F7405" w:rsidRPr="007779CC" w:rsidRDefault="00C46B5B" w:rsidP="00A42F37">
      <w:pPr>
        <w:pStyle w:val="SNVisa"/>
        <w:ind w:firstLine="708"/>
      </w:pPr>
      <w:r w:rsidRPr="007779CC">
        <w:t>uwzględniając rozporządzenie (WE) nr 1907/2006 Parlamentu Europejskiego i Rady z dnia 18 grudnia 2006 r. w sprawie rejestracji, oceny, udzielania zezwoleń i stosowanych ograniczeń w zakresie chemikaliów (REACH) i utworzenia Europejskiej Agencji Chemikaliów, zmieniające dyrektywę 1999/45/WE oraz uchylające rozporządzenie Rady (EWG) nr 793/93 i rozporządzenie Komisji (WE) nr 1488/94, jak również dyrektywę Rady 76/769/EWG i dyrektywy Komisji 91/155/EWG, 93/67/EWG, 93/105/WE i 2000/21/WE;</w:t>
      </w:r>
    </w:p>
    <w:p w14:paraId="3B2BD5A0" w14:textId="130383A4" w:rsidR="00A14477" w:rsidRPr="007779CC" w:rsidRDefault="00A14477" w:rsidP="00A42F37">
      <w:pPr>
        <w:pStyle w:val="SNVisa"/>
        <w:ind w:firstLine="708"/>
      </w:pPr>
      <w:r w:rsidRPr="007779CC">
        <w:t>uwzględniając rozporządzenie Parlamentu Europejskiego i Rady (WE) nr 1107/2009 z dnia 21 października 2009 r. dotyczące wprowadzania do obrotu środków ochrony roślin i uchylające dyrektywy Rady 79/117/EWG i 91/414/EWG;</w:t>
      </w:r>
    </w:p>
    <w:p w14:paraId="1BAF1F3D" w14:textId="08DDD3CB" w:rsidR="008347CD" w:rsidRPr="007779CC" w:rsidRDefault="007F7405" w:rsidP="00A42F37">
      <w:pPr>
        <w:pStyle w:val="SNVisa"/>
        <w:ind w:firstLine="708"/>
      </w:pPr>
      <w:r w:rsidRPr="007779CC">
        <w:t>uwzględniając rozporządzenie Parlamentu Europejskiego i Rady (UE) nr 528/2012 z dnia 22 maja 2012 r. w sprawie udostępniania na rynku i stosowania produktów biobójczych;</w:t>
      </w:r>
    </w:p>
    <w:p w14:paraId="284E1EE9" w14:textId="12EEA247" w:rsidR="008347CD" w:rsidRPr="007779CC" w:rsidRDefault="00C46B5B" w:rsidP="00A42F37">
      <w:pPr>
        <w:pStyle w:val="SNVisa"/>
        <w:ind w:firstLine="708"/>
      </w:pPr>
      <w:r w:rsidRPr="007779CC">
        <w:t xml:space="preserve">uwzględniając </w:t>
      </w:r>
      <w:bookmarkStart w:id="1" w:name="__DdeLink__11050_299813634"/>
      <w:r w:rsidRPr="007779CC">
        <w:t>kodeks zdrowia publicznego, w szczególności art. L. 5</w:t>
      </w:r>
      <w:bookmarkEnd w:id="1"/>
      <w:r w:rsidRPr="007779CC">
        <w:t>232-5 w brzmieniu wynikającym z art. 13 ustawy nr 2020-105 z dnia 10 lutego 2020 r. o zwalczaniu marnotrawstwa i gospodarce o obiegu zamkniętym, oraz art. R. 5232-19;</w:t>
      </w:r>
    </w:p>
    <w:p w14:paraId="58048984" w14:textId="5480FE12" w:rsidR="008347CD" w:rsidRPr="007779CC" w:rsidRDefault="00414610" w:rsidP="00A42F37">
      <w:pPr>
        <w:pStyle w:val="SNVisa"/>
        <w:ind w:firstLine="708"/>
      </w:pPr>
      <w:r w:rsidRPr="007779CC">
        <w:t>uwzględniając opinię francuskiej Krajowej Agencji Bezpieczeństwa Sanitarnego Żywności, Środowiska i Pracy, wydaną dnia XXXX r.;</w:t>
      </w:r>
    </w:p>
    <w:p w14:paraId="411C619F" w14:textId="77777777" w:rsidR="008347CD" w:rsidRPr="007779CC" w:rsidRDefault="00C46B5B">
      <w:pPr>
        <w:pStyle w:val="SNActe"/>
      </w:pPr>
      <w:r w:rsidRPr="007779CC">
        <w:t>niniejszym rozporządzają, co następuje:</w:t>
      </w:r>
    </w:p>
    <w:p w14:paraId="78D9F457" w14:textId="77777777" w:rsidR="008347CD" w:rsidRPr="007779CC" w:rsidRDefault="008347CD">
      <w:pPr>
        <w:pStyle w:val="SNArticle"/>
      </w:pPr>
    </w:p>
    <w:p w14:paraId="5C7F96CE" w14:textId="77777777" w:rsidR="008347CD" w:rsidRPr="007779CC" w:rsidRDefault="00C46B5B">
      <w:pPr>
        <w:pStyle w:val="SNArticle"/>
      </w:pPr>
      <w:r w:rsidRPr="007779CC">
        <w:t>Artykuł 1</w:t>
      </w:r>
    </w:p>
    <w:p w14:paraId="25C93793" w14:textId="77777777" w:rsidR="00A42F37" w:rsidRPr="007779CC" w:rsidRDefault="00A42F37">
      <w:pPr>
        <w:jc w:val="both"/>
      </w:pPr>
    </w:p>
    <w:p w14:paraId="658E2A64" w14:textId="1473D7BA" w:rsidR="00A42F37" w:rsidRPr="007779CC" w:rsidRDefault="00A42F37" w:rsidP="00F92FDA">
      <w:pPr>
        <w:jc w:val="both"/>
      </w:pPr>
      <w:r w:rsidRPr="007779CC">
        <w:t>Substancje posiadające właściwości, co do których potwierdzono lub istnieje domniemanie, że zaburzają funkcjonowanie układu hormonalnego, o których mowa w art. L. 5232-5 kodeksu zdrowia publicznego, wymieniono w tabeli A załącznika I do niniejszego rozporządzenia.</w:t>
      </w:r>
    </w:p>
    <w:p w14:paraId="1B8D27AD" w14:textId="3F1A9B07" w:rsidR="008347CD" w:rsidRPr="007779CC" w:rsidRDefault="008347CD">
      <w:pPr>
        <w:jc w:val="both"/>
      </w:pPr>
    </w:p>
    <w:p w14:paraId="7ABA31A2" w14:textId="540F08BD" w:rsidR="003A3003" w:rsidRPr="007779CC" w:rsidRDefault="003A3003">
      <w:pPr>
        <w:jc w:val="both"/>
      </w:pPr>
    </w:p>
    <w:p w14:paraId="1CB2A07C" w14:textId="61E452D4" w:rsidR="00220182" w:rsidRPr="007779CC" w:rsidRDefault="00220182" w:rsidP="00220182">
      <w:pPr>
        <w:pStyle w:val="SNArticle"/>
      </w:pPr>
      <w:r w:rsidRPr="007779CC">
        <w:lastRenderedPageBreak/>
        <w:t>Artykuł 2</w:t>
      </w:r>
    </w:p>
    <w:p w14:paraId="0BC38752" w14:textId="77777777" w:rsidR="00220182" w:rsidRPr="007779CC" w:rsidRDefault="00220182" w:rsidP="00220182">
      <w:pPr>
        <w:jc w:val="both"/>
      </w:pPr>
    </w:p>
    <w:p w14:paraId="29D79603" w14:textId="7710243A" w:rsidR="00220182" w:rsidRPr="007779CC" w:rsidRDefault="00220182" w:rsidP="00220182">
      <w:pPr>
        <w:jc w:val="both"/>
      </w:pPr>
      <w:r w:rsidRPr="007779CC">
        <w:t>Substancje posiadające właściwości, co do których podejrzewa się, że zaburzają funkcjonowanie układu hormonalnego, o których mowa w art. L. 5232-5 ust. II kodeksu zdrowia publicznego, wymieniono w tabeli B załącznika I do niniejszego rozporządzenia.</w:t>
      </w:r>
    </w:p>
    <w:p w14:paraId="414AAF65" w14:textId="77777777" w:rsidR="00840BD7" w:rsidRPr="007779CC" w:rsidRDefault="00840BD7" w:rsidP="00220182">
      <w:pPr>
        <w:jc w:val="both"/>
      </w:pPr>
    </w:p>
    <w:p w14:paraId="414FCA1E" w14:textId="71ABDFE8" w:rsidR="00220182" w:rsidRPr="007779CC" w:rsidRDefault="00220182" w:rsidP="00220182">
      <w:pPr>
        <w:pStyle w:val="SNArticle"/>
      </w:pPr>
      <w:r w:rsidRPr="007779CC">
        <w:t>Artykuł 3</w:t>
      </w:r>
    </w:p>
    <w:p w14:paraId="2D09A589" w14:textId="77777777" w:rsidR="00220182" w:rsidRPr="007779CC" w:rsidRDefault="00220182" w:rsidP="00220182">
      <w:pPr>
        <w:jc w:val="both"/>
      </w:pPr>
    </w:p>
    <w:p w14:paraId="19C5E591" w14:textId="14F23B7A" w:rsidR="00220182" w:rsidRPr="007779CC" w:rsidRDefault="00220182" w:rsidP="00220182">
      <w:pPr>
        <w:jc w:val="both"/>
      </w:pPr>
      <w:r w:rsidRPr="007779CC">
        <w:t>Kategorie produktów stwarzających szczególne ryzyko narażenia, o których mowa w art. L. 5232-5 ust. II kodeksu zdrowia publicznego, wymieniono w załączniku II do niniejszego rozporządzenia.</w:t>
      </w:r>
    </w:p>
    <w:p w14:paraId="1FF4DAAD" w14:textId="21F9B44B" w:rsidR="00220182" w:rsidRPr="007779CC" w:rsidRDefault="00220182" w:rsidP="00220182">
      <w:pPr>
        <w:jc w:val="both"/>
      </w:pPr>
    </w:p>
    <w:p w14:paraId="1137E4CD" w14:textId="3090F12E" w:rsidR="008347CD" w:rsidRPr="007779CC" w:rsidRDefault="00C46B5B">
      <w:pPr>
        <w:pStyle w:val="SNArticle"/>
      </w:pPr>
      <w:r w:rsidRPr="007779CC">
        <w:t>Artykuł 4</w:t>
      </w:r>
    </w:p>
    <w:p w14:paraId="285154DB" w14:textId="77777777" w:rsidR="008347CD" w:rsidRPr="007779CC" w:rsidRDefault="00C46B5B">
      <w:pPr>
        <w:pStyle w:val="SNArticle"/>
        <w:jc w:val="left"/>
        <w:rPr>
          <w:b w:val="0"/>
        </w:rPr>
      </w:pPr>
      <w:r w:rsidRPr="007779CC">
        <w:rPr>
          <w:b w:val="0"/>
        </w:rPr>
        <w:t xml:space="preserve">Przepisy niniejszego rozporządzenia wchodzą w życie z dniem 1 stycznia 2022 r. </w:t>
      </w:r>
    </w:p>
    <w:p w14:paraId="716A6006" w14:textId="77777777" w:rsidR="009F20C4" w:rsidRPr="007779CC" w:rsidRDefault="009F20C4">
      <w:pPr>
        <w:pStyle w:val="SNArticle"/>
      </w:pPr>
    </w:p>
    <w:p w14:paraId="1DE0912A" w14:textId="43814AF3" w:rsidR="008347CD" w:rsidRPr="007779CC" w:rsidRDefault="00C46B5B">
      <w:pPr>
        <w:pStyle w:val="SNArticle"/>
      </w:pPr>
      <w:r w:rsidRPr="007779CC">
        <w:t>Artykuł 5</w:t>
      </w:r>
    </w:p>
    <w:p w14:paraId="4B2DBBEB" w14:textId="77777777" w:rsidR="008347CD" w:rsidRPr="007779CC" w:rsidRDefault="00C46B5B">
      <w:pPr>
        <w:pStyle w:val="BodyText"/>
        <w:jc w:val="both"/>
      </w:pPr>
      <w:r w:rsidRPr="007779CC">
        <w:t xml:space="preserve">Niniejsze rozporządzenie zostanie opublikowane w </w:t>
      </w:r>
      <w:r w:rsidRPr="007779CC">
        <w:rPr>
          <w:i/>
        </w:rPr>
        <w:t>Dzienniku Urzędowym</w:t>
      </w:r>
      <w:r w:rsidRPr="007779CC">
        <w:t xml:space="preserve"> Republiki Francuskiej.</w:t>
      </w:r>
    </w:p>
    <w:p w14:paraId="348F0109" w14:textId="121A36A3" w:rsidR="008347CD" w:rsidRPr="007779CC" w:rsidRDefault="008347CD" w:rsidP="0005179D">
      <w:pPr>
        <w:tabs>
          <w:tab w:val="left" w:pos="5685"/>
        </w:tabs>
      </w:pPr>
    </w:p>
    <w:p w14:paraId="6D2787DD" w14:textId="77777777" w:rsidR="008347CD" w:rsidRPr="007779CC" w:rsidRDefault="008347CD"/>
    <w:p w14:paraId="20942212" w14:textId="77777777" w:rsidR="008347CD" w:rsidRPr="007779CC" w:rsidRDefault="00C46B5B">
      <w:pPr>
        <w:ind w:firstLine="540"/>
      </w:pPr>
      <w:r w:rsidRPr="007779CC">
        <w:t xml:space="preserve">Sporządzono w dniu [data] r. </w:t>
      </w:r>
    </w:p>
    <w:p w14:paraId="6DEBDEE2" w14:textId="77777777" w:rsidR="008347CD" w:rsidRPr="007779CC" w:rsidRDefault="008347CD">
      <w:pPr>
        <w:ind w:left="539"/>
      </w:pPr>
    </w:p>
    <w:p w14:paraId="0CD275D9" w14:textId="77777777" w:rsidR="008347CD" w:rsidRPr="007779CC" w:rsidRDefault="008347CD">
      <w:pPr>
        <w:pStyle w:val="SNSignatureGauche"/>
        <w:ind w:left="539"/>
      </w:pPr>
    </w:p>
    <w:p w14:paraId="00FFAF1F" w14:textId="77777777" w:rsidR="008347CD" w:rsidRPr="007779CC" w:rsidRDefault="008347CD">
      <w:pPr>
        <w:pStyle w:val="SNSignatureGauche"/>
        <w:ind w:left="539"/>
      </w:pPr>
    </w:p>
    <w:p w14:paraId="6BEDEEF5" w14:textId="25330FB5" w:rsidR="008347CD" w:rsidRPr="007779CC" w:rsidRDefault="00C46B5B">
      <w:pPr>
        <w:pStyle w:val="SNSignatureGauche"/>
        <w:ind w:left="539"/>
      </w:pPr>
      <w:r w:rsidRPr="007779CC">
        <w:t>Minister Transformacji Ekologicznej</w:t>
      </w:r>
    </w:p>
    <w:p w14:paraId="21F51DC6" w14:textId="77777777" w:rsidR="008347CD" w:rsidRPr="007779CC" w:rsidRDefault="00C46B5B">
      <w:pPr>
        <w:pStyle w:val="SNSignatureDroite"/>
        <w:ind w:left="539" w:firstLine="0"/>
      </w:pPr>
      <w:r w:rsidRPr="007779CC">
        <w:t>W imieniu Ministra i z jego upoważnienia:</w:t>
      </w:r>
    </w:p>
    <w:p w14:paraId="5384022E" w14:textId="77777777" w:rsidR="008347CD" w:rsidRPr="007779CC" w:rsidRDefault="00C46B5B">
      <w:pPr>
        <w:pStyle w:val="SNSignatureDroite"/>
        <w:ind w:left="539" w:firstLine="0"/>
      </w:pPr>
      <w:r w:rsidRPr="007779CC">
        <w:t>Dyrektor Generalny ds. Zapobiegania Ryzyku</w:t>
      </w:r>
    </w:p>
    <w:p w14:paraId="0A5482F8" w14:textId="77777777" w:rsidR="008347CD" w:rsidRPr="007779CC" w:rsidRDefault="008347CD">
      <w:pPr>
        <w:pStyle w:val="SNSignatureGauche"/>
        <w:ind w:left="539"/>
      </w:pPr>
    </w:p>
    <w:p w14:paraId="673118EB" w14:textId="77777777" w:rsidR="008347CD" w:rsidRPr="007779CC" w:rsidRDefault="008347CD">
      <w:pPr>
        <w:pStyle w:val="SNSignatureDroite"/>
        <w:ind w:left="539" w:firstLine="0"/>
      </w:pPr>
    </w:p>
    <w:p w14:paraId="6195CB62" w14:textId="77777777" w:rsidR="008347CD" w:rsidRPr="007779CC" w:rsidRDefault="008347CD">
      <w:pPr>
        <w:pStyle w:val="SNSignatureGauche"/>
        <w:ind w:left="539"/>
      </w:pPr>
    </w:p>
    <w:p w14:paraId="4AA84A8A" w14:textId="77777777" w:rsidR="008347CD" w:rsidRPr="007779CC" w:rsidRDefault="00C46B5B">
      <w:pPr>
        <w:pStyle w:val="SNSignatureDroite"/>
        <w:ind w:left="539" w:firstLine="0"/>
      </w:pPr>
      <w:r w:rsidRPr="007779CC">
        <w:t>Cédric Bourillet</w:t>
      </w:r>
    </w:p>
    <w:p w14:paraId="3540651A" w14:textId="77777777" w:rsidR="008347CD" w:rsidRPr="007779CC" w:rsidRDefault="008347CD">
      <w:pPr>
        <w:ind w:left="539"/>
      </w:pPr>
    </w:p>
    <w:p w14:paraId="02736F8A" w14:textId="77777777" w:rsidR="008347CD" w:rsidRPr="007779CC" w:rsidRDefault="008347CD">
      <w:pPr>
        <w:ind w:left="539"/>
      </w:pPr>
    </w:p>
    <w:p w14:paraId="218AB37D" w14:textId="77777777" w:rsidR="008347CD" w:rsidRPr="007779CC" w:rsidRDefault="008347CD">
      <w:pPr>
        <w:ind w:left="539"/>
      </w:pPr>
    </w:p>
    <w:p w14:paraId="61147849" w14:textId="32EE603B" w:rsidR="008347CD" w:rsidRPr="007779CC" w:rsidRDefault="00305F8C" w:rsidP="009934B3">
      <w:pPr>
        <w:ind w:left="539"/>
      </w:pPr>
      <w:r w:rsidRPr="007779CC">
        <w:t>Minister Solidarności i Zdrowia</w:t>
      </w:r>
    </w:p>
    <w:p w14:paraId="69576A00" w14:textId="7DEE8A3A" w:rsidR="008347CD" w:rsidRPr="007779CC" w:rsidRDefault="00C46B5B" w:rsidP="009934B3">
      <w:pPr>
        <w:ind w:left="539"/>
      </w:pPr>
      <w:r w:rsidRPr="007779CC">
        <w:t>W imieniu Ministra i z jego upoważnienia:</w:t>
      </w:r>
    </w:p>
    <w:p w14:paraId="598A67E7" w14:textId="77777777" w:rsidR="008347CD" w:rsidRPr="007779CC" w:rsidRDefault="00C46B5B" w:rsidP="009934B3">
      <w:pPr>
        <w:ind w:left="539"/>
      </w:pPr>
      <w:r w:rsidRPr="007779CC">
        <w:t>Dyrektor Generalny ds. Zdrowia</w:t>
      </w:r>
    </w:p>
    <w:p w14:paraId="2DC0E3F5" w14:textId="77777777" w:rsidR="008347CD" w:rsidRPr="007779CC" w:rsidRDefault="008347CD" w:rsidP="009934B3">
      <w:pPr>
        <w:ind w:left="539"/>
      </w:pPr>
    </w:p>
    <w:p w14:paraId="5BF5FC14" w14:textId="77777777" w:rsidR="008347CD" w:rsidRPr="007779CC" w:rsidRDefault="008347CD" w:rsidP="009934B3">
      <w:pPr>
        <w:ind w:left="539"/>
      </w:pPr>
    </w:p>
    <w:p w14:paraId="06D46F73" w14:textId="77777777" w:rsidR="008347CD" w:rsidRPr="007779CC" w:rsidRDefault="008347CD" w:rsidP="009934B3">
      <w:pPr>
        <w:ind w:left="539"/>
      </w:pPr>
    </w:p>
    <w:p w14:paraId="1EC43CA3" w14:textId="26DC16E0" w:rsidR="008347CD" w:rsidRPr="007779CC" w:rsidRDefault="00C46B5B" w:rsidP="009934B3">
      <w:pPr>
        <w:ind w:left="539"/>
      </w:pPr>
      <w:r w:rsidRPr="007779CC">
        <w:t>Jérôme SALOMON</w:t>
      </w:r>
    </w:p>
    <w:p w14:paraId="646663AB" w14:textId="470A7E39" w:rsidR="0091346D" w:rsidRPr="007779CC" w:rsidRDefault="0091346D" w:rsidP="009934B3">
      <w:pPr>
        <w:ind w:left="539"/>
      </w:pPr>
    </w:p>
    <w:p w14:paraId="78992825" w14:textId="26A612AC" w:rsidR="0091346D" w:rsidRPr="007779CC" w:rsidRDefault="0091346D" w:rsidP="009934B3">
      <w:pPr>
        <w:ind w:left="539"/>
      </w:pPr>
    </w:p>
    <w:p w14:paraId="4C271472" w14:textId="12482997" w:rsidR="0091346D" w:rsidRPr="007779CC" w:rsidRDefault="0091346D" w:rsidP="009934B3">
      <w:pPr>
        <w:ind w:left="539"/>
      </w:pPr>
    </w:p>
    <w:p w14:paraId="757046F7" w14:textId="6F5F6C03" w:rsidR="0091346D" w:rsidRPr="007779CC" w:rsidRDefault="0091346D" w:rsidP="009934B3">
      <w:pPr>
        <w:ind w:left="539"/>
      </w:pPr>
    </w:p>
    <w:p w14:paraId="30CBFC27" w14:textId="77777777" w:rsidR="009F20C4" w:rsidRPr="007779CC" w:rsidRDefault="009F20C4" w:rsidP="009934B3">
      <w:pPr>
        <w:ind w:left="539"/>
      </w:pPr>
    </w:p>
    <w:p w14:paraId="203CF528" w14:textId="77777777" w:rsidR="009F20C4" w:rsidRPr="007779CC" w:rsidRDefault="009F20C4" w:rsidP="009934B3">
      <w:pPr>
        <w:ind w:left="539"/>
      </w:pPr>
    </w:p>
    <w:p w14:paraId="55CCE532" w14:textId="77777777" w:rsidR="009F20C4" w:rsidRPr="007779CC" w:rsidRDefault="009F20C4" w:rsidP="009934B3">
      <w:pPr>
        <w:ind w:left="539"/>
      </w:pPr>
    </w:p>
    <w:p w14:paraId="75D34D20" w14:textId="77777777" w:rsidR="009F20C4" w:rsidRPr="007779CC" w:rsidRDefault="009F20C4" w:rsidP="009934B3">
      <w:pPr>
        <w:ind w:left="539"/>
      </w:pPr>
    </w:p>
    <w:p w14:paraId="093B3990" w14:textId="77777777" w:rsidR="009F20C4" w:rsidRPr="007779CC" w:rsidRDefault="009F20C4" w:rsidP="009934B3">
      <w:pPr>
        <w:ind w:left="539"/>
      </w:pPr>
    </w:p>
    <w:p w14:paraId="0EB4AC6D" w14:textId="77777777" w:rsidR="009F20C4" w:rsidRPr="007779CC" w:rsidRDefault="009F20C4" w:rsidP="009934B3">
      <w:pPr>
        <w:ind w:left="539"/>
      </w:pPr>
    </w:p>
    <w:p w14:paraId="07DFCF09" w14:textId="77777777" w:rsidR="009F20C4" w:rsidRPr="007779CC" w:rsidRDefault="009F20C4" w:rsidP="009934B3">
      <w:pPr>
        <w:ind w:left="539"/>
      </w:pPr>
    </w:p>
    <w:p w14:paraId="7290D6B3" w14:textId="0CC5E208" w:rsidR="0091346D" w:rsidRPr="007779CC" w:rsidRDefault="00F9491E" w:rsidP="009934B3">
      <w:pPr>
        <w:ind w:left="539"/>
      </w:pPr>
      <w:r w:rsidRPr="007779CC">
        <w:lastRenderedPageBreak/>
        <w:t xml:space="preserve">Załączniki </w:t>
      </w:r>
    </w:p>
    <w:p w14:paraId="6EA669F8" w14:textId="77777777" w:rsidR="0091346D" w:rsidRPr="007779CC" w:rsidRDefault="0091346D" w:rsidP="009934B3">
      <w:pPr>
        <w:ind w:left="539"/>
      </w:pPr>
    </w:p>
    <w:p w14:paraId="7CD2C0F1" w14:textId="77777777" w:rsidR="0091346D" w:rsidRPr="007779CC" w:rsidRDefault="0091346D" w:rsidP="009934B3">
      <w:pPr>
        <w:ind w:left="539"/>
      </w:pPr>
    </w:p>
    <w:p w14:paraId="3ABF99B7" w14:textId="4BA3CD32" w:rsidR="0091346D" w:rsidRPr="007779CC" w:rsidRDefault="0091346D" w:rsidP="00F92FDA">
      <w:pPr>
        <w:ind w:left="539"/>
        <w:jc w:val="both"/>
      </w:pPr>
      <w:r w:rsidRPr="007779CC">
        <w:t>Załącznik I: Wykaz substancji o właściwościach zaburzających funkcjonowanie układu hormonalnego, o których mowa w art. l. 5232-5 ust. I i II kodeksu zdrowia publicznego</w:t>
      </w:r>
    </w:p>
    <w:p w14:paraId="225B512E" w14:textId="24460C4F" w:rsidR="0091346D" w:rsidRPr="007779CC" w:rsidRDefault="0091346D" w:rsidP="00F92FDA">
      <w:pPr>
        <w:ind w:left="539"/>
        <w:jc w:val="both"/>
      </w:pPr>
    </w:p>
    <w:p w14:paraId="2E52E7D3" w14:textId="52D8F88D" w:rsidR="0091346D" w:rsidRPr="007779CC" w:rsidRDefault="0091346D" w:rsidP="00F92FDA">
      <w:pPr>
        <w:ind w:left="539"/>
        <w:jc w:val="both"/>
      </w:pPr>
      <w:r w:rsidRPr="007779CC">
        <w:t>TABELA A: Wykaz substancji posiadających właściwości, co do których potwierdzono lub istnieje domniemanie, że zaburzają funkcjonowanie układu hormonalnego, o których mowa w art. L. 5232-5 kodeksu zdrowia publicznego</w:t>
      </w:r>
    </w:p>
    <w:p w14:paraId="07AAC79F" w14:textId="3DB8C2F4" w:rsidR="0091346D" w:rsidRPr="007779CC" w:rsidRDefault="0091346D" w:rsidP="009934B3">
      <w:pPr>
        <w:ind w:left="539"/>
      </w:pPr>
    </w:p>
    <w:tbl>
      <w:tblPr>
        <w:tblStyle w:val="TableGrid"/>
        <w:tblW w:w="0" w:type="auto"/>
        <w:tblInd w:w="539" w:type="dxa"/>
        <w:tblLook w:val="04A0" w:firstRow="1" w:lastRow="0" w:firstColumn="1" w:lastColumn="0" w:noHBand="0" w:noVBand="1"/>
      </w:tblPr>
      <w:tblGrid>
        <w:gridCol w:w="3449"/>
        <w:gridCol w:w="2680"/>
        <w:gridCol w:w="2676"/>
      </w:tblGrid>
      <w:tr w:rsidR="00F92FDA" w:rsidRPr="007779CC" w14:paraId="4DF6403F" w14:textId="602410DF" w:rsidTr="00A95817">
        <w:tc>
          <w:tcPr>
            <w:tcW w:w="3449" w:type="dxa"/>
          </w:tcPr>
          <w:p w14:paraId="36C34FAB" w14:textId="20DA6C2C" w:rsidR="00F92FDA" w:rsidRPr="007779CC" w:rsidRDefault="00F92FDA" w:rsidP="00840BD7">
            <w:pPr>
              <w:jc w:val="center"/>
              <w:rPr>
                <w:b/>
                <w:sz w:val="20"/>
                <w:szCs w:val="20"/>
              </w:rPr>
            </w:pPr>
            <w:r w:rsidRPr="007779CC">
              <w:rPr>
                <w:b/>
                <w:sz w:val="20"/>
              </w:rPr>
              <w:t>Nazwa substancji</w:t>
            </w:r>
          </w:p>
        </w:tc>
        <w:tc>
          <w:tcPr>
            <w:tcW w:w="2680" w:type="dxa"/>
          </w:tcPr>
          <w:p w14:paraId="133DF615" w14:textId="6C64F141" w:rsidR="00F92FDA" w:rsidRPr="007779CC" w:rsidRDefault="00F92FDA" w:rsidP="00840BD7">
            <w:pPr>
              <w:jc w:val="center"/>
              <w:rPr>
                <w:b/>
                <w:sz w:val="20"/>
                <w:szCs w:val="20"/>
              </w:rPr>
            </w:pPr>
            <w:r w:rsidRPr="007779CC">
              <w:rPr>
                <w:b/>
                <w:sz w:val="20"/>
              </w:rPr>
              <w:t>Numer CAS</w:t>
            </w:r>
          </w:p>
        </w:tc>
        <w:tc>
          <w:tcPr>
            <w:tcW w:w="2676" w:type="dxa"/>
          </w:tcPr>
          <w:p w14:paraId="62A8287B" w14:textId="4A5E46C1" w:rsidR="00F92FDA" w:rsidRPr="007779CC" w:rsidRDefault="00E93CF9" w:rsidP="00840BD7">
            <w:pPr>
              <w:jc w:val="center"/>
              <w:rPr>
                <w:b/>
                <w:sz w:val="20"/>
                <w:szCs w:val="20"/>
              </w:rPr>
            </w:pPr>
            <w:r w:rsidRPr="007779CC">
              <w:rPr>
                <w:b/>
                <w:sz w:val="20"/>
              </w:rPr>
              <w:t>Numer WE</w:t>
            </w:r>
          </w:p>
        </w:tc>
      </w:tr>
      <w:tr w:rsidR="00E93CF9" w:rsidRPr="007779CC" w14:paraId="56F53086" w14:textId="77777777" w:rsidTr="00A95817">
        <w:tc>
          <w:tcPr>
            <w:tcW w:w="3449" w:type="dxa"/>
          </w:tcPr>
          <w:p w14:paraId="2C5938A8" w14:textId="047E872C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4,4-(1-metylopropylideno)bisfenol</w:t>
            </w:r>
          </w:p>
        </w:tc>
        <w:tc>
          <w:tcPr>
            <w:tcW w:w="2680" w:type="dxa"/>
          </w:tcPr>
          <w:p w14:paraId="75DF6097" w14:textId="4C4B61B0" w:rsidR="00E93CF9" w:rsidRPr="007779CC" w:rsidRDefault="00E93CF9" w:rsidP="00E93CF9">
            <w:pPr>
              <w:jc w:val="center"/>
              <w:rPr>
                <w:color w:val="auto"/>
                <w:sz w:val="20"/>
                <w:szCs w:val="20"/>
              </w:rPr>
            </w:pPr>
            <w:r w:rsidRPr="007779CC">
              <w:rPr>
                <w:color w:val="auto"/>
                <w:sz w:val="20"/>
              </w:rPr>
              <w:t>77-40-7</w:t>
            </w:r>
          </w:p>
        </w:tc>
        <w:tc>
          <w:tcPr>
            <w:tcW w:w="2676" w:type="dxa"/>
          </w:tcPr>
          <w:p w14:paraId="15897FB6" w14:textId="02EF7847" w:rsidR="00E93CF9" w:rsidRPr="007779CC" w:rsidRDefault="00E93CF9" w:rsidP="00E93CF9">
            <w:pPr>
              <w:jc w:val="center"/>
              <w:rPr>
                <w:color w:val="auto"/>
                <w:sz w:val="20"/>
                <w:szCs w:val="20"/>
              </w:rPr>
            </w:pPr>
            <w:r w:rsidRPr="007779CC">
              <w:rPr>
                <w:color w:val="auto"/>
                <w:sz w:val="20"/>
              </w:rPr>
              <w:t>201-025-1</w:t>
            </w:r>
          </w:p>
        </w:tc>
      </w:tr>
      <w:tr w:rsidR="00E93CF9" w:rsidRPr="007779CC" w14:paraId="7FE6D8F2" w14:textId="6825DEFB" w:rsidTr="00A95817">
        <w:tc>
          <w:tcPr>
            <w:tcW w:w="3449" w:type="dxa"/>
          </w:tcPr>
          <w:p w14:paraId="680D6D7E" w14:textId="77777777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Fosforyn tris(4-nonylofenyl, rozgałęziony i liniowy) (TNPP) o zawartości co najmniej 0,1 % m/m 4-nonylofenolu, rozgałęzionego i liniowego (4-NP)</w:t>
            </w:r>
          </w:p>
          <w:p w14:paraId="662E5CB4" w14:textId="77777777" w:rsidR="00E93CF9" w:rsidRPr="007779CC" w:rsidRDefault="00E93CF9" w:rsidP="00E93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Fosforyn tris(4-nonylofenyl, rozgałęziony)</w:t>
            </w:r>
          </w:p>
          <w:p w14:paraId="6F2A5ECF" w14:textId="77777777" w:rsidR="00E93CF9" w:rsidRPr="007779CC" w:rsidRDefault="00E93CF9" w:rsidP="00E93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Fenol, 4-nonylo-, fosforyn (3:1)</w:t>
            </w:r>
          </w:p>
          <w:p w14:paraId="7B0BA21A" w14:textId="3AAF38FF" w:rsidR="00E93CF9" w:rsidRPr="007779CC" w:rsidRDefault="00E93CF9" w:rsidP="00E93CF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Fosforyn tris(nonylofenyl)</w:t>
            </w:r>
          </w:p>
        </w:tc>
        <w:tc>
          <w:tcPr>
            <w:tcW w:w="2680" w:type="dxa"/>
          </w:tcPr>
          <w:p w14:paraId="162D69BA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673DD03F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496AEC42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1689416E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504A4CA9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5F684FB" w14:textId="2A9FD20F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-</w:t>
            </w:r>
          </w:p>
          <w:p w14:paraId="6C8F3D54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7D586553" w14:textId="4EBD0BB2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3050-88-2</w:t>
            </w:r>
          </w:p>
          <w:p w14:paraId="7C685F9A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E8935C4" w14:textId="433420AE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26523-78-4</w:t>
            </w:r>
          </w:p>
        </w:tc>
        <w:tc>
          <w:tcPr>
            <w:tcW w:w="2676" w:type="dxa"/>
          </w:tcPr>
          <w:p w14:paraId="5FD3F30C" w14:textId="77777777" w:rsidR="00E93CF9" w:rsidRPr="007779CC" w:rsidRDefault="00E93CF9" w:rsidP="00E93CF9">
            <w:pPr>
              <w:jc w:val="center"/>
              <w:rPr>
                <w:color w:val="384A53"/>
                <w:sz w:val="20"/>
                <w:szCs w:val="20"/>
              </w:rPr>
            </w:pPr>
          </w:p>
          <w:p w14:paraId="611FFC55" w14:textId="77777777" w:rsidR="00E93CF9" w:rsidRPr="007779CC" w:rsidRDefault="00E93CF9" w:rsidP="00E93CF9">
            <w:pPr>
              <w:jc w:val="center"/>
              <w:rPr>
                <w:color w:val="384A53"/>
                <w:sz w:val="20"/>
                <w:szCs w:val="20"/>
              </w:rPr>
            </w:pPr>
          </w:p>
          <w:p w14:paraId="23203514" w14:textId="77777777" w:rsidR="00E93CF9" w:rsidRPr="007779CC" w:rsidRDefault="00E93CF9" w:rsidP="00E93CF9">
            <w:pPr>
              <w:jc w:val="center"/>
              <w:rPr>
                <w:color w:val="384A53"/>
                <w:sz w:val="20"/>
                <w:szCs w:val="20"/>
              </w:rPr>
            </w:pPr>
          </w:p>
          <w:p w14:paraId="3DB3B8FA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5A526ED2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5A0FED5" w14:textId="5271686F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701-028-2</w:t>
            </w:r>
          </w:p>
          <w:p w14:paraId="63C05D56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2C5CFE8E" w14:textId="65C9A579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608-492-4</w:t>
            </w:r>
          </w:p>
          <w:p w14:paraId="03DE0F1E" w14:textId="7777777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</w:p>
          <w:p w14:paraId="0FE83D65" w14:textId="069E6AE0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247-759-6</w:t>
            </w:r>
          </w:p>
        </w:tc>
      </w:tr>
      <w:tr w:rsidR="00E93CF9" w:rsidRPr="007779CC" w14:paraId="0897E629" w14:textId="5B8808FB" w:rsidTr="00EB2FDE">
        <w:tc>
          <w:tcPr>
            <w:tcW w:w="3449" w:type="dxa"/>
          </w:tcPr>
          <w:p w14:paraId="2952BEDB" w14:textId="77777777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 xml:space="preserve">Produkty reakcji 1,3,4-tiadiazolidyno-2,5-ditionu, formaldehydu i 4-heptylofenolu, rozgałęzionego i liniowego (RP-HP) </w:t>
            </w:r>
          </w:p>
          <w:p w14:paraId="561DC03D" w14:textId="66709812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[z ≥ 0,1 % m/m 4-heptylofenolu, rozgałęzionego i liniowego]</w:t>
            </w:r>
          </w:p>
        </w:tc>
        <w:tc>
          <w:tcPr>
            <w:tcW w:w="2680" w:type="dxa"/>
            <w:vAlign w:val="center"/>
          </w:tcPr>
          <w:p w14:paraId="1D2CFB63" w14:textId="3B133BDB" w:rsidR="00E93CF9" w:rsidRPr="007779CC" w:rsidRDefault="00E93CF9" w:rsidP="00E93CF9">
            <w:pPr>
              <w:pStyle w:val="ListParagraph"/>
              <w:ind w:hanging="845"/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0CCD755B" w14:textId="5C672518" w:rsidR="00E93CF9" w:rsidRPr="007779CC" w:rsidRDefault="00E93CF9" w:rsidP="00E93CF9">
            <w:pPr>
              <w:pStyle w:val="ListParagraph"/>
              <w:ind w:hanging="720"/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-</w:t>
            </w:r>
          </w:p>
        </w:tc>
      </w:tr>
      <w:tr w:rsidR="00E93CF9" w:rsidRPr="007779CC" w14:paraId="02A73360" w14:textId="411BD450" w:rsidTr="00A95817">
        <w:tc>
          <w:tcPr>
            <w:tcW w:w="3449" w:type="dxa"/>
          </w:tcPr>
          <w:p w14:paraId="4665671F" w14:textId="15FFA47B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4-tert-pentylfenol (PTAP)</w:t>
            </w:r>
          </w:p>
        </w:tc>
        <w:tc>
          <w:tcPr>
            <w:tcW w:w="2680" w:type="dxa"/>
            <w:vAlign w:val="center"/>
          </w:tcPr>
          <w:p w14:paraId="71224A09" w14:textId="7C06FC95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80-46-6</w:t>
            </w:r>
          </w:p>
        </w:tc>
        <w:tc>
          <w:tcPr>
            <w:tcW w:w="2676" w:type="dxa"/>
            <w:vAlign w:val="center"/>
          </w:tcPr>
          <w:p w14:paraId="63ACDA00" w14:textId="3314CB6D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201-280-9</w:t>
            </w:r>
          </w:p>
        </w:tc>
      </w:tr>
      <w:tr w:rsidR="00E93CF9" w:rsidRPr="007779CC" w14:paraId="07FA3306" w14:textId="79342323" w:rsidTr="00A95817">
        <w:tc>
          <w:tcPr>
            <w:tcW w:w="3449" w:type="dxa"/>
            <w:vAlign w:val="center"/>
          </w:tcPr>
          <w:p w14:paraId="636A957B" w14:textId="0F92096D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Ftalan diizobutylu (DIBP)</w:t>
            </w:r>
          </w:p>
        </w:tc>
        <w:tc>
          <w:tcPr>
            <w:tcW w:w="2680" w:type="dxa"/>
            <w:vAlign w:val="center"/>
          </w:tcPr>
          <w:p w14:paraId="668D3727" w14:textId="3FCCF2A2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84-69-5</w:t>
            </w:r>
          </w:p>
        </w:tc>
        <w:tc>
          <w:tcPr>
            <w:tcW w:w="2676" w:type="dxa"/>
            <w:vAlign w:val="center"/>
          </w:tcPr>
          <w:p w14:paraId="6035008E" w14:textId="5AA54357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201-553-2</w:t>
            </w:r>
          </w:p>
        </w:tc>
      </w:tr>
      <w:tr w:rsidR="00E93CF9" w:rsidRPr="007779CC" w14:paraId="425C7666" w14:textId="6C6337C0" w:rsidTr="00A95817">
        <w:tc>
          <w:tcPr>
            <w:tcW w:w="3449" w:type="dxa"/>
            <w:vAlign w:val="center"/>
          </w:tcPr>
          <w:p w14:paraId="2484315E" w14:textId="39C8F1D1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Ftalan dicykloheksylu (DCHP)</w:t>
            </w:r>
          </w:p>
        </w:tc>
        <w:tc>
          <w:tcPr>
            <w:tcW w:w="2680" w:type="dxa"/>
            <w:vAlign w:val="center"/>
          </w:tcPr>
          <w:p w14:paraId="0BACDEA1" w14:textId="3485091E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84-61-7</w:t>
            </w:r>
          </w:p>
        </w:tc>
        <w:tc>
          <w:tcPr>
            <w:tcW w:w="2676" w:type="dxa"/>
            <w:vAlign w:val="center"/>
          </w:tcPr>
          <w:p w14:paraId="355EBDBB" w14:textId="6EBB9CB0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201-545-9</w:t>
            </w:r>
          </w:p>
        </w:tc>
      </w:tr>
      <w:tr w:rsidR="00E93CF9" w:rsidRPr="007779CC" w14:paraId="1EEDD8D3" w14:textId="0EA187E0" w:rsidTr="00A95817">
        <w:tc>
          <w:tcPr>
            <w:tcW w:w="3449" w:type="dxa"/>
            <w:vAlign w:val="center"/>
          </w:tcPr>
          <w:p w14:paraId="7036FC18" w14:textId="436DC02A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Ftalan dibutylu (DBP)</w:t>
            </w:r>
          </w:p>
        </w:tc>
        <w:tc>
          <w:tcPr>
            <w:tcW w:w="2680" w:type="dxa"/>
            <w:vAlign w:val="center"/>
          </w:tcPr>
          <w:p w14:paraId="5A8AB5A7" w14:textId="2E76EF25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84-74-2</w:t>
            </w:r>
          </w:p>
        </w:tc>
        <w:tc>
          <w:tcPr>
            <w:tcW w:w="2676" w:type="dxa"/>
            <w:vAlign w:val="center"/>
          </w:tcPr>
          <w:p w14:paraId="65E66727" w14:textId="23C124CD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201-557-4</w:t>
            </w:r>
          </w:p>
        </w:tc>
      </w:tr>
      <w:tr w:rsidR="00E93CF9" w:rsidRPr="007779CC" w14:paraId="529DDB67" w14:textId="531027A5" w:rsidTr="00A95817">
        <w:tc>
          <w:tcPr>
            <w:tcW w:w="3449" w:type="dxa"/>
            <w:vAlign w:val="center"/>
          </w:tcPr>
          <w:p w14:paraId="25A3DAD7" w14:textId="6E54A57D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 xml:space="preserve">Cholekalcyferol </w:t>
            </w:r>
          </w:p>
        </w:tc>
        <w:tc>
          <w:tcPr>
            <w:tcW w:w="2680" w:type="dxa"/>
            <w:vAlign w:val="center"/>
          </w:tcPr>
          <w:p w14:paraId="22976ACA" w14:textId="43AD9574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67-97-0</w:t>
            </w:r>
          </w:p>
        </w:tc>
        <w:tc>
          <w:tcPr>
            <w:tcW w:w="2676" w:type="dxa"/>
            <w:vAlign w:val="center"/>
          </w:tcPr>
          <w:p w14:paraId="2DCDD509" w14:textId="754B59D4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200-673-2</w:t>
            </w:r>
          </w:p>
        </w:tc>
      </w:tr>
      <w:tr w:rsidR="00E93CF9" w:rsidRPr="007779CC" w14:paraId="5B54DEFF" w14:textId="77777777" w:rsidTr="00A95817">
        <w:tc>
          <w:tcPr>
            <w:tcW w:w="3449" w:type="dxa"/>
            <w:vAlign w:val="center"/>
          </w:tcPr>
          <w:p w14:paraId="159E6E20" w14:textId="462AB5BD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4-hydroksybenzoesan butylu</w:t>
            </w:r>
          </w:p>
        </w:tc>
        <w:tc>
          <w:tcPr>
            <w:tcW w:w="2680" w:type="dxa"/>
            <w:vAlign w:val="center"/>
          </w:tcPr>
          <w:p w14:paraId="79F3709A" w14:textId="66C22049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94-26-8</w:t>
            </w:r>
          </w:p>
        </w:tc>
        <w:tc>
          <w:tcPr>
            <w:tcW w:w="2676" w:type="dxa"/>
            <w:vAlign w:val="center"/>
          </w:tcPr>
          <w:p w14:paraId="0B33BFE1" w14:textId="0243ABFA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202-318-7</w:t>
            </w:r>
          </w:p>
        </w:tc>
      </w:tr>
      <w:tr w:rsidR="00E93CF9" w:rsidRPr="007779CC" w14:paraId="13C0F189" w14:textId="77777777" w:rsidTr="00A95817">
        <w:tc>
          <w:tcPr>
            <w:tcW w:w="3449" w:type="dxa"/>
            <w:vAlign w:val="center"/>
          </w:tcPr>
          <w:p w14:paraId="0C63F40B" w14:textId="3A5C7A89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4,4'-izopropylidenodifenol (bisfenol A)</w:t>
            </w:r>
          </w:p>
        </w:tc>
        <w:tc>
          <w:tcPr>
            <w:tcW w:w="2680" w:type="dxa"/>
            <w:vAlign w:val="center"/>
          </w:tcPr>
          <w:p w14:paraId="7195F839" w14:textId="405D7D8A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80-05-7</w:t>
            </w:r>
          </w:p>
        </w:tc>
        <w:tc>
          <w:tcPr>
            <w:tcW w:w="2676" w:type="dxa"/>
            <w:vAlign w:val="center"/>
          </w:tcPr>
          <w:p w14:paraId="2160A5AF" w14:textId="5DA5FBFC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201-245-8</w:t>
            </w:r>
          </w:p>
        </w:tc>
      </w:tr>
      <w:tr w:rsidR="00E93CF9" w:rsidRPr="007779CC" w14:paraId="270E6B64" w14:textId="77777777" w:rsidTr="00A95817">
        <w:tc>
          <w:tcPr>
            <w:tcW w:w="3449" w:type="dxa"/>
            <w:vAlign w:val="center"/>
          </w:tcPr>
          <w:p w14:paraId="4F5992E0" w14:textId="242606A2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Ftalan di-2-etyloheksylu (DEHP)</w:t>
            </w:r>
          </w:p>
        </w:tc>
        <w:tc>
          <w:tcPr>
            <w:tcW w:w="2680" w:type="dxa"/>
            <w:vAlign w:val="center"/>
          </w:tcPr>
          <w:p w14:paraId="3A6479C9" w14:textId="43C0DF1E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117-81-7</w:t>
            </w:r>
          </w:p>
        </w:tc>
        <w:tc>
          <w:tcPr>
            <w:tcW w:w="2676" w:type="dxa"/>
            <w:vAlign w:val="center"/>
          </w:tcPr>
          <w:p w14:paraId="3BA0E8C4" w14:textId="0AE4C2CB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204-211-0</w:t>
            </w:r>
          </w:p>
        </w:tc>
      </w:tr>
      <w:tr w:rsidR="00E93CF9" w:rsidRPr="007779CC" w14:paraId="6797E19F" w14:textId="77777777" w:rsidTr="00A95817">
        <w:tc>
          <w:tcPr>
            <w:tcW w:w="3449" w:type="dxa"/>
            <w:vAlign w:val="center"/>
          </w:tcPr>
          <w:p w14:paraId="29DBA1BA" w14:textId="60CD7756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Ftalan benzylu-butylu (BBP)</w:t>
            </w:r>
          </w:p>
        </w:tc>
        <w:tc>
          <w:tcPr>
            <w:tcW w:w="2680" w:type="dxa"/>
            <w:vAlign w:val="center"/>
          </w:tcPr>
          <w:p w14:paraId="69D82BEB" w14:textId="593C634E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85-68-7</w:t>
            </w:r>
          </w:p>
        </w:tc>
        <w:tc>
          <w:tcPr>
            <w:tcW w:w="2676" w:type="dxa"/>
            <w:vAlign w:val="center"/>
          </w:tcPr>
          <w:p w14:paraId="2519BDED" w14:textId="7CBA8644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201-622-7</w:t>
            </w:r>
          </w:p>
        </w:tc>
      </w:tr>
      <w:tr w:rsidR="00E93CF9" w:rsidRPr="007779CC" w14:paraId="20DA067C" w14:textId="77777777" w:rsidTr="00A95817">
        <w:tc>
          <w:tcPr>
            <w:tcW w:w="3449" w:type="dxa"/>
            <w:vAlign w:val="center"/>
          </w:tcPr>
          <w:p w14:paraId="5FD4C2D6" w14:textId="44B73653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4-tert-butylofenol</w:t>
            </w:r>
          </w:p>
        </w:tc>
        <w:tc>
          <w:tcPr>
            <w:tcW w:w="2680" w:type="dxa"/>
            <w:vAlign w:val="center"/>
          </w:tcPr>
          <w:p w14:paraId="00437B17" w14:textId="1ABDE43A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98-54-4</w:t>
            </w:r>
          </w:p>
        </w:tc>
        <w:tc>
          <w:tcPr>
            <w:tcW w:w="2676" w:type="dxa"/>
            <w:vAlign w:val="center"/>
          </w:tcPr>
          <w:p w14:paraId="37D5D1AF" w14:textId="01E952ED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202-679-0</w:t>
            </w:r>
          </w:p>
        </w:tc>
      </w:tr>
      <w:tr w:rsidR="00E93CF9" w:rsidRPr="007779CC" w14:paraId="5CD11AC7" w14:textId="77777777" w:rsidTr="00A95817">
        <w:tc>
          <w:tcPr>
            <w:tcW w:w="3449" w:type="dxa"/>
            <w:vAlign w:val="center"/>
          </w:tcPr>
          <w:p w14:paraId="595A2B78" w14:textId="338FB50F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4-nonylofenolo etoksylan, rozgałęziony i liniowy, [substancje posiadające liniowy lub rozgałęziony łańcuch alkilowy, składające się z 9 atomów węgla kowalencyjnie związanych w pozycji 4 fenolu, etoksylowane, obejmujące substancje UVCB i dobrze zdefiniowane substancje, polimery i homologi, w tym wszystkie pojedyncze izomery lub ich kombinacje]</w:t>
            </w:r>
          </w:p>
        </w:tc>
        <w:tc>
          <w:tcPr>
            <w:tcW w:w="2680" w:type="dxa"/>
            <w:vAlign w:val="center"/>
          </w:tcPr>
          <w:p w14:paraId="73427E3F" w14:textId="4AAC527B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58F2270E" w14:textId="4C2D10BD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-</w:t>
            </w:r>
          </w:p>
        </w:tc>
      </w:tr>
      <w:tr w:rsidR="00E93CF9" w:rsidRPr="007779CC" w14:paraId="0EE8A2D2" w14:textId="77777777" w:rsidTr="00A95817">
        <w:tc>
          <w:tcPr>
            <w:tcW w:w="3449" w:type="dxa"/>
            <w:vAlign w:val="center"/>
          </w:tcPr>
          <w:p w14:paraId="6ADB878B" w14:textId="3E37E507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4-nonylofenol, rozgałęziony i liniowy [substancje posiadające liniowy lub rozgałęziony łańcuch alkilowy, składające się z 9 atomów węgla kowalencyjnie związanych w pozycji 4 fenolu, etoksylowane, obejmujące substancje UVCB i dobrze zdefiniowane substancje, polimery i homologi, w tym wszystkie pojedyncze izomery lub ich kombinacje]</w:t>
            </w:r>
          </w:p>
        </w:tc>
        <w:tc>
          <w:tcPr>
            <w:tcW w:w="2680" w:type="dxa"/>
            <w:vAlign w:val="center"/>
          </w:tcPr>
          <w:p w14:paraId="02EBD6A3" w14:textId="5BDF1D2B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2C95EE6D" w14:textId="77E800D8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-</w:t>
            </w:r>
          </w:p>
        </w:tc>
      </w:tr>
      <w:tr w:rsidR="00E93CF9" w:rsidRPr="007779CC" w14:paraId="34ADB2EA" w14:textId="77777777" w:rsidTr="00A95817">
        <w:tc>
          <w:tcPr>
            <w:tcW w:w="3449" w:type="dxa"/>
            <w:vAlign w:val="center"/>
          </w:tcPr>
          <w:p w14:paraId="186E43BD" w14:textId="72C542A3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4-heptylofenol, rozgałęziony i liniowy (4-HPbl)</w:t>
            </w:r>
          </w:p>
        </w:tc>
        <w:tc>
          <w:tcPr>
            <w:tcW w:w="2680" w:type="dxa"/>
            <w:vAlign w:val="center"/>
          </w:tcPr>
          <w:p w14:paraId="592958A4" w14:textId="65A8302B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-</w:t>
            </w:r>
          </w:p>
        </w:tc>
        <w:tc>
          <w:tcPr>
            <w:tcW w:w="2676" w:type="dxa"/>
            <w:vAlign w:val="center"/>
          </w:tcPr>
          <w:p w14:paraId="223A6126" w14:textId="1A7544AC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-</w:t>
            </w:r>
          </w:p>
        </w:tc>
      </w:tr>
      <w:tr w:rsidR="00E93CF9" w:rsidRPr="007779CC" w14:paraId="59E6D907" w14:textId="4C7289EB" w:rsidTr="00A95817">
        <w:tc>
          <w:tcPr>
            <w:tcW w:w="3449" w:type="dxa"/>
            <w:vAlign w:val="center"/>
          </w:tcPr>
          <w:p w14:paraId="13239AED" w14:textId="393D7566" w:rsidR="00E93CF9" w:rsidRPr="007779CC" w:rsidRDefault="00E93CF9" w:rsidP="00E93CF9">
            <w:pPr>
              <w:rPr>
                <w:sz w:val="20"/>
                <w:szCs w:val="20"/>
                <w:highlight w:val="yellow"/>
              </w:rPr>
            </w:pPr>
            <w:r w:rsidRPr="007779CC">
              <w:rPr>
                <w:sz w:val="20"/>
              </w:rPr>
              <w:t xml:space="preserve">4-(1,1,3,3-tetrametylobutylo)fenol, etoksylowany – obejmujący dobrze </w:t>
            </w:r>
            <w:r w:rsidRPr="007779CC">
              <w:rPr>
                <w:sz w:val="20"/>
              </w:rPr>
              <w:lastRenderedPageBreak/>
              <w:t>zdefiniowane substancje i UVCB, polimery i substancje homologiczne</w:t>
            </w:r>
          </w:p>
        </w:tc>
        <w:tc>
          <w:tcPr>
            <w:tcW w:w="2680" w:type="dxa"/>
            <w:vAlign w:val="center"/>
          </w:tcPr>
          <w:p w14:paraId="57FB2C7F" w14:textId="07B40523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lastRenderedPageBreak/>
              <w:t>-</w:t>
            </w:r>
          </w:p>
        </w:tc>
        <w:tc>
          <w:tcPr>
            <w:tcW w:w="2676" w:type="dxa"/>
            <w:vAlign w:val="center"/>
          </w:tcPr>
          <w:p w14:paraId="6121D96E" w14:textId="1FD84B09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-</w:t>
            </w:r>
          </w:p>
        </w:tc>
      </w:tr>
      <w:tr w:rsidR="00E93CF9" w:rsidRPr="007779CC" w14:paraId="56B0AACE" w14:textId="77777777" w:rsidTr="00A95817">
        <w:tc>
          <w:tcPr>
            <w:tcW w:w="3449" w:type="dxa"/>
            <w:vAlign w:val="center"/>
          </w:tcPr>
          <w:p w14:paraId="290681DC" w14:textId="74C36D90" w:rsidR="00E93CF9" w:rsidRPr="007779CC" w:rsidRDefault="00E93CF9" w:rsidP="00E93CF9">
            <w:pPr>
              <w:rPr>
                <w:sz w:val="20"/>
                <w:szCs w:val="20"/>
                <w:highlight w:val="yellow"/>
              </w:rPr>
            </w:pPr>
            <w:r w:rsidRPr="007779CC">
              <w:rPr>
                <w:sz w:val="20"/>
              </w:rPr>
              <w:t>4-(1,1,3,3-tetrametylobutylo)fenol</w:t>
            </w:r>
          </w:p>
        </w:tc>
        <w:tc>
          <w:tcPr>
            <w:tcW w:w="2680" w:type="dxa"/>
            <w:vAlign w:val="center"/>
          </w:tcPr>
          <w:p w14:paraId="79B08B3E" w14:textId="6F1EF702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140-66-9</w:t>
            </w:r>
          </w:p>
        </w:tc>
        <w:tc>
          <w:tcPr>
            <w:tcW w:w="2676" w:type="dxa"/>
            <w:vAlign w:val="center"/>
          </w:tcPr>
          <w:p w14:paraId="04DABDD1" w14:textId="11F6E851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205-426-2</w:t>
            </w:r>
          </w:p>
        </w:tc>
      </w:tr>
      <w:tr w:rsidR="00E93CF9" w:rsidRPr="007779CC" w14:paraId="51B46484" w14:textId="77777777" w:rsidTr="00A95817">
        <w:tc>
          <w:tcPr>
            <w:tcW w:w="3449" w:type="dxa"/>
          </w:tcPr>
          <w:p w14:paraId="7C0A8C8B" w14:textId="4716FABC" w:rsidR="00E93CF9" w:rsidRPr="007779CC" w:rsidRDefault="00E93CF9" w:rsidP="00E93CF9">
            <w:pPr>
              <w:rPr>
                <w:sz w:val="20"/>
                <w:szCs w:val="20"/>
              </w:rPr>
            </w:pPr>
            <w:r w:rsidRPr="007779CC">
              <w:rPr>
                <w:sz w:val="20"/>
              </w:rPr>
              <w:t>1,7,7-trimetylo-3-(fenylometyleno)bicyklo[2.2.1]heptan-2-on (3-benzylidenokamfora)</w:t>
            </w:r>
          </w:p>
        </w:tc>
        <w:tc>
          <w:tcPr>
            <w:tcW w:w="2680" w:type="dxa"/>
            <w:vAlign w:val="center"/>
          </w:tcPr>
          <w:p w14:paraId="3BBEB1D3" w14:textId="483B14B6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15087-24-8</w:t>
            </w:r>
          </w:p>
        </w:tc>
        <w:tc>
          <w:tcPr>
            <w:tcW w:w="2676" w:type="dxa"/>
            <w:vAlign w:val="center"/>
          </w:tcPr>
          <w:p w14:paraId="1DB8B2E9" w14:textId="1D96672E" w:rsidR="00E93CF9" w:rsidRPr="007779CC" w:rsidRDefault="00E93CF9" w:rsidP="00E93CF9">
            <w:pPr>
              <w:jc w:val="center"/>
              <w:rPr>
                <w:sz w:val="20"/>
                <w:szCs w:val="20"/>
              </w:rPr>
            </w:pPr>
            <w:r w:rsidRPr="007779CC">
              <w:rPr>
                <w:sz w:val="20"/>
              </w:rPr>
              <w:t>239-139-9</w:t>
            </w:r>
          </w:p>
        </w:tc>
      </w:tr>
    </w:tbl>
    <w:p w14:paraId="3F2D113E" w14:textId="77777777" w:rsidR="00F92FDA" w:rsidRPr="007779CC" w:rsidRDefault="00F92FDA" w:rsidP="009934B3">
      <w:pPr>
        <w:ind w:left="539"/>
      </w:pPr>
    </w:p>
    <w:p w14:paraId="39CDB39E" w14:textId="77777777" w:rsidR="00F92FDA" w:rsidRPr="007779CC" w:rsidRDefault="00F92FDA" w:rsidP="009934B3">
      <w:pPr>
        <w:ind w:left="539"/>
      </w:pPr>
    </w:p>
    <w:p w14:paraId="638D44C7" w14:textId="4FA76721" w:rsidR="0091346D" w:rsidRPr="007779CC" w:rsidRDefault="0091346D" w:rsidP="00F92FDA">
      <w:pPr>
        <w:ind w:left="539"/>
        <w:jc w:val="both"/>
        <w:rPr>
          <w:kern w:val="3"/>
        </w:rPr>
      </w:pPr>
      <w:r w:rsidRPr="007779CC">
        <w:t>TABELA B: Wykaz substancji posiadających właściwości, co do których podejrzewa się, że zaburzają funkcjonowanie układu hormonalnego, o których mowa w art. L. 5232-5 ust. II kodeksu zdrowia publicznego</w:t>
      </w:r>
    </w:p>
    <w:p w14:paraId="642C4104" w14:textId="594CDADD" w:rsidR="0091346D" w:rsidRPr="007779CC" w:rsidRDefault="0091346D" w:rsidP="00F92FDA">
      <w:pPr>
        <w:ind w:left="539"/>
        <w:jc w:val="both"/>
        <w:rPr>
          <w:kern w:val="3"/>
        </w:rPr>
      </w:pPr>
    </w:p>
    <w:tbl>
      <w:tblPr>
        <w:tblStyle w:val="TableGrid"/>
        <w:tblW w:w="0" w:type="auto"/>
        <w:tblInd w:w="539" w:type="dxa"/>
        <w:tblLook w:val="04A0" w:firstRow="1" w:lastRow="0" w:firstColumn="1" w:lastColumn="0" w:noHBand="0" w:noVBand="1"/>
      </w:tblPr>
      <w:tblGrid>
        <w:gridCol w:w="3449"/>
        <w:gridCol w:w="2680"/>
        <w:gridCol w:w="2676"/>
      </w:tblGrid>
      <w:tr w:rsidR="00840BD7" w:rsidRPr="007779CC" w14:paraId="7B8CE649" w14:textId="77777777" w:rsidTr="00540F9C">
        <w:tc>
          <w:tcPr>
            <w:tcW w:w="3449" w:type="dxa"/>
          </w:tcPr>
          <w:p w14:paraId="54F334A4" w14:textId="77777777" w:rsidR="00840BD7" w:rsidRPr="007779CC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779CC">
              <w:rPr>
                <w:b/>
                <w:sz w:val="20"/>
              </w:rPr>
              <w:t>Nazwa substancji</w:t>
            </w:r>
          </w:p>
        </w:tc>
        <w:tc>
          <w:tcPr>
            <w:tcW w:w="2680" w:type="dxa"/>
          </w:tcPr>
          <w:p w14:paraId="11374AFA" w14:textId="77777777" w:rsidR="00840BD7" w:rsidRPr="007779CC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779CC">
              <w:rPr>
                <w:b/>
                <w:sz w:val="20"/>
              </w:rPr>
              <w:t>Numer CAS</w:t>
            </w:r>
          </w:p>
        </w:tc>
        <w:tc>
          <w:tcPr>
            <w:tcW w:w="2676" w:type="dxa"/>
          </w:tcPr>
          <w:p w14:paraId="114412AB" w14:textId="77777777" w:rsidR="00840BD7" w:rsidRPr="007779CC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779CC">
              <w:rPr>
                <w:b/>
                <w:sz w:val="20"/>
              </w:rPr>
              <w:t>Numer WE</w:t>
            </w:r>
          </w:p>
        </w:tc>
      </w:tr>
      <w:tr w:rsidR="00840BD7" w:rsidRPr="007779CC" w14:paraId="564772EC" w14:textId="77777777" w:rsidTr="00540F9C">
        <w:tc>
          <w:tcPr>
            <w:tcW w:w="3449" w:type="dxa"/>
          </w:tcPr>
          <w:p w14:paraId="608C3231" w14:textId="0E10BA61" w:rsidR="00840BD7" w:rsidRPr="007779CC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779CC">
              <w:rPr>
                <w:b/>
                <w:sz w:val="20"/>
              </w:rPr>
              <w:t>-</w:t>
            </w:r>
          </w:p>
        </w:tc>
        <w:tc>
          <w:tcPr>
            <w:tcW w:w="2680" w:type="dxa"/>
          </w:tcPr>
          <w:p w14:paraId="7D6E6933" w14:textId="32CACB45" w:rsidR="00840BD7" w:rsidRPr="007779CC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779CC">
              <w:rPr>
                <w:b/>
                <w:sz w:val="20"/>
              </w:rPr>
              <w:t>-</w:t>
            </w:r>
          </w:p>
        </w:tc>
        <w:tc>
          <w:tcPr>
            <w:tcW w:w="2676" w:type="dxa"/>
          </w:tcPr>
          <w:p w14:paraId="0FC6BCD8" w14:textId="28E4DA1A" w:rsidR="00840BD7" w:rsidRPr="007779CC" w:rsidRDefault="00840BD7" w:rsidP="00540F9C">
            <w:pPr>
              <w:jc w:val="center"/>
              <w:rPr>
                <w:b/>
                <w:sz w:val="20"/>
                <w:szCs w:val="20"/>
              </w:rPr>
            </w:pPr>
            <w:r w:rsidRPr="007779CC">
              <w:rPr>
                <w:b/>
                <w:sz w:val="20"/>
              </w:rPr>
              <w:t>-</w:t>
            </w:r>
          </w:p>
        </w:tc>
      </w:tr>
    </w:tbl>
    <w:p w14:paraId="74753E47" w14:textId="50E31C82" w:rsidR="00840BD7" w:rsidRPr="007779CC" w:rsidRDefault="00840BD7" w:rsidP="00F92FDA">
      <w:pPr>
        <w:ind w:left="539"/>
        <w:jc w:val="both"/>
        <w:rPr>
          <w:kern w:val="3"/>
        </w:rPr>
      </w:pPr>
    </w:p>
    <w:p w14:paraId="32D03191" w14:textId="780A5C7E" w:rsidR="0091346D" w:rsidRPr="007779CC" w:rsidRDefault="0091346D" w:rsidP="00F92FDA">
      <w:pPr>
        <w:ind w:left="539"/>
        <w:jc w:val="both"/>
        <w:rPr>
          <w:kern w:val="3"/>
        </w:rPr>
      </w:pPr>
    </w:p>
    <w:p w14:paraId="3907DAEA" w14:textId="004EC57B" w:rsidR="0091346D" w:rsidRPr="007779CC" w:rsidRDefault="0091346D" w:rsidP="00F92FDA">
      <w:pPr>
        <w:ind w:left="539"/>
        <w:jc w:val="both"/>
        <w:rPr>
          <w:kern w:val="3"/>
        </w:rPr>
      </w:pPr>
      <w:r w:rsidRPr="007779CC">
        <w:t>Załącznik II: Wykaz kategorii produktów stwarzających szczególne ryzyko narażenia, o których mowa w art. L. 5232-5 ust. II kodeksu zdrowia publicznego</w:t>
      </w:r>
    </w:p>
    <w:p w14:paraId="68FABC73" w14:textId="761C6D87" w:rsidR="0091346D" w:rsidRPr="007779CC" w:rsidRDefault="0091346D" w:rsidP="0091346D">
      <w:pPr>
        <w:ind w:left="539"/>
        <w:rPr>
          <w:kern w:val="3"/>
        </w:rPr>
      </w:pPr>
    </w:p>
    <w:p w14:paraId="20C6B0C6" w14:textId="170FAE88" w:rsidR="0091346D" w:rsidRPr="007779CC" w:rsidRDefault="0091346D" w:rsidP="0091346D">
      <w:pPr>
        <w:ind w:left="539"/>
        <w:rPr>
          <w:kern w:val="3"/>
        </w:rPr>
      </w:pPr>
      <w:r w:rsidRPr="007779CC">
        <w:t>Nie dotyczy</w:t>
      </w:r>
    </w:p>
    <w:p w14:paraId="408B3F4A" w14:textId="77777777" w:rsidR="0091346D" w:rsidRPr="007779CC" w:rsidRDefault="0091346D" w:rsidP="0091346D">
      <w:pPr>
        <w:ind w:left="539"/>
      </w:pPr>
    </w:p>
    <w:p w14:paraId="6956F2FB" w14:textId="77777777" w:rsidR="008347CD" w:rsidRPr="007779CC" w:rsidRDefault="008347CD" w:rsidP="0001023B"/>
    <w:sectPr w:rsidR="008347CD" w:rsidRPr="00777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719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1D52" w14:textId="77777777" w:rsidR="000975C5" w:rsidRDefault="000975C5" w:rsidP="00C40AB0">
      <w:r>
        <w:separator/>
      </w:r>
    </w:p>
  </w:endnote>
  <w:endnote w:type="continuationSeparator" w:id="0">
    <w:p w14:paraId="4D6ECFB7" w14:textId="77777777" w:rsidR="000975C5" w:rsidRDefault="000975C5" w:rsidP="00C4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9D72" w14:textId="77777777" w:rsidR="006D6666" w:rsidRDefault="006D6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C441" w14:textId="77777777" w:rsidR="006D6666" w:rsidRDefault="006D6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9A9E" w14:textId="77777777" w:rsidR="006D6666" w:rsidRDefault="006D6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15B1" w14:textId="77777777" w:rsidR="000975C5" w:rsidRDefault="000975C5" w:rsidP="00C40AB0">
      <w:r>
        <w:separator/>
      </w:r>
    </w:p>
  </w:footnote>
  <w:footnote w:type="continuationSeparator" w:id="0">
    <w:p w14:paraId="0C316D79" w14:textId="77777777" w:rsidR="000975C5" w:rsidRDefault="000975C5" w:rsidP="00C4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C0E0" w14:textId="5785586D" w:rsidR="006D6666" w:rsidRDefault="007779CC">
    <w:pPr>
      <w:pStyle w:val="Header"/>
    </w:pPr>
    <w:r>
      <w:pict w14:anchorId="19C938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1" o:spid="_x0000_s1026" type="#_x0000_t136" style="position:absolute;margin-left:0;margin-top:0;width:494.55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4C23" w14:textId="49B06B63" w:rsidR="006D6666" w:rsidRDefault="007779CC">
    <w:pPr>
      <w:pStyle w:val="Header"/>
    </w:pPr>
    <w:r>
      <w:pict w14:anchorId="666B9E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2" o:spid="_x0000_s1027" type="#_x0000_t136" style="position:absolute;margin-left:0;margin-top:0;width:494.55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6F30" w14:textId="56FBCD41" w:rsidR="006D6666" w:rsidRDefault="007779CC">
    <w:pPr>
      <w:pStyle w:val="Header"/>
    </w:pPr>
    <w:r>
      <w:pict w14:anchorId="1D8D7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504000" o:spid="_x0000_s1025" type="#_x0000_t136" style="position:absolute;margin-left:0;margin-top:0;width:494.55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32B42"/>
    <w:multiLevelType w:val="multilevel"/>
    <w:tmpl w:val="6476617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0C7D20"/>
    <w:multiLevelType w:val="hybridMultilevel"/>
    <w:tmpl w:val="0394827E"/>
    <w:lvl w:ilvl="0" w:tplc="AB4E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B4C"/>
    <w:multiLevelType w:val="hybridMultilevel"/>
    <w:tmpl w:val="F254FF98"/>
    <w:lvl w:ilvl="0" w:tplc="445E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4A52"/>
    <w:multiLevelType w:val="hybridMultilevel"/>
    <w:tmpl w:val="F6826CDE"/>
    <w:lvl w:ilvl="0" w:tplc="16D8B0C4">
      <w:start w:val="2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CD"/>
    <w:rsid w:val="0001023B"/>
    <w:rsid w:val="00026E60"/>
    <w:rsid w:val="0005179D"/>
    <w:rsid w:val="000975C5"/>
    <w:rsid w:val="000C4EE6"/>
    <w:rsid w:val="000C5D4F"/>
    <w:rsid w:val="000E5822"/>
    <w:rsid w:val="000F3707"/>
    <w:rsid w:val="001200AE"/>
    <w:rsid w:val="00164440"/>
    <w:rsid w:val="00220182"/>
    <w:rsid w:val="00254416"/>
    <w:rsid w:val="00305F8C"/>
    <w:rsid w:val="003A1DE7"/>
    <w:rsid w:val="003A3003"/>
    <w:rsid w:val="00414610"/>
    <w:rsid w:val="0043139D"/>
    <w:rsid w:val="0050742C"/>
    <w:rsid w:val="00537A63"/>
    <w:rsid w:val="00566851"/>
    <w:rsid w:val="00584953"/>
    <w:rsid w:val="005A35A3"/>
    <w:rsid w:val="005C023A"/>
    <w:rsid w:val="005C464F"/>
    <w:rsid w:val="005E4811"/>
    <w:rsid w:val="005E7BA6"/>
    <w:rsid w:val="00631F42"/>
    <w:rsid w:val="00633D5B"/>
    <w:rsid w:val="006545A0"/>
    <w:rsid w:val="006B2B52"/>
    <w:rsid w:val="006B6ECB"/>
    <w:rsid w:val="006D6666"/>
    <w:rsid w:val="00717AEE"/>
    <w:rsid w:val="007779CC"/>
    <w:rsid w:val="007C13FE"/>
    <w:rsid w:val="007D3B6E"/>
    <w:rsid w:val="007F7405"/>
    <w:rsid w:val="008347CD"/>
    <w:rsid w:val="00840BD7"/>
    <w:rsid w:val="00844E8D"/>
    <w:rsid w:val="008970FC"/>
    <w:rsid w:val="0091346D"/>
    <w:rsid w:val="00972079"/>
    <w:rsid w:val="009934B3"/>
    <w:rsid w:val="009B476C"/>
    <w:rsid w:val="009B5D6C"/>
    <w:rsid w:val="009F0F5C"/>
    <w:rsid w:val="009F20C4"/>
    <w:rsid w:val="00A14477"/>
    <w:rsid w:val="00A42F37"/>
    <w:rsid w:val="00A755A3"/>
    <w:rsid w:val="00A857F7"/>
    <w:rsid w:val="00A95817"/>
    <w:rsid w:val="00B533B8"/>
    <w:rsid w:val="00B96689"/>
    <w:rsid w:val="00C40AB0"/>
    <w:rsid w:val="00C46B5B"/>
    <w:rsid w:val="00CC4ECF"/>
    <w:rsid w:val="00CE2B23"/>
    <w:rsid w:val="00DF04E0"/>
    <w:rsid w:val="00E35F75"/>
    <w:rsid w:val="00E93CF9"/>
    <w:rsid w:val="00ED6EB5"/>
    <w:rsid w:val="00F4110C"/>
    <w:rsid w:val="00F769AF"/>
    <w:rsid w:val="00F92FDA"/>
    <w:rsid w:val="00F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7F6A"/>
  <w15:docId w15:val="{7924B570-3FE3-4D9E-A731-2EF2DC8F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D7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480" w:after="120"/>
      <w:jc w:val="center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NumroLoi">
    <w:name w:val="SNNuméroLoi"/>
    <w:basedOn w:val="Policepardfaut1"/>
    <w:qFormat/>
  </w:style>
  <w:style w:type="character" w:customStyle="1" w:styleId="SNDateSignature">
    <w:name w:val="SNDateSignature"/>
    <w:basedOn w:val="Policepardfaut1"/>
    <w:qFormat/>
  </w:style>
  <w:style w:type="character" w:customStyle="1" w:styleId="SNenProjet">
    <w:name w:val="SNenProjet"/>
    <w:basedOn w:val="Policepardfaut1"/>
    <w:qFormat/>
  </w:style>
  <w:style w:type="character" w:customStyle="1" w:styleId="SNArticleCar">
    <w:name w:val="SNArticle Car"/>
    <w:qFormat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color w:val="00000A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C77DF"/>
    <w:rPr>
      <w:rFonts w:ascii="Times New Roman" w:eastAsia="Times New Roman" w:hAnsi="Times New Roman" w:cs="Times New Roman"/>
      <w:b/>
      <w:bCs/>
      <w:color w:val="00000A"/>
      <w:szCs w:val="20"/>
      <w:lang w:bidi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Rpublique">
    <w:name w:val="République"/>
    <w:basedOn w:val="Normal"/>
    <w:qFormat/>
    <w:pPr>
      <w:widowControl w:val="0"/>
      <w:jc w:val="center"/>
    </w:pPr>
    <w:rPr>
      <w:rFonts w:eastAsia="Lucida Sans Unicode"/>
      <w:b/>
      <w:bCs/>
    </w:rPr>
  </w:style>
  <w:style w:type="paragraph" w:customStyle="1" w:styleId="Ministre">
    <w:name w:val="Ministère"/>
    <w:basedOn w:val="BodyText"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LabelNOR">
    <w:name w:val="Label NOR"/>
    <w:basedOn w:val="Normal"/>
    <w:qFormat/>
    <w:pPr>
      <w:widowControl w:val="0"/>
      <w:suppressLineNumbers/>
      <w:jc w:val="right"/>
    </w:pPr>
    <w:rPr>
      <w:rFonts w:eastAsia="Lucida Sans Unicode"/>
    </w:rPr>
  </w:style>
  <w:style w:type="paragraph" w:customStyle="1" w:styleId="NOR">
    <w:name w:val="NOR"/>
    <w:basedOn w:val="Normal"/>
    <w:qFormat/>
    <w:pPr>
      <w:widowControl w:val="0"/>
      <w:suppressLineNumbers/>
      <w:snapToGrid w:val="0"/>
    </w:pPr>
    <w:rPr>
      <w:rFonts w:eastAsia="Lucida Sans Unicode"/>
    </w:rPr>
  </w:style>
  <w:style w:type="paragraph" w:customStyle="1" w:styleId="Nature">
    <w:name w:val="Nature"/>
    <w:basedOn w:val="Normal"/>
    <w:qFormat/>
    <w:pPr>
      <w:widowControl w:val="0"/>
      <w:suppressLineNumbers/>
      <w:spacing w:before="720" w:after="240"/>
      <w:jc w:val="center"/>
    </w:pPr>
    <w:rPr>
      <w:rFonts w:eastAsia="Lucida Sans Unicode"/>
      <w:b/>
      <w:bCs/>
    </w:rPr>
  </w:style>
  <w:style w:type="paragraph" w:customStyle="1" w:styleId="Objet">
    <w:name w:val="Objet"/>
    <w:basedOn w:val="Normal"/>
    <w:qFormat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Autorit">
    <w:name w:val="Autorité"/>
    <w:basedOn w:val="Normal"/>
    <w:qFormat/>
    <w:pPr>
      <w:spacing w:before="720" w:after="240"/>
      <w:ind w:firstLine="720"/>
    </w:pPr>
    <w:rPr>
      <w:b/>
    </w:rPr>
  </w:style>
  <w:style w:type="paragraph" w:customStyle="1" w:styleId="Visa">
    <w:name w:val="Visa"/>
    <w:basedOn w:val="Normal"/>
    <w:qFormat/>
    <w:pPr>
      <w:spacing w:before="120" w:after="120"/>
      <w:ind w:firstLine="720"/>
    </w:pPr>
  </w:style>
  <w:style w:type="paragraph" w:customStyle="1" w:styleId="Acte">
    <w:name w:val="Acte"/>
    <w:basedOn w:val="Normal"/>
    <w:qFormat/>
    <w:pPr>
      <w:spacing w:before="480" w:after="240"/>
      <w:jc w:val="center"/>
    </w:pPr>
    <w:rPr>
      <w:b/>
    </w:rPr>
  </w:style>
  <w:style w:type="paragraph" w:customStyle="1" w:styleId="Article">
    <w:name w:val="Article"/>
    <w:basedOn w:val="Normal"/>
    <w:qFormat/>
    <w:pPr>
      <w:spacing w:before="240" w:after="240"/>
      <w:jc w:val="center"/>
    </w:pPr>
    <w:rPr>
      <w:b/>
    </w:rPr>
  </w:style>
  <w:style w:type="paragraph" w:customStyle="1" w:styleId="LieuDate">
    <w:name w:val="LieuDate"/>
    <w:basedOn w:val="Normal"/>
    <w:qFormat/>
    <w:pPr>
      <w:spacing w:before="480" w:after="120"/>
      <w:ind w:firstLine="720"/>
    </w:pPr>
  </w:style>
  <w:style w:type="paragraph" w:customStyle="1" w:styleId="SignatureGauche">
    <w:name w:val="SignatureGauche"/>
    <w:basedOn w:val="Normal"/>
    <w:qFormat/>
    <w:pPr>
      <w:spacing w:before="240" w:after="480"/>
      <w:ind w:firstLine="720"/>
    </w:pPr>
  </w:style>
  <w:style w:type="paragraph" w:customStyle="1" w:styleId="SignatureDroite">
    <w:name w:val="SignatureDroite"/>
    <w:basedOn w:val="Normal"/>
    <w:next w:val="SignatureGauche"/>
    <w:qFormat/>
    <w:pPr>
      <w:spacing w:before="240" w:after="480"/>
      <w:jc w:val="right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Consultation">
    <w:name w:val="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Timbre">
    <w:name w:val="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Rapport">
    <w:name w:val="Rapport"/>
    <w:basedOn w:val="Normal"/>
    <w:qFormat/>
    <w:pPr>
      <w:spacing w:before="240" w:after="120"/>
      <w:ind w:firstLine="720"/>
    </w:pPr>
  </w:style>
  <w:style w:type="paragraph" w:customStyle="1" w:styleId="SignatureSolon">
    <w:name w:val="SignatureSolon"/>
    <w:basedOn w:val="Normal"/>
    <w:next w:val="SignatureGauche"/>
    <w:qFormat/>
    <w:pPr>
      <w:spacing w:before="480" w:after="480"/>
      <w:ind w:firstLine="720"/>
    </w:pPr>
  </w:style>
  <w:style w:type="paragraph" w:customStyle="1" w:styleId="Considrant">
    <w:name w:val="Considérant"/>
    <w:basedOn w:val="Normal"/>
    <w:qFormat/>
    <w:pPr>
      <w:ind w:firstLine="720"/>
    </w:pPr>
  </w:style>
  <w:style w:type="paragraph" w:customStyle="1" w:styleId="SignaturePrincipale">
    <w:name w:val="SignaturePrincipale"/>
    <w:basedOn w:val="Normal"/>
    <w:next w:val="SignatureGauche"/>
    <w:qFormat/>
    <w:pPr>
      <w:spacing w:before="480" w:after="480"/>
      <w:ind w:firstLine="720"/>
    </w:pPr>
  </w:style>
  <w:style w:type="paragraph" w:customStyle="1" w:styleId="ConsultationCE">
    <w:name w:val="ConsultationCE"/>
    <w:basedOn w:val="Consultation"/>
    <w:qFormat/>
  </w:style>
  <w:style w:type="paragraph" w:customStyle="1" w:styleId="ConsultationCM">
    <w:name w:val="ConsultationCM"/>
    <w:basedOn w:val="Consultation"/>
    <w:qFormat/>
  </w:style>
  <w:style w:type="paragraph" w:customStyle="1" w:styleId="Direction">
    <w:name w:val="Direction"/>
    <w:basedOn w:val="Normal"/>
    <w:qFormat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qFormat/>
  </w:style>
  <w:style w:type="paragraph" w:customStyle="1" w:styleId="Intitul">
    <w:name w:val="Intitulé"/>
    <w:basedOn w:val="Normal"/>
    <w:qFormat/>
    <w:pPr>
      <w:jc w:val="center"/>
    </w:p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Rpublique">
    <w:name w:val="SNRépublique"/>
    <w:basedOn w:val="Normal"/>
    <w:qFormat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link w:val="SNTimbreCar"/>
    <w:uiPriority w:val="99"/>
    <w:qFormat/>
    <w:pPr>
      <w:widowControl w:val="0"/>
      <w:snapToGrid w:val="0"/>
      <w:ind w:right="-6804"/>
      <w:jc w:val="center"/>
    </w:pPr>
    <w:rPr>
      <w:rFonts w:eastAsia="Lucida Sans Unicode"/>
      <w:b/>
    </w:rPr>
  </w:style>
  <w:style w:type="paragraph" w:customStyle="1" w:styleId="SNLabelNOR">
    <w:name w:val="SNLabelNOR"/>
    <w:basedOn w:val="Normal"/>
    <w:qFormat/>
    <w:pPr>
      <w:widowControl w:val="0"/>
      <w:suppressLineNumbers/>
      <w:jc w:val="right"/>
    </w:pPr>
    <w:rPr>
      <w:rFonts w:eastAsia="Lucida Sans Unicode"/>
    </w:rPr>
  </w:style>
  <w:style w:type="paragraph" w:customStyle="1" w:styleId="SNNOR">
    <w:name w:val="SNNOR"/>
    <w:basedOn w:val="Normal"/>
    <w:qFormat/>
    <w:pPr>
      <w:widowControl w:val="0"/>
      <w:suppressLineNumbers/>
      <w:snapToGrid w:val="0"/>
    </w:pPr>
    <w:rPr>
      <w:rFonts w:eastAsia="Lucida Sans Unicode"/>
    </w:rPr>
  </w:style>
  <w:style w:type="paragraph" w:customStyle="1" w:styleId="SNObjet">
    <w:name w:val="SNObjet"/>
    <w:basedOn w:val="Normal"/>
    <w:qFormat/>
    <w:pPr>
      <w:widowControl w:val="0"/>
      <w:suppressLineNumbers/>
      <w:spacing w:after="119"/>
      <w:jc w:val="both"/>
    </w:pPr>
    <w:rPr>
      <w:rFonts w:eastAsia="Lucida Sans Unicode"/>
      <w:b/>
    </w:rPr>
  </w:style>
  <w:style w:type="paragraph" w:customStyle="1" w:styleId="SNAutorit">
    <w:name w:val="SNAutorité"/>
    <w:basedOn w:val="Normal"/>
    <w:qFormat/>
    <w:pPr>
      <w:spacing w:before="720" w:after="240"/>
      <w:jc w:val="center"/>
    </w:p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jc w:val="both"/>
    </w:pPr>
  </w:style>
  <w:style w:type="paragraph" w:customStyle="1" w:styleId="SNLieuDate">
    <w:name w:val="SNLieuDate"/>
    <w:basedOn w:val="Normal"/>
    <w:qFormat/>
    <w:pPr>
      <w:spacing w:before="480" w:after="120"/>
      <w:ind w:firstLine="720"/>
    </w:pPr>
  </w:style>
  <w:style w:type="paragraph" w:customStyle="1" w:styleId="SNSignaturePrincipale">
    <w:name w:val="SNSignaturePrincipale"/>
    <w:basedOn w:val="Normal"/>
    <w:qFormat/>
    <w:pPr>
      <w:spacing w:before="480" w:after="480"/>
      <w:ind w:firstLine="720"/>
    </w:pPr>
  </w:style>
  <w:style w:type="paragraph" w:customStyle="1" w:styleId="SNSignatureGauche">
    <w:name w:val="SNSignatureGauche"/>
    <w:basedOn w:val="Normal"/>
    <w:qFormat/>
    <w:pPr>
      <w:tabs>
        <w:tab w:val="left" w:pos="5220"/>
      </w:tabs>
      <w:ind w:left="540"/>
    </w:pPr>
  </w:style>
  <w:style w:type="paragraph" w:customStyle="1" w:styleId="SNSignatureDroite">
    <w:name w:val="SNSignatureDroite"/>
    <w:basedOn w:val="Normal"/>
    <w:next w:val="SNSignatureGauche"/>
    <w:qFormat/>
    <w:pPr>
      <w:ind w:firstLine="567"/>
    </w:pPr>
  </w:style>
  <w:style w:type="paragraph" w:customStyle="1" w:styleId="SNActe">
    <w:name w:val="SNActe"/>
    <w:basedOn w:val="Normal"/>
    <w:qFormat/>
    <w:pPr>
      <w:spacing w:before="480" w:after="12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120" w:after="120"/>
      <w:jc w:val="center"/>
    </w:pPr>
    <w:rPr>
      <w:b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Promulgation">
    <w:name w:val="SNPromulga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customStyle="1" w:styleId="SNRfrence">
    <w:name w:val="SNRéférence"/>
    <w:basedOn w:val="Normal"/>
    <w:qFormat/>
  </w:style>
  <w:style w:type="paragraph" w:customStyle="1" w:styleId="SNTravauxPrparatoires">
    <w:name w:val="SNTravauxPréparatoires"/>
    <w:basedOn w:val="SNNature"/>
    <w:qFormat/>
    <w:pPr>
      <w:spacing w:before="0" w:after="0"/>
      <w:jc w:val="left"/>
    </w:pPr>
    <w:rPr>
      <w:b w:val="0"/>
    </w:rPr>
  </w:style>
  <w:style w:type="paragraph" w:styleId="BalloonText">
    <w:name w:val="Balloon Text"/>
    <w:basedOn w:val="Normal"/>
    <w:qFormat/>
    <w:rPr>
      <w:rFonts w:ascii="Tahoma" w:hAnsi="Tahoma" w:cs="Lucida Sans Unicode"/>
      <w:sz w:val="16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Header">
    <w:name w:val="header"/>
    <w:basedOn w:val="Normal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C77DF"/>
    <w:rPr>
      <w:b/>
      <w:bCs/>
    </w:rPr>
  </w:style>
  <w:style w:type="numbering" w:customStyle="1" w:styleId="WW8Num1">
    <w:name w:val="WW8Num1"/>
    <w:qFormat/>
  </w:style>
  <w:style w:type="paragraph" w:customStyle="1" w:styleId="SNREPUBLIQUE">
    <w:name w:val="SNREPUBLIQUE"/>
    <w:basedOn w:val="Normal"/>
    <w:uiPriority w:val="99"/>
    <w:qFormat/>
    <w:rsid w:val="00A857F7"/>
    <w:pPr>
      <w:suppressAutoHyphens w:val="0"/>
      <w:jc w:val="center"/>
    </w:pPr>
    <w:rPr>
      <w:b/>
      <w:bCs/>
      <w:color w:val="auto"/>
      <w:szCs w:val="20"/>
      <w:lang w:eastAsia="fr-FR"/>
    </w:rPr>
  </w:style>
  <w:style w:type="character" w:customStyle="1" w:styleId="SNTimbreCar">
    <w:name w:val="SNTimbre Car"/>
    <w:link w:val="SNTimbre"/>
    <w:uiPriority w:val="99"/>
    <w:locked/>
    <w:rsid w:val="00A857F7"/>
    <w:rPr>
      <w:rFonts w:ascii="Times New Roman" w:eastAsia="Lucida Sans Unicode" w:hAnsi="Times New Roman" w:cs="Times New Roman"/>
      <w:b/>
      <w:color w:val="00000A"/>
      <w:sz w:val="24"/>
      <w:lang w:bidi="ar-SA"/>
    </w:rPr>
  </w:style>
  <w:style w:type="paragraph" w:customStyle="1" w:styleId="m-InterTitre1">
    <w:name w:val="m-InterTitre1"/>
    <w:basedOn w:val="Normal"/>
    <w:next w:val="Normal"/>
    <w:qFormat/>
    <w:rsid w:val="00844E8D"/>
    <w:pPr>
      <w:spacing w:after="260"/>
    </w:pPr>
    <w:rPr>
      <w:rFonts w:ascii="Arial" w:hAnsi="Arial"/>
      <w:b/>
      <w:color w:val="auto"/>
      <w:u w:val="single"/>
      <w:lang w:eastAsia="fr-FR"/>
    </w:rPr>
  </w:style>
  <w:style w:type="paragraph" w:customStyle="1" w:styleId="Standard">
    <w:name w:val="Standard"/>
    <w:rsid w:val="00844E8D"/>
    <w:pPr>
      <w:autoSpaceDN w:val="0"/>
    </w:pPr>
    <w:rPr>
      <w:rFonts w:ascii="Times New Roman" w:eastAsia="Times New Roman" w:hAnsi="Times New Roman" w:cs="Times New Roman"/>
      <w:szCs w:val="20"/>
      <w:lang w:eastAsia="fr-FR" w:bidi="ar-SA"/>
    </w:rPr>
  </w:style>
  <w:style w:type="paragraph" w:styleId="ListParagraph">
    <w:name w:val="List Paragraph"/>
    <w:basedOn w:val="Normal"/>
    <w:uiPriority w:val="34"/>
    <w:qFormat/>
    <w:rsid w:val="00B533B8"/>
    <w:pPr>
      <w:ind w:left="720"/>
      <w:contextualSpacing/>
    </w:pPr>
  </w:style>
  <w:style w:type="table" w:styleId="TableGrid">
    <w:name w:val="Table Grid"/>
    <w:basedOn w:val="TableNormal"/>
    <w:uiPriority w:val="39"/>
    <w:rsid w:val="0091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resdenotedebasdepage">
    <w:name w:val="Caractères de note de bas de page"/>
    <w:rsid w:val="00C40AB0"/>
    <w:rPr>
      <w:vertAlign w:val="superscript"/>
    </w:rPr>
  </w:style>
  <w:style w:type="paragraph" w:styleId="FootnoteText">
    <w:name w:val="footnote text"/>
    <w:basedOn w:val="Normal"/>
    <w:link w:val="FootnoteTextChar"/>
    <w:rsid w:val="00C40AB0"/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0AB0"/>
    <w:rPr>
      <w:rFonts w:ascii="Times New Roman" w:eastAsia="Times New Roman" w:hAnsi="Times New Roman" w:cs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6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66"/>
    <w:rPr>
      <w:rFonts w:ascii="Times New Roman" w:eastAsia="Times New Roman" w:hAnsi="Times New Roman" w:cs="Times New Roman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4411-C50F-4D6A-87F2-801D7DF9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du 26 août 2008</vt:lpstr>
    </vt:vector>
  </TitlesOfParts>
  <Company>MTES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du 26 août 2008</dc:title>
  <dc:subject>fixant la liste des départements où les moustiques constituent une menace pour la santé de la population</dc:subject>
  <dc:creator>BLATON Elisabeth</dc:creator>
  <dc:description/>
  <cp:lastModifiedBy>Dimitris Dimitriadis</cp:lastModifiedBy>
  <cp:revision>7</cp:revision>
  <cp:lastPrinted>2021-09-08T16:41:00Z</cp:lastPrinted>
  <dcterms:created xsi:type="dcterms:W3CDTF">2021-09-08T16:42:00Z</dcterms:created>
  <dcterms:modified xsi:type="dcterms:W3CDTF">2021-11-04T12:38:00Z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MTES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