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27362C" w14:paraId="58F7213C" w14:textId="77777777" w:rsidTr="00A857F7">
        <w:trPr>
          <w:cantSplit/>
        </w:trPr>
        <w:tc>
          <w:tcPr>
            <w:tcW w:w="4338" w:type="dxa"/>
            <w:gridSpan w:val="3"/>
            <w:shd w:val="clear" w:color="auto" w:fill="FFFFFF"/>
            <w:hideMark/>
          </w:tcPr>
          <w:p w14:paraId="091A81ED" w14:textId="77777777" w:rsidR="00A857F7" w:rsidRPr="0027362C" w:rsidRDefault="00A857F7" w:rsidP="00A857F7">
            <w:pPr>
              <w:suppressAutoHyphens w:val="0"/>
              <w:spacing w:line="276" w:lineRule="auto"/>
              <w:jc w:val="center"/>
              <w:rPr>
                <w:b/>
                <w:bCs/>
                <w:color w:val="auto"/>
                <w:szCs w:val="20"/>
              </w:rPr>
            </w:pPr>
            <w:r w:rsidRPr="0027362C">
              <w:rPr>
                <w:b/>
                <w:color w:val="auto"/>
              </w:rPr>
              <w:t>REPUBLIKEN FRANKRIKE</w:t>
            </w:r>
          </w:p>
        </w:tc>
      </w:tr>
      <w:tr w:rsidR="00A857F7" w:rsidRPr="0027362C" w14:paraId="2F616D12" w14:textId="77777777" w:rsidTr="00A857F7">
        <w:trPr>
          <w:cantSplit/>
          <w:trHeight w:hRule="exact" w:val="113"/>
        </w:trPr>
        <w:tc>
          <w:tcPr>
            <w:tcW w:w="1526" w:type="dxa"/>
            <w:shd w:val="clear" w:color="auto" w:fill="FFFFFF"/>
          </w:tcPr>
          <w:p w14:paraId="1BC2E738" w14:textId="77777777" w:rsidR="00A857F7" w:rsidRPr="0027362C"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F2D22D1" w14:textId="77777777" w:rsidR="00A857F7" w:rsidRPr="0027362C"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219D6CBE" w14:textId="77777777" w:rsidR="00A857F7" w:rsidRPr="0027362C"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27362C" w14:paraId="643970B4" w14:textId="77777777" w:rsidTr="00A857F7">
        <w:trPr>
          <w:cantSplit/>
        </w:trPr>
        <w:tc>
          <w:tcPr>
            <w:tcW w:w="4338" w:type="dxa"/>
            <w:gridSpan w:val="3"/>
            <w:shd w:val="clear" w:color="auto" w:fill="FFFFFF"/>
            <w:hideMark/>
          </w:tcPr>
          <w:p w14:paraId="47A22048" w14:textId="77777777" w:rsidR="00A857F7" w:rsidRPr="0027362C" w:rsidRDefault="00A857F7" w:rsidP="00A857F7">
            <w:pPr>
              <w:widowControl w:val="0"/>
              <w:snapToGrid w:val="0"/>
              <w:spacing w:before="120" w:line="276" w:lineRule="auto"/>
              <w:ind w:hanging="57"/>
              <w:jc w:val="center"/>
              <w:rPr>
                <w:rFonts w:eastAsia="Lucida Sans Unicode"/>
                <w:color w:val="auto"/>
              </w:rPr>
            </w:pPr>
            <w:r w:rsidRPr="0027362C">
              <w:rPr>
                <w:color w:val="auto"/>
              </w:rPr>
              <w:t>Ministeriet för ekologisk omställning</w:t>
            </w:r>
          </w:p>
          <w:p w14:paraId="47676278" w14:textId="08532887" w:rsidR="00A857F7" w:rsidRPr="0027362C" w:rsidRDefault="00A857F7" w:rsidP="00972079">
            <w:pPr>
              <w:widowControl w:val="0"/>
              <w:snapToGrid w:val="0"/>
              <w:spacing w:before="120" w:line="276" w:lineRule="auto"/>
              <w:ind w:hanging="57"/>
              <w:jc w:val="center"/>
              <w:rPr>
                <w:rFonts w:eastAsia="Lucida Sans Unicode"/>
                <w:color w:val="auto"/>
              </w:rPr>
            </w:pPr>
            <w:r w:rsidRPr="0027362C">
              <w:rPr>
                <w:color w:val="auto"/>
              </w:rPr>
              <w:t>Ministeriet för solidaritet och hälsa</w:t>
            </w:r>
          </w:p>
        </w:tc>
      </w:tr>
      <w:tr w:rsidR="00A857F7" w:rsidRPr="0027362C" w14:paraId="0D1C3E98" w14:textId="77777777" w:rsidTr="00A857F7">
        <w:trPr>
          <w:cantSplit/>
          <w:trHeight w:hRule="exact" w:val="227"/>
        </w:trPr>
        <w:tc>
          <w:tcPr>
            <w:tcW w:w="1526" w:type="dxa"/>
            <w:shd w:val="clear" w:color="auto" w:fill="FFFFFF"/>
          </w:tcPr>
          <w:p w14:paraId="0AA5A4CD" w14:textId="77777777" w:rsidR="00A857F7" w:rsidRPr="0027362C"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0FB0062C" w14:textId="77777777" w:rsidR="00A857F7" w:rsidRPr="0027362C"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EE97436" w14:textId="77777777" w:rsidR="00A857F7" w:rsidRPr="0027362C"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27362C" w14:paraId="38F1C3CC" w14:textId="77777777" w:rsidTr="00A857F7">
        <w:trPr>
          <w:cantSplit/>
          <w:trHeight w:hRule="exact" w:val="227"/>
        </w:trPr>
        <w:tc>
          <w:tcPr>
            <w:tcW w:w="1526" w:type="dxa"/>
            <w:shd w:val="clear" w:color="auto" w:fill="FFFFFF"/>
          </w:tcPr>
          <w:p w14:paraId="0F9A142E" w14:textId="77777777" w:rsidR="00A857F7" w:rsidRPr="0027362C"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2504DCB7" w14:textId="77777777" w:rsidR="00A857F7" w:rsidRPr="0027362C"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46940E34" w14:textId="77777777" w:rsidR="00A857F7" w:rsidRPr="0027362C" w:rsidRDefault="00A857F7" w:rsidP="00A857F7">
            <w:pPr>
              <w:suppressAutoHyphens w:val="0"/>
              <w:spacing w:after="160" w:line="256" w:lineRule="auto"/>
              <w:rPr>
                <w:rFonts w:ascii="Calibri" w:eastAsia="Calibri" w:hAnsi="Calibri"/>
                <w:color w:val="auto"/>
                <w:sz w:val="22"/>
                <w:szCs w:val="22"/>
                <w:lang w:eastAsia="en-US"/>
              </w:rPr>
            </w:pPr>
          </w:p>
        </w:tc>
      </w:tr>
    </w:tbl>
    <w:p w14:paraId="17EA9DD1" w14:textId="289D73EA" w:rsidR="008347CD" w:rsidRPr="0027362C" w:rsidRDefault="006D6666">
      <w:pPr>
        <w:pStyle w:val="SNNature"/>
      </w:pPr>
      <w:r w:rsidRPr="0027362C">
        <w:t xml:space="preserve">Förslag till förordning </w:t>
      </w:r>
      <w:r w:rsidRPr="0027362C">
        <w:rPr>
          <w:rStyle w:val="SNDateSignature"/>
        </w:rPr>
        <w:t xml:space="preserve">av den </w:t>
      </w:r>
    </w:p>
    <w:p w14:paraId="1EB51F43" w14:textId="190FE6AE" w:rsidR="008347CD" w:rsidRPr="0027362C" w:rsidRDefault="00A857F7">
      <w:pPr>
        <w:pStyle w:val="SNObjet"/>
        <w:jc w:val="center"/>
      </w:pPr>
      <w:r w:rsidRPr="0027362C">
        <w:t>om fastställande av den förteckning över ämnen med hormonstörande egenskaper som avses i artikel L. 5232–5 I och II i folkhälsolagen och de produktkategorier som utgör en särskild risk för exponering enligt artikel L. 5232–5 i folkhälsolagen</w:t>
      </w:r>
    </w:p>
    <w:p w14:paraId="478A9991" w14:textId="77777777" w:rsidR="00A857F7" w:rsidRPr="0027362C" w:rsidRDefault="00A857F7">
      <w:pPr>
        <w:pStyle w:val="SNObjet"/>
        <w:jc w:val="center"/>
        <w:rPr>
          <w:b w:val="0"/>
        </w:rPr>
      </w:pPr>
    </w:p>
    <w:p w14:paraId="4B5AF825" w14:textId="694CEF70" w:rsidR="008347CD" w:rsidRPr="0027362C" w:rsidRDefault="00C46B5B">
      <w:pPr>
        <w:pStyle w:val="SNObjet"/>
        <w:jc w:val="center"/>
      </w:pPr>
      <w:r w:rsidRPr="0027362C">
        <w:rPr>
          <w:b w:val="0"/>
        </w:rPr>
        <w:t xml:space="preserve">NOR: </w:t>
      </w:r>
    </w:p>
    <w:p w14:paraId="7BEE793B" w14:textId="1BACFF04" w:rsidR="008347CD" w:rsidRPr="0027362C" w:rsidRDefault="00C46B5B">
      <w:pPr>
        <w:spacing w:before="720" w:after="120"/>
        <w:jc w:val="both"/>
      </w:pPr>
      <w:r w:rsidRPr="0027362C">
        <w:rPr>
          <w:b/>
          <w:i/>
        </w:rPr>
        <w:t>Berörda personer:</w:t>
      </w:r>
      <w:r w:rsidRPr="0027362C">
        <w:rPr>
          <w:i/>
        </w:rPr>
        <w:t xml:space="preserve"> Varje person som släpper ut produkter på marknaden till konsumenter som efter tillverkningen innehåller ämnen som den franska myndigheten för livsmedels-, miljö- och arbetsmiljöfrågor (ANSES) uppfyller kraven för att ha kontrollerat, förmodat eller misstänkt hormonstörande egenskaper</w:t>
      </w:r>
    </w:p>
    <w:p w14:paraId="63145422" w14:textId="56CADA03" w:rsidR="00026E60" w:rsidRPr="0027362C" w:rsidRDefault="00C46B5B" w:rsidP="003A3003">
      <w:pPr>
        <w:spacing w:before="120" w:after="200"/>
        <w:jc w:val="both"/>
        <w:rPr>
          <w:bCs/>
          <w:i/>
          <w:iCs/>
        </w:rPr>
      </w:pPr>
      <w:r w:rsidRPr="0027362C">
        <w:rPr>
          <w:b/>
          <w:i/>
        </w:rPr>
        <w:t>Syfte:</w:t>
      </w:r>
      <w:r w:rsidRPr="0027362C">
        <w:rPr>
          <w:i/>
        </w:rPr>
        <w:t xml:space="preserve"> Denna order identifierar:</w:t>
      </w:r>
    </w:p>
    <w:p w14:paraId="72CB79D9" w14:textId="554B37C4" w:rsidR="00026E60" w:rsidRPr="0027362C" w:rsidRDefault="00026E60" w:rsidP="00026E60">
      <w:pPr>
        <w:pStyle w:val="ListParagraph"/>
        <w:numPr>
          <w:ilvl w:val="0"/>
          <w:numId w:val="4"/>
        </w:numPr>
        <w:spacing w:before="120" w:after="200"/>
        <w:jc w:val="both"/>
        <w:rPr>
          <w:i/>
        </w:rPr>
      </w:pPr>
      <w:r w:rsidRPr="0027362C">
        <w:rPr>
          <w:i/>
        </w:rPr>
        <w:t>ämnen med hormonstörande egenskaper som klassificeras som kontrollerade och presumerade och som avses i artikel L. 5232–5 i folkhälsolagen, inbegripet information om förekomsten i de produkter som avses i artikel R. 5232–19 i folkhälsolagen, ska göras tillgängliga för allmänheten av de personer som släpper ut dem på marknaden;</w:t>
      </w:r>
    </w:p>
    <w:p w14:paraId="1EEAFD30" w14:textId="650B2653" w:rsidR="00026E60" w:rsidRPr="0027362C" w:rsidRDefault="00026E60" w:rsidP="00026E60">
      <w:pPr>
        <w:pStyle w:val="ListParagraph"/>
        <w:numPr>
          <w:ilvl w:val="0"/>
          <w:numId w:val="4"/>
        </w:numPr>
        <w:jc w:val="both"/>
        <w:rPr>
          <w:bCs/>
          <w:i/>
          <w:iCs/>
        </w:rPr>
      </w:pPr>
      <w:r w:rsidRPr="0027362C">
        <w:rPr>
          <w:i/>
        </w:rPr>
        <w:t>ämnen med hormonstörande egenskaper som klassificeras som misstänkta och som avses i artikel L. 5232–5 II i folkhälsolagen;</w:t>
      </w:r>
    </w:p>
    <w:p w14:paraId="6E3CD793" w14:textId="6D0420B6" w:rsidR="00026E60" w:rsidRPr="0027362C" w:rsidRDefault="00026E60" w:rsidP="00026E60">
      <w:pPr>
        <w:pStyle w:val="ListParagraph"/>
        <w:numPr>
          <w:ilvl w:val="0"/>
          <w:numId w:val="4"/>
        </w:numPr>
        <w:jc w:val="both"/>
        <w:rPr>
          <w:bCs/>
          <w:i/>
          <w:iCs/>
        </w:rPr>
      </w:pPr>
      <w:r w:rsidRPr="0027362C">
        <w:rPr>
          <w:i/>
        </w:rPr>
        <w:t>produktkategorier med en särskild risk för exponering för vilka skyldigheten att lämna information om förekomsten av hormonstörande ämnen som klassificerats som misstänkta gäller.</w:t>
      </w:r>
      <w:bookmarkStart w:id="0" w:name="move773304541"/>
      <w:bookmarkEnd w:id="0"/>
    </w:p>
    <w:p w14:paraId="5470BC4F" w14:textId="72315F6A" w:rsidR="008347CD" w:rsidRPr="0027362C" w:rsidRDefault="00C46B5B">
      <w:pPr>
        <w:spacing w:before="120" w:after="120"/>
        <w:jc w:val="both"/>
      </w:pPr>
      <w:r w:rsidRPr="0027362C">
        <w:rPr>
          <w:b/>
          <w:i/>
        </w:rPr>
        <w:t>Ikraftträdande:</w:t>
      </w:r>
      <w:r w:rsidRPr="0027362C">
        <w:rPr>
          <w:i/>
        </w:rPr>
        <w:t xml:space="preserve"> Texten träder i kraft den 1 januari 2022.</w:t>
      </w:r>
    </w:p>
    <w:p w14:paraId="733E13B9" w14:textId="7E2678C1" w:rsidR="005C023A" w:rsidRPr="0027362C" w:rsidRDefault="00C46B5B" w:rsidP="009934B3">
      <w:pPr>
        <w:spacing w:after="120"/>
        <w:jc w:val="both"/>
        <w:rPr>
          <w:i/>
          <w:iCs/>
        </w:rPr>
      </w:pPr>
      <w:r w:rsidRPr="0027362C">
        <w:rPr>
          <w:b/>
          <w:i/>
        </w:rPr>
        <w:t>Anmärkning:</w:t>
      </w:r>
      <w:r w:rsidRPr="0027362C">
        <w:rPr>
          <w:i/>
        </w:rPr>
        <w:t xml:space="preserve"> I artikel 13-II i lag nr 2020–105 av den 10 februari 2020 om bekämpning av avfall och den cirkulära ekonomin, s.k. AGEC, föreskrivs att varje person som släpper ut produkter på marknaden för konsumenter som innehåller ämnen för vilka den franska livsmedels-, miljö- och arbetsmiljömyndigheten (ANSES) klassificerar de hormonstörande egenskaperna som kontrollerade eller misstänkta ska ”lämna information till allmänheten på elektronisk väg i ett öppet, lättanvändbart och exploaterbart format genom ett automatiserat bearbetningssystem för var och en av de berörda produkterna för att identifiera förekomsten av sådana ämnen i dessa produkter”. Denna skyldighet gäller även för vissa kategorier av produkter med särskild risk för exponering, för ämnen som misstänks ha hormonstörande egenskaper av ANSES.</w:t>
      </w:r>
    </w:p>
    <w:p w14:paraId="5B62B7D5" w14:textId="4A3BF621" w:rsidR="005C023A" w:rsidRPr="0027362C" w:rsidRDefault="005C023A" w:rsidP="005C023A">
      <w:pPr>
        <w:spacing w:after="120"/>
        <w:jc w:val="both"/>
        <w:rPr>
          <w:i/>
          <w:iCs/>
        </w:rPr>
      </w:pPr>
      <w:r w:rsidRPr="0027362C">
        <w:rPr>
          <w:i/>
        </w:rPr>
        <w:t xml:space="preserve">Denna skyldighet ligger i linje med målen i den andra nationella strategin för hormonstörande ämnen (NSPE2). Syftet är att ge medborgarna tydlig information om förekomsten av ämnen med hormonstörande egenskaper i produkter, i betydelsen ämnen, blandningar, varor och livsmedel. </w:t>
      </w:r>
    </w:p>
    <w:p w14:paraId="4B8A6D79" w14:textId="26B4F5AE" w:rsidR="003A3003" w:rsidRPr="0027362C" w:rsidRDefault="00844E8D" w:rsidP="009934B3">
      <w:pPr>
        <w:spacing w:after="120"/>
        <w:jc w:val="both"/>
        <w:rPr>
          <w:bCs/>
          <w:i/>
          <w:iCs/>
        </w:rPr>
      </w:pPr>
      <w:r w:rsidRPr="0027362C">
        <w:rPr>
          <w:i/>
        </w:rPr>
        <w:t>Tillämpningsföreskrifterna för denna bestämmelse har fastställts i artiklarna R. 5232–19–R. 5232–22 i folkhälsolagen. I artikel R. 5232–19 föreskrivs att en gemensam förordning mellan hälso- och miljöministrarna på förslag av ANSES ska innehålla följande:</w:t>
      </w:r>
    </w:p>
    <w:p w14:paraId="0EF9AEBF" w14:textId="6805D919" w:rsidR="00844E8D" w:rsidRPr="0027362C" w:rsidRDefault="005C023A" w:rsidP="003A3003">
      <w:pPr>
        <w:pStyle w:val="ListParagraph"/>
        <w:numPr>
          <w:ilvl w:val="0"/>
          <w:numId w:val="4"/>
        </w:numPr>
        <w:spacing w:after="120"/>
        <w:jc w:val="both"/>
        <w:rPr>
          <w:bCs/>
          <w:i/>
          <w:iCs/>
        </w:rPr>
      </w:pPr>
      <w:r w:rsidRPr="0027362C">
        <w:rPr>
          <w:i/>
        </w:rPr>
        <w:lastRenderedPageBreak/>
        <w:t>den förteckning över ämnen med hormonstörande egenskaper som avses i artikel L. 5232–5 I, uppdelad i två kategorier, kontrollerade och förmodade, beroende på vetenskaplig evidensnivå;</w:t>
      </w:r>
    </w:p>
    <w:p w14:paraId="1DD34A14" w14:textId="0439FE39" w:rsidR="003A3003" w:rsidRPr="0027362C" w:rsidRDefault="00840BD7" w:rsidP="003A3003">
      <w:pPr>
        <w:pStyle w:val="ListParagraph"/>
        <w:numPr>
          <w:ilvl w:val="0"/>
          <w:numId w:val="4"/>
        </w:numPr>
        <w:autoSpaceDN w:val="0"/>
        <w:jc w:val="both"/>
        <w:textAlignment w:val="baseline"/>
        <w:rPr>
          <w:bCs/>
          <w:i/>
          <w:iCs/>
        </w:rPr>
      </w:pPr>
      <w:r w:rsidRPr="0027362C">
        <w:rPr>
          <w:i/>
        </w:rPr>
        <w:t xml:space="preserve">den förteckning över ämnen med misstänkta hormonstörande egenskaper som avses i artikel L. 5232–5; </w:t>
      </w:r>
    </w:p>
    <w:p w14:paraId="62A7D081" w14:textId="4DFAECBB" w:rsidR="003A3003" w:rsidRPr="0027362C" w:rsidRDefault="00840BD7" w:rsidP="003A3003">
      <w:pPr>
        <w:pStyle w:val="ListParagraph"/>
        <w:numPr>
          <w:ilvl w:val="0"/>
          <w:numId w:val="4"/>
        </w:numPr>
        <w:autoSpaceDN w:val="0"/>
        <w:jc w:val="both"/>
        <w:textAlignment w:val="baseline"/>
        <w:rPr>
          <w:bCs/>
          <w:i/>
          <w:iCs/>
        </w:rPr>
      </w:pPr>
      <w:r w:rsidRPr="0027362C">
        <w:rPr>
          <w:i/>
        </w:rPr>
        <w:t>de produktkategorier som utgör en särskild risk för exponering enligt artikel L. 5232–5 II, med avseende på exponerade populationer, villkoren för användning och bortskaffande av dessa produkter och andra relevanta kriterier.</w:t>
      </w:r>
    </w:p>
    <w:p w14:paraId="46CC9886" w14:textId="77777777" w:rsidR="00844E8D" w:rsidRPr="0027362C" w:rsidRDefault="00844E8D">
      <w:pPr>
        <w:spacing w:after="120"/>
        <w:jc w:val="both"/>
        <w:rPr>
          <w:i/>
          <w:iCs/>
        </w:rPr>
      </w:pPr>
    </w:p>
    <w:p w14:paraId="6983208D" w14:textId="6432FC6E" w:rsidR="008347CD" w:rsidRPr="0027362C" w:rsidRDefault="00C46B5B">
      <w:pPr>
        <w:spacing w:after="120"/>
        <w:jc w:val="both"/>
      </w:pPr>
      <w:r w:rsidRPr="0027362C">
        <w:rPr>
          <w:b/>
          <w:i/>
        </w:rPr>
        <w:t>Referenser:</w:t>
      </w:r>
      <w:r w:rsidRPr="0027362C">
        <w:rPr>
          <w:i/>
        </w:rPr>
        <w:t xml:space="preserve"> texten finns på Légifrances webbplats (http://legifrance.gouv.fr).</w:t>
      </w:r>
    </w:p>
    <w:p w14:paraId="6684B3B6" w14:textId="77777777" w:rsidR="008347CD" w:rsidRPr="0027362C" w:rsidRDefault="008347CD">
      <w:pPr>
        <w:pStyle w:val="SNObjet"/>
        <w:rPr>
          <w:b w:val="0"/>
        </w:rPr>
      </w:pPr>
    </w:p>
    <w:p w14:paraId="0BEF3BF1" w14:textId="026CEB60" w:rsidR="008347CD" w:rsidRPr="0027362C" w:rsidRDefault="00C46B5B">
      <w:pPr>
        <w:pStyle w:val="SNObjet"/>
      </w:pPr>
      <w:r w:rsidRPr="0027362C">
        <w:t>Ministern för ekologisk omställning och ministern för solidaritet och hälsa</w:t>
      </w:r>
    </w:p>
    <w:p w14:paraId="73DB3276" w14:textId="475B4219" w:rsidR="007F7405" w:rsidRPr="0027362C" w:rsidRDefault="00C46B5B" w:rsidP="00A42F37">
      <w:pPr>
        <w:pStyle w:val="SNVisa"/>
        <w:ind w:firstLine="708"/>
      </w:pPr>
      <w:r w:rsidRPr="0027362C">
        <w:t>Med beaktande av Europaparlamentets och rådets förordning (EG) nr. 1907/2006 av den 18 december 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w:t>
      </w:r>
    </w:p>
    <w:p w14:paraId="3B2BD5A0" w14:textId="130383A4" w:rsidR="00A14477" w:rsidRPr="0027362C" w:rsidRDefault="00A14477" w:rsidP="00A42F37">
      <w:pPr>
        <w:pStyle w:val="SNVisa"/>
        <w:ind w:firstLine="708"/>
      </w:pPr>
      <w:r w:rsidRPr="0027362C">
        <w:t>Med beaktande av Europaparlamentets och rådets förordning (EG) nr. 1107/2009 av den 21 oktober 2009, i dess ändrade lydelse, om utsläpp av växtskyddsmedel på marknaden och om upphävande av rådets direktiv 79/117/EEG och 91/414/EEG</w:t>
      </w:r>
    </w:p>
    <w:p w14:paraId="1BAF1F3D" w14:textId="08DDD3CB" w:rsidR="008347CD" w:rsidRPr="0027362C" w:rsidRDefault="007F7405" w:rsidP="00A42F37">
      <w:pPr>
        <w:pStyle w:val="SNVisa"/>
        <w:ind w:firstLine="708"/>
      </w:pPr>
      <w:r w:rsidRPr="0027362C">
        <w:t>Med beaktande av Europaparlamentets och rådets förordning (EU) nr 528/2012 av den 22 maj 2012 om tillhandahållande på marknaden och användning av biocidprodukter</w:t>
      </w:r>
    </w:p>
    <w:p w14:paraId="284E1EE9" w14:textId="12EEA247" w:rsidR="008347CD" w:rsidRPr="0027362C" w:rsidRDefault="00C46B5B" w:rsidP="00A42F37">
      <w:pPr>
        <w:pStyle w:val="SNVisa"/>
        <w:ind w:firstLine="708"/>
      </w:pPr>
      <w:r w:rsidRPr="0027362C">
        <w:t xml:space="preserve">Med beaktande av </w:t>
      </w:r>
      <w:bookmarkStart w:id="1" w:name="__DdeLink__11050_299813634"/>
      <w:r w:rsidRPr="0027362C">
        <w:t>Folkhälsolagen, särskilt artikel L. 5</w:t>
      </w:r>
      <w:bookmarkEnd w:id="1"/>
      <w:r w:rsidRPr="0027362C">
        <w:t>232–5 i dess lydelse enligt artikel 13 i lag nr 2020–105 av den 10 februari 2020 om bekämpande av avfall och den cirkulära ekonomin och artikel R. 5232–19;</w:t>
      </w:r>
    </w:p>
    <w:p w14:paraId="58048984" w14:textId="5480FE12" w:rsidR="008347CD" w:rsidRPr="0027362C" w:rsidRDefault="00414610" w:rsidP="00A42F37">
      <w:pPr>
        <w:pStyle w:val="SNVisa"/>
        <w:ind w:firstLine="708"/>
      </w:pPr>
      <w:r w:rsidRPr="0027362C">
        <w:t>Med beaktande av yttrandet från den franska myndigheten för livsmedels-, miljö- och arbetsmiljöfrågor utfärdat den XXXX;</w:t>
      </w:r>
    </w:p>
    <w:p w14:paraId="411C619F" w14:textId="77777777" w:rsidR="008347CD" w:rsidRPr="0027362C" w:rsidRDefault="00C46B5B">
      <w:pPr>
        <w:pStyle w:val="SNActe"/>
      </w:pPr>
      <w:r w:rsidRPr="0027362C">
        <w:t>Föreskriver härigenom följande:</w:t>
      </w:r>
    </w:p>
    <w:p w14:paraId="78D9F457" w14:textId="77777777" w:rsidR="008347CD" w:rsidRPr="0027362C" w:rsidRDefault="008347CD">
      <w:pPr>
        <w:pStyle w:val="SNArticle"/>
      </w:pPr>
    </w:p>
    <w:p w14:paraId="5C7F96CE" w14:textId="77777777" w:rsidR="008347CD" w:rsidRPr="0027362C" w:rsidRDefault="00C46B5B">
      <w:pPr>
        <w:pStyle w:val="SNArticle"/>
      </w:pPr>
      <w:r w:rsidRPr="0027362C">
        <w:t>Artikel 1</w:t>
      </w:r>
    </w:p>
    <w:p w14:paraId="25C93793" w14:textId="77777777" w:rsidR="00A42F37" w:rsidRPr="0027362C" w:rsidRDefault="00A42F37">
      <w:pPr>
        <w:jc w:val="both"/>
      </w:pPr>
    </w:p>
    <w:p w14:paraId="658E2A64" w14:textId="1473D7BA" w:rsidR="00A42F37" w:rsidRPr="0027362C" w:rsidRDefault="00A42F37" w:rsidP="00F92FDA">
      <w:pPr>
        <w:jc w:val="both"/>
      </w:pPr>
      <w:r w:rsidRPr="0027362C">
        <w:t>Ämnen med kontrollerade och förmodade hormonstörande egenskaper som avses i artikel L. 5232–5 I i folkhälsolagen förtecknas i tabell A i bilaga I till detta beslut.</w:t>
      </w:r>
    </w:p>
    <w:p w14:paraId="3D3E5718" w14:textId="2E589BC6" w:rsidR="003A3003" w:rsidRPr="0027362C" w:rsidRDefault="003A3003">
      <w:pPr>
        <w:jc w:val="both"/>
      </w:pPr>
    </w:p>
    <w:p w14:paraId="185CCC9B" w14:textId="77777777" w:rsidR="00840BD7" w:rsidRPr="0027362C" w:rsidRDefault="00840BD7">
      <w:pPr>
        <w:jc w:val="both"/>
      </w:pPr>
    </w:p>
    <w:p w14:paraId="1CB2A07C" w14:textId="61E452D4" w:rsidR="00220182" w:rsidRPr="0027362C" w:rsidRDefault="00220182" w:rsidP="00220182">
      <w:pPr>
        <w:pStyle w:val="SNArticle"/>
      </w:pPr>
      <w:r w:rsidRPr="0027362C">
        <w:t>Artikel 2</w:t>
      </w:r>
    </w:p>
    <w:p w14:paraId="0BC38752" w14:textId="77777777" w:rsidR="00220182" w:rsidRPr="0027362C" w:rsidRDefault="00220182" w:rsidP="00220182">
      <w:pPr>
        <w:jc w:val="both"/>
      </w:pPr>
    </w:p>
    <w:p w14:paraId="29D79603" w14:textId="7710243A" w:rsidR="00220182" w:rsidRPr="0027362C" w:rsidRDefault="00220182" w:rsidP="00220182">
      <w:pPr>
        <w:jc w:val="both"/>
      </w:pPr>
      <w:r w:rsidRPr="0027362C">
        <w:t>Ämnen med misstänkta hormonstörande egenskaper som avses i artikel L. 5232–5 II i folkhälsolagen förtecknas i tabell B i bilaga I till detta beslut.</w:t>
      </w:r>
    </w:p>
    <w:p w14:paraId="414AAF65" w14:textId="77777777" w:rsidR="00840BD7" w:rsidRPr="0027362C" w:rsidRDefault="00840BD7" w:rsidP="00220182">
      <w:pPr>
        <w:jc w:val="both"/>
      </w:pPr>
    </w:p>
    <w:p w14:paraId="414FCA1E" w14:textId="71ABDFE8" w:rsidR="00220182" w:rsidRPr="0027362C" w:rsidRDefault="00220182" w:rsidP="00220182">
      <w:pPr>
        <w:pStyle w:val="SNArticle"/>
      </w:pPr>
      <w:r w:rsidRPr="0027362C">
        <w:t>Artikel 3</w:t>
      </w:r>
    </w:p>
    <w:p w14:paraId="2D09A589" w14:textId="77777777" w:rsidR="00220182" w:rsidRPr="0027362C" w:rsidRDefault="00220182" w:rsidP="00220182">
      <w:pPr>
        <w:jc w:val="both"/>
      </w:pPr>
    </w:p>
    <w:p w14:paraId="19C5E591" w14:textId="14F23B7A" w:rsidR="00220182" w:rsidRPr="0027362C" w:rsidRDefault="00220182" w:rsidP="00220182">
      <w:pPr>
        <w:jc w:val="both"/>
      </w:pPr>
      <w:r w:rsidRPr="0027362C">
        <w:t>De produktkategorier som utgör en särskild risk för exponering enligt artikel L. 5232–5 II i folkhälsolagen förtecknas i bilaga II till detta beslut.</w:t>
      </w:r>
    </w:p>
    <w:p w14:paraId="1FF4DAAD" w14:textId="21F9B44B" w:rsidR="00220182" w:rsidRPr="0027362C" w:rsidRDefault="00220182" w:rsidP="00220182">
      <w:pPr>
        <w:jc w:val="both"/>
      </w:pPr>
    </w:p>
    <w:p w14:paraId="1137E4CD" w14:textId="3090F12E" w:rsidR="008347CD" w:rsidRPr="0027362C" w:rsidRDefault="00C46B5B">
      <w:pPr>
        <w:pStyle w:val="SNArticle"/>
      </w:pPr>
      <w:r w:rsidRPr="0027362C">
        <w:lastRenderedPageBreak/>
        <w:t>Artikel 4</w:t>
      </w:r>
    </w:p>
    <w:p w14:paraId="285154DB" w14:textId="77777777" w:rsidR="008347CD" w:rsidRPr="0027362C" w:rsidRDefault="00C46B5B">
      <w:pPr>
        <w:pStyle w:val="SNArticle"/>
        <w:jc w:val="left"/>
        <w:rPr>
          <w:b w:val="0"/>
        </w:rPr>
      </w:pPr>
      <w:r w:rsidRPr="0027362C">
        <w:rPr>
          <w:b w:val="0"/>
        </w:rPr>
        <w:t xml:space="preserve">Bestämmelserna i denna förordning träder i kraft den 1 januari 2022. </w:t>
      </w:r>
    </w:p>
    <w:p w14:paraId="716A6006" w14:textId="77777777" w:rsidR="009F20C4" w:rsidRPr="0027362C" w:rsidRDefault="009F20C4">
      <w:pPr>
        <w:pStyle w:val="SNArticle"/>
      </w:pPr>
    </w:p>
    <w:p w14:paraId="1DE0912A" w14:textId="43814AF3" w:rsidR="008347CD" w:rsidRPr="0027362C" w:rsidRDefault="00C46B5B">
      <w:pPr>
        <w:pStyle w:val="SNArticle"/>
      </w:pPr>
      <w:r w:rsidRPr="0027362C">
        <w:t>Artikel 5</w:t>
      </w:r>
    </w:p>
    <w:p w14:paraId="4B2DBBEB" w14:textId="77777777" w:rsidR="008347CD" w:rsidRPr="0027362C" w:rsidRDefault="00C46B5B">
      <w:pPr>
        <w:pStyle w:val="BodyText"/>
        <w:jc w:val="both"/>
      </w:pPr>
      <w:r w:rsidRPr="0027362C">
        <w:t xml:space="preserve">Detta beslut ska offentliggöras via Frankrikes </w:t>
      </w:r>
      <w:r w:rsidRPr="0027362C">
        <w:rPr>
          <w:i/>
          <w:iCs/>
        </w:rPr>
        <w:t>officiella tidning</w:t>
      </w:r>
      <w:r w:rsidRPr="0027362C">
        <w:t>.</w:t>
      </w:r>
    </w:p>
    <w:p w14:paraId="348F0109" w14:textId="121A36A3" w:rsidR="008347CD" w:rsidRPr="0027362C" w:rsidRDefault="008347CD" w:rsidP="0005179D">
      <w:pPr>
        <w:tabs>
          <w:tab w:val="left" w:pos="5685"/>
        </w:tabs>
      </w:pPr>
    </w:p>
    <w:p w14:paraId="6D2787DD" w14:textId="77777777" w:rsidR="008347CD" w:rsidRPr="0027362C" w:rsidRDefault="008347CD"/>
    <w:p w14:paraId="20942212" w14:textId="77777777" w:rsidR="008347CD" w:rsidRPr="0027362C" w:rsidRDefault="00C46B5B">
      <w:pPr>
        <w:ind w:firstLine="540"/>
      </w:pPr>
      <w:r w:rsidRPr="0027362C">
        <w:t xml:space="preserve">Utfärdat den [datum] </w:t>
      </w:r>
    </w:p>
    <w:p w14:paraId="6DEBDEE2" w14:textId="77777777" w:rsidR="008347CD" w:rsidRPr="0027362C" w:rsidRDefault="008347CD">
      <w:pPr>
        <w:ind w:left="539"/>
      </w:pPr>
    </w:p>
    <w:p w14:paraId="0CD275D9" w14:textId="77777777" w:rsidR="008347CD" w:rsidRPr="0027362C" w:rsidRDefault="008347CD">
      <w:pPr>
        <w:pStyle w:val="SNSignatureGauche"/>
        <w:ind w:left="539"/>
      </w:pPr>
    </w:p>
    <w:p w14:paraId="00FFAF1F" w14:textId="77777777" w:rsidR="008347CD" w:rsidRPr="0027362C" w:rsidRDefault="008347CD">
      <w:pPr>
        <w:pStyle w:val="SNSignatureGauche"/>
        <w:ind w:left="539"/>
      </w:pPr>
    </w:p>
    <w:p w14:paraId="6BEDEEF5" w14:textId="25330FB5" w:rsidR="008347CD" w:rsidRPr="0027362C" w:rsidRDefault="00C46B5B">
      <w:pPr>
        <w:pStyle w:val="SNSignatureGauche"/>
        <w:ind w:left="539"/>
      </w:pPr>
      <w:r w:rsidRPr="0027362C">
        <w:t>Ministern för ekologisk omställning,</w:t>
      </w:r>
    </w:p>
    <w:p w14:paraId="21F51DC6" w14:textId="77777777" w:rsidR="008347CD" w:rsidRPr="0027362C" w:rsidRDefault="00C46B5B">
      <w:pPr>
        <w:pStyle w:val="SNSignatureDroite"/>
        <w:ind w:left="539" w:firstLine="0"/>
      </w:pPr>
      <w:r w:rsidRPr="0027362C">
        <w:t>För ministern och genom delegation:</w:t>
      </w:r>
    </w:p>
    <w:p w14:paraId="5384022E" w14:textId="77777777" w:rsidR="008347CD" w:rsidRPr="0027362C" w:rsidRDefault="00C46B5B">
      <w:pPr>
        <w:pStyle w:val="SNSignatureDroite"/>
        <w:ind w:left="539" w:firstLine="0"/>
      </w:pPr>
      <w:r w:rsidRPr="0027362C">
        <w:t>Generaldirektören för riskförebyggande,</w:t>
      </w:r>
    </w:p>
    <w:p w14:paraId="0A5482F8" w14:textId="77777777" w:rsidR="008347CD" w:rsidRPr="0027362C" w:rsidRDefault="008347CD">
      <w:pPr>
        <w:pStyle w:val="SNSignatureGauche"/>
        <w:ind w:left="539"/>
      </w:pPr>
    </w:p>
    <w:p w14:paraId="673118EB" w14:textId="77777777" w:rsidR="008347CD" w:rsidRPr="0027362C" w:rsidRDefault="008347CD">
      <w:pPr>
        <w:pStyle w:val="SNSignatureDroite"/>
        <w:ind w:left="539" w:firstLine="0"/>
      </w:pPr>
    </w:p>
    <w:p w14:paraId="6195CB62" w14:textId="77777777" w:rsidR="008347CD" w:rsidRPr="0027362C" w:rsidRDefault="008347CD">
      <w:pPr>
        <w:pStyle w:val="SNSignatureGauche"/>
        <w:ind w:left="539"/>
      </w:pPr>
    </w:p>
    <w:p w14:paraId="4AA84A8A" w14:textId="77777777" w:rsidR="008347CD" w:rsidRPr="0027362C" w:rsidRDefault="00C46B5B">
      <w:pPr>
        <w:pStyle w:val="SNSignatureDroite"/>
        <w:ind w:left="539" w:firstLine="0"/>
      </w:pPr>
      <w:r w:rsidRPr="0027362C">
        <w:t>Cédric BOURILLET</w:t>
      </w:r>
    </w:p>
    <w:p w14:paraId="3540651A" w14:textId="77777777" w:rsidR="008347CD" w:rsidRPr="0027362C" w:rsidRDefault="008347CD">
      <w:pPr>
        <w:ind w:left="539"/>
      </w:pPr>
    </w:p>
    <w:p w14:paraId="02736F8A" w14:textId="77777777" w:rsidR="008347CD" w:rsidRPr="0027362C" w:rsidRDefault="008347CD">
      <w:pPr>
        <w:ind w:left="539"/>
      </w:pPr>
    </w:p>
    <w:p w14:paraId="218AB37D" w14:textId="77777777" w:rsidR="008347CD" w:rsidRPr="0027362C" w:rsidRDefault="008347CD">
      <w:pPr>
        <w:ind w:left="539"/>
      </w:pPr>
    </w:p>
    <w:p w14:paraId="61147849" w14:textId="32EE603B" w:rsidR="008347CD" w:rsidRPr="0027362C" w:rsidRDefault="00305F8C" w:rsidP="009934B3">
      <w:pPr>
        <w:ind w:left="539"/>
      </w:pPr>
      <w:r w:rsidRPr="0027362C">
        <w:t>Ministern för solidaritet och hälsa,</w:t>
      </w:r>
    </w:p>
    <w:p w14:paraId="69576A00" w14:textId="7DEE8A3A" w:rsidR="008347CD" w:rsidRPr="0027362C" w:rsidRDefault="00C46B5B" w:rsidP="009934B3">
      <w:pPr>
        <w:ind w:left="539"/>
      </w:pPr>
      <w:r w:rsidRPr="0027362C">
        <w:t>För ministern och genom delegation:</w:t>
      </w:r>
    </w:p>
    <w:p w14:paraId="598A67E7" w14:textId="77777777" w:rsidR="008347CD" w:rsidRPr="0027362C" w:rsidRDefault="00C46B5B" w:rsidP="009934B3">
      <w:pPr>
        <w:ind w:left="539"/>
      </w:pPr>
      <w:r w:rsidRPr="0027362C">
        <w:t>Generaldirektören för hälsofrågor,</w:t>
      </w:r>
    </w:p>
    <w:p w14:paraId="2DC0E3F5" w14:textId="77777777" w:rsidR="008347CD" w:rsidRPr="0027362C" w:rsidRDefault="008347CD" w:rsidP="009934B3">
      <w:pPr>
        <w:ind w:left="539"/>
      </w:pPr>
    </w:p>
    <w:p w14:paraId="5BF5FC14" w14:textId="77777777" w:rsidR="008347CD" w:rsidRPr="0027362C" w:rsidRDefault="008347CD" w:rsidP="009934B3">
      <w:pPr>
        <w:ind w:left="539"/>
      </w:pPr>
    </w:p>
    <w:p w14:paraId="06D46F73" w14:textId="77777777" w:rsidR="008347CD" w:rsidRPr="0027362C" w:rsidRDefault="008347CD" w:rsidP="009934B3">
      <w:pPr>
        <w:ind w:left="539"/>
      </w:pPr>
    </w:p>
    <w:p w14:paraId="1EC43CA3" w14:textId="26DC16E0" w:rsidR="008347CD" w:rsidRPr="0027362C" w:rsidRDefault="00C46B5B" w:rsidP="009934B3">
      <w:pPr>
        <w:ind w:left="539"/>
      </w:pPr>
      <w:r w:rsidRPr="0027362C">
        <w:t>Jérôme SALOMON</w:t>
      </w:r>
    </w:p>
    <w:p w14:paraId="646663AB" w14:textId="470A7E39" w:rsidR="0091346D" w:rsidRPr="0027362C" w:rsidRDefault="0091346D" w:rsidP="009934B3">
      <w:pPr>
        <w:ind w:left="539"/>
      </w:pPr>
    </w:p>
    <w:p w14:paraId="78992825" w14:textId="26A612AC" w:rsidR="0091346D" w:rsidRPr="0027362C" w:rsidRDefault="0091346D" w:rsidP="009934B3">
      <w:pPr>
        <w:ind w:left="539"/>
      </w:pPr>
    </w:p>
    <w:p w14:paraId="4C271472" w14:textId="12482997" w:rsidR="0091346D" w:rsidRPr="0027362C" w:rsidRDefault="0091346D" w:rsidP="009934B3">
      <w:pPr>
        <w:ind w:left="539"/>
      </w:pPr>
    </w:p>
    <w:p w14:paraId="757046F7" w14:textId="6F5F6C03" w:rsidR="0091346D" w:rsidRPr="0027362C" w:rsidRDefault="0091346D" w:rsidP="009934B3">
      <w:pPr>
        <w:ind w:left="539"/>
      </w:pPr>
    </w:p>
    <w:p w14:paraId="30CBFC27" w14:textId="77777777" w:rsidR="009F20C4" w:rsidRPr="0027362C" w:rsidRDefault="009F20C4" w:rsidP="009934B3">
      <w:pPr>
        <w:ind w:left="539"/>
      </w:pPr>
    </w:p>
    <w:p w14:paraId="203CF528" w14:textId="77777777" w:rsidR="009F20C4" w:rsidRPr="0027362C" w:rsidRDefault="009F20C4" w:rsidP="009934B3">
      <w:pPr>
        <w:ind w:left="539"/>
      </w:pPr>
    </w:p>
    <w:p w14:paraId="55CCE532" w14:textId="77777777" w:rsidR="009F20C4" w:rsidRPr="0027362C" w:rsidRDefault="009F20C4" w:rsidP="009934B3">
      <w:pPr>
        <w:ind w:left="539"/>
      </w:pPr>
    </w:p>
    <w:p w14:paraId="75D34D20" w14:textId="77777777" w:rsidR="009F20C4" w:rsidRPr="0027362C" w:rsidRDefault="009F20C4" w:rsidP="009934B3">
      <w:pPr>
        <w:ind w:left="539"/>
      </w:pPr>
    </w:p>
    <w:p w14:paraId="093B3990" w14:textId="77777777" w:rsidR="009F20C4" w:rsidRPr="0027362C" w:rsidRDefault="009F20C4" w:rsidP="009934B3">
      <w:pPr>
        <w:ind w:left="539"/>
      </w:pPr>
    </w:p>
    <w:p w14:paraId="0EB4AC6D" w14:textId="77777777" w:rsidR="009F20C4" w:rsidRPr="0027362C" w:rsidRDefault="009F20C4" w:rsidP="009934B3">
      <w:pPr>
        <w:ind w:left="539"/>
      </w:pPr>
    </w:p>
    <w:p w14:paraId="07DFCF09" w14:textId="77777777" w:rsidR="009F20C4" w:rsidRPr="0027362C" w:rsidRDefault="009F20C4" w:rsidP="009934B3">
      <w:pPr>
        <w:ind w:left="539"/>
      </w:pPr>
    </w:p>
    <w:p w14:paraId="1E7D03FB" w14:textId="77777777" w:rsidR="00F4110C" w:rsidRPr="0027362C" w:rsidRDefault="00F4110C">
      <w:pPr>
        <w:suppressAutoHyphens w:val="0"/>
      </w:pPr>
      <w:r w:rsidRPr="0027362C">
        <w:br w:type="page"/>
      </w:r>
    </w:p>
    <w:p w14:paraId="7290D6B3" w14:textId="0CC5E208" w:rsidR="0091346D" w:rsidRPr="0027362C" w:rsidRDefault="00F9491E" w:rsidP="009934B3">
      <w:pPr>
        <w:ind w:left="539"/>
      </w:pPr>
      <w:r w:rsidRPr="0027362C">
        <w:lastRenderedPageBreak/>
        <w:t xml:space="preserve">Bilagor </w:t>
      </w:r>
    </w:p>
    <w:p w14:paraId="6EA669F8" w14:textId="77777777" w:rsidR="0091346D" w:rsidRPr="0027362C" w:rsidRDefault="0091346D" w:rsidP="009934B3">
      <w:pPr>
        <w:ind w:left="539"/>
      </w:pPr>
    </w:p>
    <w:p w14:paraId="7CD2C0F1" w14:textId="77777777" w:rsidR="0091346D" w:rsidRPr="0027362C" w:rsidRDefault="0091346D" w:rsidP="009934B3">
      <w:pPr>
        <w:ind w:left="539"/>
      </w:pPr>
    </w:p>
    <w:p w14:paraId="3ABF99B7" w14:textId="4BA3CD32" w:rsidR="0091346D" w:rsidRPr="0027362C" w:rsidRDefault="0091346D" w:rsidP="00F92FDA">
      <w:pPr>
        <w:ind w:left="539"/>
        <w:jc w:val="both"/>
      </w:pPr>
      <w:r w:rsidRPr="0027362C">
        <w:t>Bilaga I: Förteckning över ämnen med hormonstörande egenskaper som avses i artikel l. 5232–5 I och II i folkhälsolagen</w:t>
      </w:r>
    </w:p>
    <w:p w14:paraId="225B512E" w14:textId="24460C4F" w:rsidR="0091346D" w:rsidRPr="0027362C" w:rsidRDefault="0091346D" w:rsidP="00F92FDA">
      <w:pPr>
        <w:ind w:left="539"/>
        <w:jc w:val="both"/>
      </w:pPr>
    </w:p>
    <w:p w14:paraId="2E52E7D3" w14:textId="52D8F88D" w:rsidR="0091346D" w:rsidRPr="0027362C" w:rsidRDefault="0091346D" w:rsidP="00F92FDA">
      <w:pPr>
        <w:ind w:left="539"/>
        <w:jc w:val="both"/>
      </w:pPr>
      <w:r w:rsidRPr="0027362C">
        <w:t>TABELL A: Förteckning över ämnen med kontrollerade och förmodade hormonstörande egenskaper som avses i artikel L. 5232–5 i folkhälsolagen</w:t>
      </w:r>
    </w:p>
    <w:p w14:paraId="07AAC79F" w14:textId="3DB8C2F4" w:rsidR="0091346D" w:rsidRPr="0027362C" w:rsidRDefault="0091346D" w:rsidP="009934B3">
      <w:pPr>
        <w:ind w:left="539"/>
      </w:pPr>
    </w:p>
    <w:tbl>
      <w:tblPr>
        <w:tblStyle w:val="TableGrid"/>
        <w:tblW w:w="0" w:type="auto"/>
        <w:tblInd w:w="539" w:type="dxa"/>
        <w:tblLook w:val="04A0" w:firstRow="1" w:lastRow="0" w:firstColumn="1" w:lastColumn="0" w:noHBand="0" w:noVBand="1"/>
      </w:tblPr>
      <w:tblGrid>
        <w:gridCol w:w="3449"/>
        <w:gridCol w:w="2680"/>
        <w:gridCol w:w="2676"/>
      </w:tblGrid>
      <w:tr w:rsidR="00F92FDA" w:rsidRPr="0027362C" w14:paraId="4DF6403F" w14:textId="602410DF" w:rsidTr="00A95817">
        <w:tc>
          <w:tcPr>
            <w:tcW w:w="3449" w:type="dxa"/>
          </w:tcPr>
          <w:p w14:paraId="36C34FAB" w14:textId="20DA6C2C" w:rsidR="00F92FDA" w:rsidRPr="0027362C" w:rsidRDefault="00F92FDA" w:rsidP="00840BD7">
            <w:pPr>
              <w:jc w:val="center"/>
              <w:rPr>
                <w:b/>
                <w:sz w:val="20"/>
                <w:szCs w:val="20"/>
              </w:rPr>
            </w:pPr>
            <w:r w:rsidRPr="0027362C">
              <w:rPr>
                <w:b/>
                <w:sz w:val="20"/>
              </w:rPr>
              <w:t>Namn på ämnet</w:t>
            </w:r>
          </w:p>
        </w:tc>
        <w:tc>
          <w:tcPr>
            <w:tcW w:w="2680" w:type="dxa"/>
          </w:tcPr>
          <w:p w14:paraId="133DF615" w14:textId="6C64F141" w:rsidR="00F92FDA" w:rsidRPr="0027362C" w:rsidRDefault="00F92FDA" w:rsidP="00840BD7">
            <w:pPr>
              <w:jc w:val="center"/>
              <w:rPr>
                <w:b/>
                <w:sz w:val="20"/>
                <w:szCs w:val="20"/>
              </w:rPr>
            </w:pPr>
            <w:r w:rsidRPr="0027362C">
              <w:rPr>
                <w:b/>
                <w:sz w:val="20"/>
              </w:rPr>
              <w:t>CAS-nummer</w:t>
            </w:r>
          </w:p>
        </w:tc>
        <w:tc>
          <w:tcPr>
            <w:tcW w:w="2676" w:type="dxa"/>
          </w:tcPr>
          <w:p w14:paraId="62A8287B" w14:textId="4A5E46C1" w:rsidR="00F92FDA" w:rsidRPr="0027362C" w:rsidRDefault="00E93CF9" w:rsidP="00840BD7">
            <w:pPr>
              <w:jc w:val="center"/>
              <w:rPr>
                <w:b/>
                <w:sz w:val="20"/>
                <w:szCs w:val="20"/>
              </w:rPr>
            </w:pPr>
            <w:r w:rsidRPr="0027362C">
              <w:rPr>
                <w:b/>
                <w:sz w:val="20"/>
              </w:rPr>
              <w:t>CE-nummer</w:t>
            </w:r>
          </w:p>
        </w:tc>
      </w:tr>
      <w:tr w:rsidR="00E93CF9" w:rsidRPr="0027362C" w14:paraId="56F53086" w14:textId="77777777" w:rsidTr="00A95817">
        <w:tc>
          <w:tcPr>
            <w:tcW w:w="3449" w:type="dxa"/>
          </w:tcPr>
          <w:p w14:paraId="2C5938A8" w14:textId="047E872C" w:rsidR="00E93CF9" w:rsidRPr="0027362C" w:rsidRDefault="00E93CF9" w:rsidP="00E93CF9">
            <w:pPr>
              <w:rPr>
                <w:sz w:val="20"/>
                <w:szCs w:val="20"/>
              </w:rPr>
            </w:pPr>
            <w:r w:rsidRPr="0027362C">
              <w:rPr>
                <w:sz w:val="20"/>
              </w:rPr>
              <w:t>4,4-(1-metylpropyliden)bisfenol</w:t>
            </w:r>
          </w:p>
        </w:tc>
        <w:tc>
          <w:tcPr>
            <w:tcW w:w="2680" w:type="dxa"/>
          </w:tcPr>
          <w:p w14:paraId="75DF6097" w14:textId="4C4B61B0" w:rsidR="00E93CF9" w:rsidRPr="0027362C" w:rsidRDefault="00E93CF9" w:rsidP="00E93CF9">
            <w:pPr>
              <w:jc w:val="center"/>
              <w:rPr>
                <w:color w:val="auto"/>
                <w:sz w:val="20"/>
                <w:szCs w:val="20"/>
              </w:rPr>
            </w:pPr>
            <w:r w:rsidRPr="0027362C">
              <w:rPr>
                <w:color w:val="auto"/>
                <w:sz w:val="20"/>
              </w:rPr>
              <w:t>77-40-7</w:t>
            </w:r>
          </w:p>
        </w:tc>
        <w:tc>
          <w:tcPr>
            <w:tcW w:w="2676" w:type="dxa"/>
          </w:tcPr>
          <w:p w14:paraId="15897FB6" w14:textId="02EF7847" w:rsidR="00E93CF9" w:rsidRPr="0027362C" w:rsidRDefault="00E93CF9" w:rsidP="00E93CF9">
            <w:pPr>
              <w:jc w:val="center"/>
              <w:rPr>
                <w:color w:val="auto"/>
                <w:sz w:val="20"/>
                <w:szCs w:val="20"/>
              </w:rPr>
            </w:pPr>
            <w:r w:rsidRPr="0027362C">
              <w:rPr>
                <w:color w:val="auto"/>
                <w:sz w:val="20"/>
              </w:rPr>
              <w:t>201-025-1</w:t>
            </w:r>
          </w:p>
        </w:tc>
      </w:tr>
      <w:tr w:rsidR="00E93CF9" w:rsidRPr="0027362C" w14:paraId="7FE6D8F2" w14:textId="6825DEFB" w:rsidTr="00A95817">
        <w:tc>
          <w:tcPr>
            <w:tcW w:w="3449" w:type="dxa"/>
          </w:tcPr>
          <w:p w14:paraId="680D6D7E" w14:textId="77777777" w:rsidR="00E93CF9" w:rsidRPr="0027362C" w:rsidRDefault="00E93CF9" w:rsidP="00E93CF9">
            <w:pPr>
              <w:rPr>
                <w:sz w:val="20"/>
                <w:szCs w:val="20"/>
              </w:rPr>
            </w:pPr>
            <w:r w:rsidRPr="0027362C">
              <w:rPr>
                <w:sz w:val="20"/>
              </w:rPr>
              <w:t>Tris(4-nonylfenyl, grenad och linjär) fosfit (TNPP) med minst 0,1 viktprocent 4-nonylfenol, grenad och linjär (4-NP)</w:t>
            </w:r>
          </w:p>
          <w:p w14:paraId="662E5CB4" w14:textId="77777777" w:rsidR="00E93CF9" w:rsidRPr="0027362C" w:rsidRDefault="00E93CF9" w:rsidP="00E93CF9">
            <w:pPr>
              <w:pStyle w:val="ListParagraph"/>
              <w:numPr>
                <w:ilvl w:val="0"/>
                <w:numId w:val="3"/>
              </w:numPr>
              <w:rPr>
                <w:sz w:val="20"/>
                <w:szCs w:val="20"/>
              </w:rPr>
            </w:pPr>
            <w:r w:rsidRPr="0027362C">
              <w:rPr>
                <w:sz w:val="20"/>
              </w:rPr>
              <w:t>Tris(4-nonylfenyl, grenad) fosfit</w:t>
            </w:r>
          </w:p>
          <w:p w14:paraId="6F2A5ECF" w14:textId="77777777" w:rsidR="00E93CF9" w:rsidRPr="0027362C" w:rsidRDefault="00E93CF9" w:rsidP="00E93CF9">
            <w:pPr>
              <w:pStyle w:val="ListParagraph"/>
              <w:numPr>
                <w:ilvl w:val="0"/>
                <w:numId w:val="3"/>
              </w:numPr>
              <w:rPr>
                <w:sz w:val="20"/>
                <w:szCs w:val="20"/>
              </w:rPr>
            </w:pPr>
            <w:r w:rsidRPr="0027362C">
              <w:rPr>
                <w:sz w:val="20"/>
              </w:rPr>
              <w:t>Fenol, 4-nonyl-, fosfit (3:1)</w:t>
            </w:r>
          </w:p>
          <w:p w14:paraId="7B0BA21A" w14:textId="3AAF38FF" w:rsidR="00E93CF9" w:rsidRPr="0027362C" w:rsidRDefault="00E93CF9" w:rsidP="00E93CF9">
            <w:pPr>
              <w:pStyle w:val="ListParagraph"/>
              <w:numPr>
                <w:ilvl w:val="0"/>
                <w:numId w:val="3"/>
              </w:numPr>
              <w:rPr>
                <w:sz w:val="20"/>
                <w:szCs w:val="20"/>
              </w:rPr>
            </w:pPr>
            <w:r w:rsidRPr="0027362C">
              <w:rPr>
                <w:sz w:val="20"/>
              </w:rPr>
              <w:t>Tris(nonylfenyl)fosfit</w:t>
            </w:r>
          </w:p>
        </w:tc>
        <w:tc>
          <w:tcPr>
            <w:tcW w:w="2680" w:type="dxa"/>
          </w:tcPr>
          <w:p w14:paraId="162D69BA" w14:textId="77777777" w:rsidR="00E93CF9" w:rsidRPr="0027362C" w:rsidRDefault="00E93CF9" w:rsidP="00E93CF9">
            <w:pPr>
              <w:jc w:val="center"/>
              <w:rPr>
                <w:sz w:val="20"/>
                <w:szCs w:val="20"/>
              </w:rPr>
            </w:pPr>
          </w:p>
          <w:p w14:paraId="673DD03F" w14:textId="77777777" w:rsidR="00E93CF9" w:rsidRPr="0027362C" w:rsidRDefault="00E93CF9" w:rsidP="00E93CF9">
            <w:pPr>
              <w:jc w:val="center"/>
              <w:rPr>
                <w:sz w:val="20"/>
                <w:szCs w:val="20"/>
              </w:rPr>
            </w:pPr>
          </w:p>
          <w:p w14:paraId="496AEC42" w14:textId="77777777" w:rsidR="00E93CF9" w:rsidRPr="0027362C" w:rsidRDefault="00E93CF9" w:rsidP="00E93CF9">
            <w:pPr>
              <w:jc w:val="center"/>
              <w:rPr>
                <w:sz w:val="20"/>
                <w:szCs w:val="20"/>
              </w:rPr>
            </w:pPr>
          </w:p>
          <w:p w14:paraId="1689416E" w14:textId="77777777" w:rsidR="00E93CF9" w:rsidRPr="0027362C" w:rsidRDefault="00E93CF9" w:rsidP="00E93CF9">
            <w:pPr>
              <w:jc w:val="center"/>
              <w:rPr>
                <w:sz w:val="20"/>
                <w:szCs w:val="20"/>
              </w:rPr>
            </w:pPr>
          </w:p>
          <w:p w14:paraId="504A4CA9" w14:textId="77777777" w:rsidR="00E93CF9" w:rsidRPr="0027362C" w:rsidRDefault="00E93CF9" w:rsidP="00E93CF9">
            <w:pPr>
              <w:jc w:val="center"/>
              <w:rPr>
                <w:sz w:val="20"/>
                <w:szCs w:val="20"/>
              </w:rPr>
            </w:pPr>
          </w:p>
          <w:p w14:paraId="25F684FB" w14:textId="2A9FD20F" w:rsidR="00E93CF9" w:rsidRPr="0027362C" w:rsidRDefault="00E93CF9" w:rsidP="00E93CF9">
            <w:pPr>
              <w:jc w:val="center"/>
              <w:rPr>
                <w:sz w:val="20"/>
                <w:szCs w:val="20"/>
              </w:rPr>
            </w:pPr>
            <w:r w:rsidRPr="0027362C">
              <w:rPr>
                <w:sz w:val="20"/>
              </w:rPr>
              <w:t>-</w:t>
            </w:r>
          </w:p>
          <w:p w14:paraId="6C8F3D54" w14:textId="77777777" w:rsidR="00E93CF9" w:rsidRPr="0027362C" w:rsidRDefault="00E93CF9" w:rsidP="00E93CF9">
            <w:pPr>
              <w:jc w:val="center"/>
              <w:rPr>
                <w:sz w:val="20"/>
                <w:szCs w:val="20"/>
              </w:rPr>
            </w:pPr>
          </w:p>
          <w:p w14:paraId="7D586553" w14:textId="4EBD0BB2" w:rsidR="00E93CF9" w:rsidRPr="0027362C" w:rsidRDefault="00E93CF9" w:rsidP="00E93CF9">
            <w:pPr>
              <w:jc w:val="center"/>
              <w:rPr>
                <w:sz w:val="20"/>
                <w:szCs w:val="20"/>
              </w:rPr>
            </w:pPr>
            <w:r w:rsidRPr="0027362C">
              <w:rPr>
                <w:sz w:val="20"/>
              </w:rPr>
              <w:t>3050-88-2</w:t>
            </w:r>
          </w:p>
          <w:p w14:paraId="7C685F9A" w14:textId="77777777" w:rsidR="00E93CF9" w:rsidRPr="0027362C" w:rsidRDefault="00E93CF9" w:rsidP="00E93CF9">
            <w:pPr>
              <w:jc w:val="center"/>
              <w:rPr>
                <w:sz w:val="20"/>
                <w:szCs w:val="20"/>
              </w:rPr>
            </w:pPr>
          </w:p>
          <w:p w14:paraId="2E8935C4" w14:textId="433420AE" w:rsidR="00E93CF9" w:rsidRPr="0027362C" w:rsidRDefault="00E93CF9" w:rsidP="00E93CF9">
            <w:pPr>
              <w:jc w:val="center"/>
              <w:rPr>
                <w:sz w:val="20"/>
                <w:szCs w:val="20"/>
              </w:rPr>
            </w:pPr>
            <w:r w:rsidRPr="0027362C">
              <w:rPr>
                <w:sz w:val="20"/>
              </w:rPr>
              <w:t>26523-78-4</w:t>
            </w:r>
          </w:p>
        </w:tc>
        <w:tc>
          <w:tcPr>
            <w:tcW w:w="2676" w:type="dxa"/>
          </w:tcPr>
          <w:p w14:paraId="5FD3F30C" w14:textId="77777777" w:rsidR="00E93CF9" w:rsidRPr="0027362C" w:rsidRDefault="00E93CF9" w:rsidP="00E93CF9">
            <w:pPr>
              <w:jc w:val="center"/>
              <w:rPr>
                <w:color w:val="384A53"/>
                <w:sz w:val="20"/>
                <w:szCs w:val="20"/>
              </w:rPr>
            </w:pPr>
          </w:p>
          <w:p w14:paraId="611FFC55" w14:textId="77777777" w:rsidR="00E93CF9" w:rsidRPr="0027362C" w:rsidRDefault="00E93CF9" w:rsidP="00E93CF9">
            <w:pPr>
              <w:jc w:val="center"/>
              <w:rPr>
                <w:color w:val="384A53"/>
                <w:sz w:val="20"/>
                <w:szCs w:val="20"/>
              </w:rPr>
            </w:pPr>
          </w:p>
          <w:p w14:paraId="23203514" w14:textId="77777777" w:rsidR="00E93CF9" w:rsidRPr="0027362C" w:rsidRDefault="00E93CF9" w:rsidP="00E93CF9">
            <w:pPr>
              <w:jc w:val="center"/>
              <w:rPr>
                <w:color w:val="384A53"/>
                <w:sz w:val="20"/>
                <w:szCs w:val="20"/>
              </w:rPr>
            </w:pPr>
          </w:p>
          <w:p w14:paraId="3DB3B8FA" w14:textId="77777777" w:rsidR="00E93CF9" w:rsidRPr="0027362C" w:rsidRDefault="00E93CF9" w:rsidP="00E93CF9">
            <w:pPr>
              <w:jc w:val="center"/>
              <w:rPr>
                <w:sz w:val="20"/>
                <w:szCs w:val="20"/>
              </w:rPr>
            </w:pPr>
          </w:p>
          <w:p w14:paraId="5A526ED2" w14:textId="77777777" w:rsidR="00E93CF9" w:rsidRPr="0027362C" w:rsidRDefault="00E93CF9" w:rsidP="00E93CF9">
            <w:pPr>
              <w:jc w:val="center"/>
              <w:rPr>
                <w:sz w:val="20"/>
                <w:szCs w:val="20"/>
              </w:rPr>
            </w:pPr>
          </w:p>
          <w:p w14:paraId="25A0FED5" w14:textId="5271686F" w:rsidR="00E93CF9" w:rsidRPr="0027362C" w:rsidRDefault="00E93CF9" w:rsidP="00E93CF9">
            <w:pPr>
              <w:jc w:val="center"/>
              <w:rPr>
                <w:sz w:val="20"/>
                <w:szCs w:val="20"/>
              </w:rPr>
            </w:pPr>
            <w:r w:rsidRPr="0027362C">
              <w:rPr>
                <w:sz w:val="20"/>
              </w:rPr>
              <w:t>701-028-2</w:t>
            </w:r>
          </w:p>
          <w:p w14:paraId="63C05D56" w14:textId="77777777" w:rsidR="00E93CF9" w:rsidRPr="0027362C" w:rsidRDefault="00E93CF9" w:rsidP="00E93CF9">
            <w:pPr>
              <w:jc w:val="center"/>
              <w:rPr>
                <w:sz w:val="20"/>
                <w:szCs w:val="20"/>
              </w:rPr>
            </w:pPr>
          </w:p>
          <w:p w14:paraId="2C5CFE8E" w14:textId="65C9A579" w:rsidR="00E93CF9" w:rsidRPr="0027362C" w:rsidRDefault="00E93CF9" w:rsidP="00E93CF9">
            <w:pPr>
              <w:jc w:val="center"/>
              <w:rPr>
                <w:sz w:val="20"/>
                <w:szCs w:val="20"/>
              </w:rPr>
            </w:pPr>
            <w:r w:rsidRPr="0027362C">
              <w:rPr>
                <w:sz w:val="20"/>
              </w:rPr>
              <w:t>608-492-4</w:t>
            </w:r>
          </w:p>
          <w:p w14:paraId="03DE0F1E" w14:textId="77777777" w:rsidR="00E93CF9" w:rsidRPr="0027362C" w:rsidRDefault="00E93CF9" w:rsidP="00E93CF9">
            <w:pPr>
              <w:jc w:val="center"/>
              <w:rPr>
                <w:sz w:val="20"/>
                <w:szCs w:val="20"/>
              </w:rPr>
            </w:pPr>
          </w:p>
          <w:p w14:paraId="0FE83D65" w14:textId="069E6AE0" w:rsidR="00E93CF9" w:rsidRPr="0027362C" w:rsidRDefault="00E93CF9" w:rsidP="00E93CF9">
            <w:pPr>
              <w:jc w:val="center"/>
              <w:rPr>
                <w:sz w:val="20"/>
                <w:szCs w:val="20"/>
              </w:rPr>
            </w:pPr>
            <w:r w:rsidRPr="0027362C">
              <w:rPr>
                <w:sz w:val="20"/>
              </w:rPr>
              <w:t>247-759-6</w:t>
            </w:r>
          </w:p>
        </w:tc>
      </w:tr>
      <w:tr w:rsidR="00E93CF9" w:rsidRPr="0027362C" w14:paraId="0897E629" w14:textId="5B8808FB" w:rsidTr="00EB2FDE">
        <w:tc>
          <w:tcPr>
            <w:tcW w:w="3449" w:type="dxa"/>
          </w:tcPr>
          <w:p w14:paraId="2952BEDB" w14:textId="77777777" w:rsidR="00E93CF9" w:rsidRPr="0027362C" w:rsidRDefault="00E93CF9" w:rsidP="00E93CF9">
            <w:pPr>
              <w:rPr>
                <w:sz w:val="20"/>
                <w:szCs w:val="20"/>
              </w:rPr>
            </w:pPr>
            <w:r w:rsidRPr="0027362C">
              <w:rPr>
                <w:sz w:val="20"/>
              </w:rPr>
              <w:t xml:space="preserve">Reaktionsprodukter av 1,3,4-tiadiazolidin-2,5-dithion, formaldehyd och 4-heptylfenol, trendiga och linjära (RP-HP) </w:t>
            </w:r>
          </w:p>
          <w:p w14:paraId="561DC03D" w14:textId="66709812" w:rsidR="00E93CF9" w:rsidRPr="0027362C" w:rsidRDefault="00E93CF9" w:rsidP="00E93CF9">
            <w:pPr>
              <w:rPr>
                <w:sz w:val="20"/>
                <w:szCs w:val="20"/>
              </w:rPr>
            </w:pPr>
            <w:r w:rsidRPr="0027362C">
              <w:rPr>
                <w:sz w:val="20"/>
              </w:rPr>
              <w:t>[med ≥ 0,1 viktprocent 4-heptylfenol, grenad och linjär]</w:t>
            </w:r>
          </w:p>
        </w:tc>
        <w:tc>
          <w:tcPr>
            <w:tcW w:w="2680" w:type="dxa"/>
            <w:vAlign w:val="center"/>
          </w:tcPr>
          <w:p w14:paraId="1D2CFB63" w14:textId="3B133BDB" w:rsidR="00E93CF9" w:rsidRPr="0027362C" w:rsidRDefault="00E93CF9" w:rsidP="00E93CF9">
            <w:pPr>
              <w:pStyle w:val="ListParagraph"/>
              <w:ind w:hanging="845"/>
              <w:jc w:val="center"/>
              <w:rPr>
                <w:sz w:val="20"/>
                <w:szCs w:val="20"/>
              </w:rPr>
            </w:pPr>
            <w:r w:rsidRPr="0027362C">
              <w:rPr>
                <w:sz w:val="20"/>
              </w:rPr>
              <w:t>-</w:t>
            </w:r>
          </w:p>
        </w:tc>
        <w:tc>
          <w:tcPr>
            <w:tcW w:w="2676" w:type="dxa"/>
            <w:vAlign w:val="center"/>
          </w:tcPr>
          <w:p w14:paraId="0CCD755B" w14:textId="5C672518" w:rsidR="00E93CF9" w:rsidRPr="0027362C" w:rsidRDefault="00E93CF9" w:rsidP="00E93CF9">
            <w:pPr>
              <w:pStyle w:val="ListParagraph"/>
              <w:ind w:hanging="720"/>
              <w:jc w:val="center"/>
              <w:rPr>
                <w:sz w:val="20"/>
                <w:szCs w:val="20"/>
              </w:rPr>
            </w:pPr>
            <w:r w:rsidRPr="0027362C">
              <w:rPr>
                <w:sz w:val="20"/>
              </w:rPr>
              <w:t>-</w:t>
            </w:r>
          </w:p>
        </w:tc>
      </w:tr>
      <w:tr w:rsidR="00E93CF9" w:rsidRPr="0027362C" w14:paraId="02A73360" w14:textId="411BD450" w:rsidTr="00A95817">
        <w:tc>
          <w:tcPr>
            <w:tcW w:w="3449" w:type="dxa"/>
          </w:tcPr>
          <w:p w14:paraId="4665671F" w14:textId="15FFA47B" w:rsidR="00E93CF9" w:rsidRPr="0027362C" w:rsidRDefault="00E93CF9" w:rsidP="00E93CF9">
            <w:pPr>
              <w:rPr>
                <w:sz w:val="20"/>
                <w:szCs w:val="20"/>
              </w:rPr>
            </w:pPr>
            <w:r w:rsidRPr="0027362C">
              <w:rPr>
                <w:sz w:val="20"/>
              </w:rPr>
              <w:t>4-tert-pentylfeno l(PTAP)</w:t>
            </w:r>
          </w:p>
        </w:tc>
        <w:tc>
          <w:tcPr>
            <w:tcW w:w="2680" w:type="dxa"/>
            <w:vAlign w:val="center"/>
          </w:tcPr>
          <w:p w14:paraId="71224A09" w14:textId="7C06FC95" w:rsidR="00E93CF9" w:rsidRPr="0027362C" w:rsidRDefault="00E93CF9" w:rsidP="00E93CF9">
            <w:pPr>
              <w:jc w:val="center"/>
              <w:rPr>
                <w:sz w:val="20"/>
                <w:szCs w:val="20"/>
              </w:rPr>
            </w:pPr>
            <w:r w:rsidRPr="0027362C">
              <w:rPr>
                <w:sz w:val="20"/>
              </w:rPr>
              <w:t>80-46-6</w:t>
            </w:r>
          </w:p>
        </w:tc>
        <w:tc>
          <w:tcPr>
            <w:tcW w:w="2676" w:type="dxa"/>
            <w:vAlign w:val="center"/>
          </w:tcPr>
          <w:p w14:paraId="63ACDA00" w14:textId="3314CB6D" w:rsidR="00E93CF9" w:rsidRPr="0027362C" w:rsidRDefault="00E93CF9" w:rsidP="00E93CF9">
            <w:pPr>
              <w:jc w:val="center"/>
              <w:rPr>
                <w:sz w:val="20"/>
                <w:szCs w:val="20"/>
              </w:rPr>
            </w:pPr>
            <w:r w:rsidRPr="0027362C">
              <w:rPr>
                <w:sz w:val="20"/>
              </w:rPr>
              <w:t>201-280-9</w:t>
            </w:r>
          </w:p>
        </w:tc>
      </w:tr>
      <w:tr w:rsidR="00E93CF9" w:rsidRPr="0027362C" w14:paraId="07FA3306" w14:textId="79342323" w:rsidTr="00A95817">
        <w:tc>
          <w:tcPr>
            <w:tcW w:w="3449" w:type="dxa"/>
            <w:vAlign w:val="center"/>
          </w:tcPr>
          <w:p w14:paraId="636A957B" w14:textId="0F92096D" w:rsidR="00E93CF9" w:rsidRPr="0027362C" w:rsidRDefault="00E93CF9" w:rsidP="00E93CF9">
            <w:pPr>
              <w:rPr>
                <w:sz w:val="20"/>
                <w:szCs w:val="20"/>
              </w:rPr>
            </w:pPr>
            <w:r w:rsidRPr="0027362C">
              <w:rPr>
                <w:sz w:val="20"/>
              </w:rPr>
              <w:t>Diisobutylftalat (DIBP)</w:t>
            </w:r>
          </w:p>
        </w:tc>
        <w:tc>
          <w:tcPr>
            <w:tcW w:w="2680" w:type="dxa"/>
            <w:vAlign w:val="center"/>
          </w:tcPr>
          <w:p w14:paraId="668D3727" w14:textId="3FCCF2A2" w:rsidR="00E93CF9" w:rsidRPr="0027362C" w:rsidRDefault="00E93CF9" w:rsidP="00E93CF9">
            <w:pPr>
              <w:jc w:val="center"/>
              <w:rPr>
                <w:sz w:val="20"/>
                <w:szCs w:val="20"/>
              </w:rPr>
            </w:pPr>
            <w:r w:rsidRPr="0027362C">
              <w:rPr>
                <w:sz w:val="20"/>
              </w:rPr>
              <w:t>84-69-5</w:t>
            </w:r>
          </w:p>
        </w:tc>
        <w:tc>
          <w:tcPr>
            <w:tcW w:w="2676" w:type="dxa"/>
            <w:vAlign w:val="center"/>
          </w:tcPr>
          <w:p w14:paraId="6035008E" w14:textId="5AA54357" w:rsidR="00E93CF9" w:rsidRPr="0027362C" w:rsidRDefault="00E93CF9" w:rsidP="00E93CF9">
            <w:pPr>
              <w:jc w:val="center"/>
              <w:rPr>
                <w:sz w:val="20"/>
                <w:szCs w:val="20"/>
              </w:rPr>
            </w:pPr>
            <w:r w:rsidRPr="0027362C">
              <w:rPr>
                <w:sz w:val="20"/>
              </w:rPr>
              <w:t>201-553-2</w:t>
            </w:r>
          </w:p>
        </w:tc>
      </w:tr>
      <w:tr w:rsidR="00E93CF9" w:rsidRPr="0027362C" w14:paraId="425C7666" w14:textId="6C6337C0" w:rsidTr="00A95817">
        <w:tc>
          <w:tcPr>
            <w:tcW w:w="3449" w:type="dxa"/>
            <w:vAlign w:val="center"/>
          </w:tcPr>
          <w:p w14:paraId="2484315E" w14:textId="39C8F1D1" w:rsidR="00E93CF9" w:rsidRPr="0027362C" w:rsidRDefault="00E93CF9" w:rsidP="00E93CF9">
            <w:pPr>
              <w:rPr>
                <w:sz w:val="20"/>
                <w:szCs w:val="20"/>
              </w:rPr>
            </w:pPr>
            <w:r w:rsidRPr="0027362C">
              <w:rPr>
                <w:sz w:val="20"/>
              </w:rPr>
              <w:t>Dicyklohexylftalat (DCHP)</w:t>
            </w:r>
          </w:p>
        </w:tc>
        <w:tc>
          <w:tcPr>
            <w:tcW w:w="2680" w:type="dxa"/>
            <w:vAlign w:val="center"/>
          </w:tcPr>
          <w:p w14:paraId="0BACDEA1" w14:textId="3485091E" w:rsidR="00E93CF9" w:rsidRPr="0027362C" w:rsidRDefault="00E93CF9" w:rsidP="00E93CF9">
            <w:pPr>
              <w:jc w:val="center"/>
              <w:rPr>
                <w:sz w:val="20"/>
                <w:szCs w:val="20"/>
              </w:rPr>
            </w:pPr>
            <w:r w:rsidRPr="0027362C">
              <w:rPr>
                <w:sz w:val="20"/>
              </w:rPr>
              <w:t>84-61-7</w:t>
            </w:r>
          </w:p>
        </w:tc>
        <w:tc>
          <w:tcPr>
            <w:tcW w:w="2676" w:type="dxa"/>
            <w:vAlign w:val="center"/>
          </w:tcPr>
          <w:p w14:paraId="355EBDBB" w14:textId="6EBB9CB0" w:rsidR="00E93CF9" w:rsidRPr="0027362C" w:rsidRDefault="00E93CF9" w:rsidP="00E93CF9">
            <w:pPr>
              <w:jc w:val="center"/>
              <w:rPr>
                <w:sz w:val="20"/>
                <w:szCs w:val="20"/>
              </w:rPr>
            </w:pPr>
            <w:r w:rsidRPr="0027362C">
              <w:rPr>
                <w:sz w:val="20"/>
              </w:rPr>
              <w:t>201-545-9</w:t>
            </w:r>
          </w:p>
        </w:tc>
      </w:tr>
      <w:tr w:rsidR="00E93CF9" w:rsidRPr="0027362C" w14:paraId="1EEDD8D3" w14:textId="0EA187E0" w:rsidTr="00A95817">
        <w:tc>
          <w:tcPr>
            <w:tcW w:w="3449" w:type="dxa"/>
            <w:vAlign w:val="center"/>
          </w:tcPr>
          <w:p w14:paraId="7036FC18" w14:textId="436DC02A" w:rsidR="00E93CF9" w:rsidRPr="0027362C" w:rsidRDefault="00E93CF9" w:rsidP="00E93CF9">
            <w:pPr>
              <w:rPr>
                <w:sz w:val="20"/>
                <w:szCs w:val="20"/>
              </w:rPr>
            </w:pPr>
            <w:r w:rsidRPr="0027362C">
              <w:rPr>
                <w:sz w:val="20"/>
              </w:rPr>
              <w:t>Dibutylftalat (DBP)</w:t>
            </w:r>
          </w:p>
        </w:tc>
        <w:tc>
          <w:tcPr>
            <w:tcW w:w="2680" w:type="dxa"/>
            <w:vAlign w:val="center"/>
          </w:tcPr>
          <w:p w14:paraId="5A8AB5A7" w14:textId="2E76EF25" w:rsidR="00E93CF9" w:rsidRPr="0027362C" w:rsidRDefault="00E93CF9" w:rsidP="00E93CF9">
            <w:pPr>
              <w:jc w:val="center"/>
              <w:rPr>
                <w:sz w:val="20"/>
                <w:szCs w:val="20"/>
              </w:rPr>
            </w:pPr>
            <w:r w:rsidRPr="0027362C">
              <w:rPr>
                <w:sz w:val="20"/>
              </w:rPr>
              <w:t>84-74-2</w:t>
            </w:r>
          </w:p>
        </w:tc>
        <w:tc>
          <w:tcPr>
            <w:tcW w:w="2676" w:type="dxa"/>
            <w:vAlign w:val="center"/>
          </w:tcPr>
          <w:p w14:paraId="65E66727" w14:textId="23C124CD" w:rsidR="00E93CF9" w:rsidRPr="0027362C" w:rsidRDefault="00E93CF9" w:rsidP="00E93CF9">
            <w:pPr>
              <w:jc w:val="center"/>
              <w:rPr>
                <w:sz w:val="20"/>
                <w:szCs w:val="20"/>
              </w:rPr>
            </w:pPr>
            <w:r w:rsidRPr="0027362C">
              <w:rPr>
                <w:sz w:val="20"/>
              </w:rPr>
              <w:t>201-557-4</w:t>
            </w:r>
          </w:p>
        </w:tc>
      </w:tr>
      <w:tr w:rsidR="00E93CF9" w:rsidRPr="0027362C" w14:paraId="529DDB67" w14:textId="531027A5" w:rsidTr="00A95817">
        <w:tc>
          <w:tcPr>
            <w:tcW w:w="3449" w:type="dxa"/>
            <w:vAlign w:val="center"/>
          </w:tcPr>
          <w:p w14:paraId="25A3DAD7" w14:textId="6E54A57D" w:rsidR="00E93CF9" w:rsidRPr="0027362C" w:rsidRDefault="00E93CF9" w:rsidP="00E93CF9">
            <w:pPr>
              <w:rPr>
                <w:sz w:val="20"/>
                <w:szCs w:val="20"/>
              </w:rPr>
            </w:pPr>
            <w:r w:rsidRPr="0027362C">
              <w:rPr>
                <w:sz w:val="20"/>
              </w:rPr>
              <w:t xml:space="preserve">Kolekalciferol </w:t>
            </w:r>
          </w:p>
        </w:tc>
        <w:tc>
          <w:tcPr>
            <w:tcW w:w="2680" w:type="dxa"/>
            <w:vAlign w:val="center"/>
          </w:tcPr>
          <w:p w14:paraId="22976ACA" w14:textId="43AD9574" w:rsidR="00E93CF9" w:rsidRPr="0027362C" w:rsidRDefault="00E93CF9" w:rsidP="00E93CF9">
            <w:pPr>
              <w:jc w:val="center"/>
              <w:rPr>
                <w:sz w:val="20"/>
                <w:szCs w:val="20"/>
              </w:rPr>
            </w:pPr>
            <w:r w:rsidRPr="0027362C">
              <w:rPr>
                <w:sz w:val="20"/>
              </w:rPr>
              <w:t>67-97-0</w:t>
            </w:r>
          </w:p>
        </w:tc>
        <w:tc>
          <w:tcPr>
            <w:tcW w:w="2676" w:type="dxa"/>
            <w:vAlign w:val="center"/>
          </w:tcPr>
          <w:p w14:paraId="2DCDD509" w14:textId="754B59D4" w:rsidR="00E93CF9" w:rsidRPr="0027362C" w:rsidRDefault="00E93CF9" w:rsidP="00E93CF9">
            <w:pPr>
              <w:jc w:val="center"/>
              <w:rPr>
                <w:sz w:val="20"/>
                <w:szCs w:val="20"/>
              </w:rPr>
            </w:pPr>
            <w:r w:rsidRPr="0027362C">
              <w:rPr>
                <w:sz w:val="20"/>
              </w:rPr>
              <w:t>200-673-2</w:t>
            </w:r>
          </w:p>
        </w:tc>
      </w:tr>
      <w:tr w:rsidR="00E93CF9" w:rsidRPr="0027362C" w14:paraId="5B54DEFF" w14:textId="77777777" w:rsidTr="00A95817">
        <w:tc>
          <w:tcPr>
            <w:tcW w:w="3449" w:type="dxa"/>
            <w:vAlign w:val="center"/>
          </w:tcPr>
          <w:p w14:paraId="159E6E20" w14:textId="462AB5BD" w:rsidR="00E93CF9" w:rsidRPr="0027362C" w:rsidRDefault="00E93CF9" w:rsidP="00E93CF9">
            <w:pPr>
              <w:rPr>
                <w:sz w:val="20"/>
                <w:szCs w:val="20"/>
              </w:rPr>
            </w:pPr>
            <w:r w:rsidRPr="0027362C">
              <w:rPr>
                <w:sz w:val="20"/>
              </w:rPr>
              <w:t>Butyl 4-hydroxibensoat</w:t>
            </w:r>
          </w:p>
        </w:tc>
        <w:tc>
          <w:tcPr>
            <w:tcW w:w="2680" w:type="dxa"/>
            <w:vAlign w:val="center"/>
          </w:tcPr>
          <w:p w14:paraId="79F3709A" w14:textId="66C22049" w:rsidR="00E93CF9" w:rsidRPr="0027362C" w:rsidRDefault="00E93CF9" w:rsidP="00E93CF9">
            <w:pPr>
              <w:jc w:val="center"/>
              <w:rPr>
                <w:sz w:val="20"/>
                <w:szCs w:val="20"/>
              </w:rPr>
            </w:pPr>
            <w:r w:rsidRPr="0027362C">
              <w:rPr>
                <w:sz w:val="20"/>
              </w:rPr>
              <w:t>94-26-8</w:t>
            </w:r>
          </w:p>
        </w:tc>
        <w:tc>
          <w:tcPr>
            <w:tcW w:w="2676" w:type="dxa"/>
            <w:vAlign w:val="center"/>
          </w:tcPr>
          <w:p w14:paraId="0B33BFE1" w14:textId="0243ABFA" w:rsidR="00E93CF9" w:rsidRPr="0027362C" w:rsidRDefault="00E93CF9" w:rsidP="00E93CF9">
            <w:pPr>
              <w:jc w:val="center"/>
              <w:rPr>
                <w:sz w:val="20"/>
                <w:szCs w:val="20"/>
              </w:rPr>
            </w:pPr>
            <w:r w:rsidRPr="0027362C">
              <w:rPr>
                <w:sz w:val="20"/>
              </w:rPr>
              <w:t>202-318-7</w:t>
            </w:r>
          </w:p>
        </w:tc>
      </w:tr>
      <w:tr w:rsidR="00E93CF9" w:rsidRPr="0027362C" w14:paraId="13C0F189" w14:textId="77777777" w:rsidTr="00A95817">
        <w:tc>
          <w:tcPr>
            <w:tcW w:w="3449" w:type="dxa"/>
            <w:vAlign w:val="center"/>
          </w:tcPr>
          <w:p w14:paraId="0C63F40B" w14:textId="3A5C7A89" w:rsidR="00E93CF9" w:rsidRPr="0027362C" w:rsidRDefault="00E93CF9" w:rsidP="00E93CF9">
            <w:pPr>
              <w:rPr>
                <w:sz w:val="20"/>
                <w:szCs w:val="20"/>
              </w:rPr>
            </w:pPr>
            <w:r w:rsidRPr="0027362C">
              <w:rPr>
                <w:sz w:val="20"/>
              </w:rPr>
              <w:t>4,4’-isopropylidendifenol (bisfenol A)</w:t>
            </w:r>
          </w:p>
        </w:tc>
        <w:tc>
          <w:tcPr>
            <w:tcW w:w="2680" w:type="dxa"/>
            <w:vAlign w:val="center"/>
          </w:tcPr>
          <w:p w14:paraId="7195F839" w14:textId="405D7D8A" w:rsidR="00E93CF9" w:rsidRPr="0027362C" w:rsidRDefault="00E93CF9" w:rsidP="00E93CF9">
            <w:pPr>
              <w:jc w:val="center"/>
              <w:rPr>
                <w:sz w:val="20"/>
                <w:szCs w:val="20"/>
              </w:rPr>
            </w:pPr>
            <w:r w:rsidRPr="0027362C">
              <w:rPr>
                <w:sz w:val="20"/>
              </w:rPr>
              <w:t>80-05-7</w:t>
            </w:r>
          </w:p>
        </w:tc>
        <w:tc>
          <w:tcPr>
            <w:tcW w:w="2676" w:type="dxa"/>
            <w:vAlign w:val="center"/>
          </w:tcPr>
          <w:p w14:paraId="2160A5AF" w14:textId="5DA5FBFC" w:rsidR="00E93CF9" w:rsidRPr="0027362C" w:rsidRDefault="00E93CF9" w:rsidP="00E93CF9">
            <w:pPr>
              <w:jc w:val="center"/>
              <w:rPr>
                <w:sz w:val="20"/>
                <w:szCs w:val="20"/>
              </w:rPr>
            </w:pPr>
            <w:r w:rsidRPr="0027362C">
              <w:rPr>
                <w:sz w:val="20"/>
              </w:rPr>
              <w:t>201-245-8</w:t>
            </w:r>
          </w:p>
        </w:tc>
      </w:tr>
      <w:tr w:rsidR="00E93CF9" w:rsidRPr="0027362C" w14:paraId="270E6B64" w14:textId="77777777" w:rsidTr="00A95817">
        <w:tc>
          <w:tcPr>
            <w:tcW w:w="3449" w:type="dxa"/>
            <w:vAlign w:val="center"/>
          </w:tcPr>
          <w:p w14:paraId="4F5992E0" w14:textId="242606A2" w:rsidR="00E93CF9" w:rsidRPr="0027362C" w:rsidRDefault="00E93CF9" w:rsidP="00E93CF9">
            <w:pPr>
              <w:rPr>
                <w:sz w:val="20"/>
                <w:szCs w:val="20"/>
              </w:rPr>
            </w:pPr>
            <w:r w:rsidRPr="0027362C">
              <w:rPr>
                <w:sz w:val="20"/>
              </w:rPr>
              <w:t>Bis(2-etylhexyl)ftalat (DEHP)</w:t>
            </w:r>
          </w:p>
        </w:tc>
        <w:tc>
          <w:tcPr>
            <w:tcW w:w="2680" w:type="dxa"/>
            <w:vAlign w:val="center"/>
          </w:tcPr>
          <w:p w14:paraId="3A6479C9" w14:textId="43C0DF1E" w:rsidR="00E93CF9" w:rsidRPr="0027362C" w:rsidRDefault="00E93CF9" w:rsidP="00E93CF9">
            <w:pPr>
              <w:jc w:val="center"/>
              <w:rPr>
                <w:sz w:val="20"/>
                <w:szCs w:val="20"/>
              </w:rPr>
            </w:pPr>
            <w:r w:rsidRPr="0027362C">
              <w:rPr>
                <w:sz w:val="20"/>
              </w:rPr>
              <w:t>117-81-7</w:t>
            </w:r>
          </w:p>
        </w:tc>
        <w:tc>
          <w:tcPr>
            <w:tcW w:w="2676" w:type="dxa"/>
            <w:vAlign w:val="center"/>
          </w:tcPr>
          <w:p w14:paraId="3BA0E8C4" w14:textId="0AE4C2CB" w:rsidR="00E93CF9" w:rsidRPr="0027362C" w:rsidRDefault="00E93CF9" w:rsidP="00E93CF9">
            <w:pPr>
              <w:jc w:val="center"/>
              <w:rPr>
                <w:sz w:val="20"/>
                <w:szCs w:val="20"/>
              </w:rPr>
            </w:pPr>
            <w:r w:rsidRPr="0027362C">
              <w:rPr>
                <w:sz w:val="20"/>
              </w:rPr>
              <w:t>204-211-0</w:t>
            </w:r>
          </w:p>
        </w:tc>
      </w:tr>
      <w:tr w:rsidR="00E93CF9" w:rsidRPr="0027362C" w14:paraId="6797E19F" w14:textId="77777777" w:rsidTr="00A95817">
        <w:tc>
          <w:tcPr>
            <w:tcW w:w="3449" w:type="dxa"/>
            <w:vAlign w:val="center"/>
          </w:tcPr>
          <w:p w14:paraId="29DBA1BA" w14:textId="60CD7756" w:rsidR="00E93CF9" w:rsidRPr="0027362C" w:rsidRDefault="00E93CF9" w:rsidP="00E93CF9">
            <w:pPr>
              <w:rPr>
                <w:sz w:val="20"/>
                <w:szCs w:val="20"/>
              </w:rPr>
            </w:pPr>
            <w:r w:rsidRPr="0027362C">
              <w:rPr>
                <w:sz w:val="20"/>
              </w:rPr>
              <w:t>Bensylbutylftalat (BBP)</w:t>
            </w:r>
          </w:p>
        </w:tc>
        <w:tc>
          <w:tcPr>
            <w:tcW w:w="2680" w:type="dxa"/>
            <w:vAlign w:val="center"/>
          </w:tcPr>
          <w:p w14:paraId="69D82BEB" w14:textId="593C634E" w:rsidR="00E93CF9" w:rsidRPr="0027362C" w:rsidRDefault="00E93CF9" w:rsidP="00E93CF9">
            <w:pPr>
              <w:jc w:val="center"/>
              <w:rPr>
                <w:sz w:val="20"/>
                <w:szCs w:val="20"/>
              </w:rPr>
            </w:pPr>
            <w:r w:rsidRPr="0027362C">
              <w:rPr>
                <w:sz w:val="20"/>
              </w:rPr>
              <w:t>85-68-7</w:t>
            </w:r>
          </w:p>
        </w:tc>
        <w:tc>
          <w:tcPr>
            <w:tcW w:w="2676" w:type="dxa"/>
            <w:vAlign w:val="center"/>
          </w:tcPr>
          <w:p w14:paraId="2519BDED" w14:textId="7CBA8644" w:rsidR="00E93CF9" w:rsidRPr="0027362C" w:rsidRDefault="00E93CF9" w:rsidP="00E93CF9">
            <w:pPr>
              <w:jc w:val="center"/>
              <w:rPr>
                <w:sz w:val="20"/>
                <w:szCs w:val="20"/>
              </w:rPr>
            </w:pPr>
            <w:r w:rsidRPr="0027362C">
              <w:rPr>
                <w:sz w:val="20"/>
              </w:rPr>
              <w:t>201-622-7</w:t>
            </w:r>
          </w:p>
        </w:tc>
      </w:tr>
      <w:tr w:rsidR="00E93CF9" w:rsidRPr="0027362C" w14:paraId="20DA067C" w14:textId="77777777" w:rsidTr="00A95817">
        <w:tc>
          <w:tcPr>
            <w:tcW w:w="3449" w:type="dxa"/>
            <w:vAlign w:val="center"/>
          </w:tcPr>
          <w:p w14:paraId="5FD4C2D6" w14:textId="44B73653" w:rsidR="00E93CF9" w:rsidRPr="0027362C" w:rsidRDefault="00E93CF9" w:rsidP="00E93CF9">
            <w:pPr>
              <w:rPr>
                <w:sz w:val="20"/>
                <w:szCs w:val="20"/>
              </w:rPr>
            </w:pPr>
            <w:r w:rsidRPr="0027362C">
              <w:rPr>
                <w:sz w:val="20"/>
              </w:rPr>
              <w:t>4-tert-butylfenol</w:t>
            </w:r>
          </w:p>
        </w:tc>
        <w:tc>
          <w:tcPr>
            <w:tcW w:w="2680" w:type="dxa"/>
            <w:vAlign w:val="center"/>
          </w:tcPr>
          <w:p w14:paraId="00437B17" w14:textId="1ABDE43A" w:rsidR="00E93CF9" w:rsidRPr="0027362C" w:rsidRDefault="00E93CF9" w:rsidP="00E93CF9">
            <w:pPr>
              <w:jc w:val="center"/>
              <w:rPr>
                <w:sz w:val="20"/>
                <w:szCs w:val="20"/>
              </w:rPr>
            </w:pPr>
            <w:r w:rsidRPr="0027362C">
              <w:rPr>
                <w:sz w:val="20"/>
              </w:rPr>
              <w:t>98-54-4</w:t>
            </w:r>
          </w:p>
        </w:tc>
        <w:tc>
          <w:tcPr>
            <w:tcW w:w="2676" w:type="dxa"/>
            <w:vAlign w:val="center"/>
          </w:tcPr>
          <w:p w14:paraId="37D5D1AF" w14:textId="01E952ED" w:rsidR="00E93CF9" w:rsidRPr="0027362C" w:rsidRDefault="00E93CF9" w:rsidP="00E93CF9">
            <w:pPr>
              <w:jc w:val="center"/>
              <w:rPr>
                <w:sz w:val="20"/>
                <w:szCs w:val="20"/>
              </w:rPr>
            </w:pPr>
            <w:r w:rsidRPr="0027362C">
              <w:rPr>
                <w:sz w:val="20"/>
              </w:rPr>
              <w:t>202-679-0</w:t>
            </w:r>
          </w:p>
        </w:tc>
      </w:tr>
      <w:tr w:rsidR="00E93CF9" w:rsidRPr="0027362C" w14:paraId="5CD11AC7" w14:textId="77777777" w:rsidTr="00A95817">
        <w:tc>
          <w:tcPr>
            <w:tcW w:w="3449" w:type="dxa"/>
            <w:vAlign w:val="center"/>
          </w:tcPr>
          <w:p w14:paraId="595A2B78" w14:textId="338FB50F" w:rsidR="00E93CF9" w:rsidRPr="0027362C" w:rsidRDefault="00E93CF9" w:rsidP="00E93CF9">
            <w:pPr>
              <w:rPr>
                <w:sz w:val="20"/>
                <w:szCs w:val="20"/>
              </w:rPr>
            </w:pPr>
            <w:r w:rsidRPr="0027362C">
              <w:rPr>
                <w:sz w:val="20"/>
              </w:rPr>
              <w:t>4-Nonylfenoletoxilat, grenat och linjärt, [ämnen med en linjär och/eller grenad alkylkedja av 9 kovalent bundna kolatomer i fenolposition 4, etoxilerade, som omfattar UVCB-ämnen och väldefinierade ämnen, polymerer och homologer, som omfattar alla enskilda isomerer och/eller kombinationer av dessa]</w:t>
            </w:r>
          </w:p>
        </w:tc>
        <w:tc>
          <w:tcPr>
            <w:tcW w:w="2680" w:type="dxa"/>
            <w:vAlign w:val="center"/>
          </w:tcPr>
          <w:p w14:paraId="73427E3F" w14:textId="4AAC527B" w:rsidR="00E93CF9" w:rsidRPr="0027362C" w:rsidRDefault="00E93CF9" w:rsidP="00E93CF9">
            <w:pPr>
              <w:jc w:val="center"/>
              <w:rPr>
                <w:sz w:val="20"/>
                <w:szCs w:val="20"/>
              </w:rPr>
            </w:pPr>
            <w:r w:rsidRPr="0027362C">
              <w:rPr>
                <w:sz w:val="20"/>
              </w:rPr>
              <w:t>-</w:t>
            </w:r>
          </w:p>
        </w:tc>
        <w:tc>
          <w:tcPr>
            <w:tcW w:w="2676" w:type="dxa"/>
            <w:vAlign w:val="center"/>
          </w:tcPr>
          <w:p w14:paraId="58F2270E" w14:textId="4C2D10BD" w:rsidR="00E93CF9" w:rsidRPr="0027362C" w:rsidRDefault="00E93CF9" w:rsidP="00E93CF9">
            <w:pPr>
              <w:jc w:val="center"/>
              <w:rPr>
                <w:sz w:val="20"/>
                <w:szCs w:val="20"/>
              </w:rPr>
            </w:pPr>
            <w:r w:rsidRPr="0027362C">
              <w:rPr>
                <w:sz w:val="20"/>
              </w:rPr>
              <w:t>-</w:t>
            </w:r>
          </w:p>
        </w:tc>
      </w:tr>
      <w:tr w:rsidR="00E93CF9" w:rsidRPr="0027362C" w14:paraId="0EE8A2D2" w14:textId="77777777" w:rsidTr="00A95817">
        <w:tc>
          <w:tcPr>
            <w:tcW w:w="3449" w:type="dxa"/>
            <w:vAlign w:val="center"/>
          </w:tcPr>
          <w:p w14:paraId="6ADB878B" w14:textId="3E37E507" w:rsidR="00E93CF9" w:rsidRPr="0027362C" w:rsidRDefault="00E93CF9" w:rsidP="00E93CF9">
            <w:pPr>
              <w:rPr>
                <w:sz w:val="20"/>
                <w:szCs w:val="20"/>
              </w:rPr>
            </w:pPr>
            <w:r w:rsidRPr="0027362C">
              <w:rPr>
                <w:sz w:val="20"/>
              </w:rPr>
              <w:t>4-Nonylfenol, grenad och linjär [ämnen med en linjär och/eller grenad alkylkedja av 9 kovalent bundna kolatomer i fenolposition 4, etoxilerade, som omfattar UVCB-ämnen och väldefinierade ämnen, polymerer och homologer, som omfattar alla enskilda isomerer och/eller kombinationer av dessa]</w:t>
            </w:r>
          </w:p>
        </w:tc>
        <w:tc>
          <w:tcPr>
            <w:tcW w:w="2680" w:type="dxa"/>
            <w:vAlign w:val="center"/>
          </w:tcPr>
          <w:p w14:paraId="02EBD6A3" w14:textId="5BDF1D2B" w:rsidR="00E93CF9" w:rsidRPr="0027362C" w:rsidRDefault="00E93CF9" w:rsidP="00E93CF9">
            <w:pPr>
              <w:jc w:val="center"/>
              <w:rPr>
                <w:sz w:val="20"/>
                <w:szCs w:val="20"/>
              </w:rPr>
            </w:pPr>
            <w:r w:rsidRPr="0027362C">
              <w:rPr>
                <w:sz w:val="20"/>
              </w:rPr>
              <w:t>-</w:t>
            </w:r>
          </w:p>
        </w:tc>
        <w:tc>
          <w:tcPr>
            <w:tcW w:w="2676" w:type="dxa"/>
            <w:vAlign w:val="center"/>
          </w:tcPr>
          <w:p w14:paraId="2C95EE6D" w14:textId="77E800D8" w:rsidR="00E93CF9" w:rsidRPr="0027362C" w:rsidRDefault="00E93CF9" w:rsidP="00E93CF9">
            <w:pPr>
              <w:jc w:val="center"/>
              <w:rPr>
                <w:sz w:val="20"/>
                <w:szCs w:val="20"/>
              </w:rPr>
            </w:pPr>
            <w:r w:rsidRPr="0027362C">
              <w:rPr>
                <w:sz w:val="20"/>
              </w:rPr>
              <w:t>-</w:t>
            </w:r>
          </w:p>
        </w:tc>
      </w:tr>
      <w:tr w:rsidR="00E93CF9" w:rsidRPr="0027362C" w14:paraId="34ADB2EA" w14:textId="77777777" w:rsidTr="00A95817">
        <w:tc>
          <w:tcPr>
            <w:tcW w:w="3449" w:type="dxa"/>
            <w:vAlign w:val="center"/>
          </w:tcPr>
          <w:p w14:paraId="186E43BD" w14:textId="72C542A3" w:rsidR="00E93CF9" w:rsidRPr="0027362C" w:rsidRDefault="00E93CF9" w:rsidP="00E93CF9">
            <w:pPr>
              <w:rPr>
                <w:sz w:val="20"/>
                <w:szCs w:val="20"/>
              </w:rPr>
            </w:pPr>
            <w:r w:rsidRPr="0027362C">
              <w:rPr>
                <w:sz w:val="20"/>
              </w:rPr>
              <w:t>4-heptylfenol, grenad och linjär (4-HPBL)</w:t>
            </w:r>
          </w:p>
        </w:tc>
        <w:tc>
          <w:tcPr>
            <w:tcW w:w="2680" w:type="dxa"/>
            <w:vAlign w:val="center"/>
          </w:tcPr>
          <w:p w14:paraId="592958A4" w14:textId="65A8302B" w:rsidR="00E93CF9" w:rsidRPr="0027362C" w:rsidRDefault="00E93CF9" w:rsidP="00E93CF9">
            <w:pPr>
              <w:jc w:val="center"/>
              <w:rPr>
                <w:sz w:val="20"/>
                <w:szCs w:val="20"/>
              </w:rPr>
            </w:pPr>
            <w:r w:rsidRPr="0027362C">
              <w:rPr>
                <w:sz w:val="20"/>
              </w:rPr>
              <w:t>-</w:t>
            </w:r>
          </w:p>
        </w:tc>
        <w:tc>
          <w:tcPr>
            <w:tcW w:w="2676" w:type="dxa"/>
            <w:vAlign w:val="center"/>
          </w:tcPr>
          <w:p w14:paraId="223A6126" w14:textId="1A7544AC" w:rsidR="00E93CF9" w:rsidRPr="0027362C" w:rsidRDefault="00E93CF9" w:rsidP="00E93CF9">
            <w:pPr>
              <w:jc w:val="center"/>
              <w:rPr>
                <w:sz w:val="20"/>
                <w:szCs w:val="20"/>
              </w:rPr>
            </w:pPr>
            <w:r w:rsidRPr="0027362C">
              <w:rPr>
                <w:sz w:val="20"/>
              </w:rPr>
              <w:t>-</w:t>
            </w:r>
          </w:p>
        </w:tc>
      </w:tr>
      <w:tr w:rsidR="00E93CF9" w:rsidRPr="0027362C" w14:paraId="59E6D907" w14:textId="4C7289EB" w:rsidTr="00A95817">
        <w:tc>
          <w:tcPr>
            <w:tcW w:w="3449" w:type="dxa"/>
            <w:vAlign w:val="center"/>
          </w:tcPr>
          <w:p w14:paraId="13239AED" w14:textId="393D7566" w:rsidR="00E93CF9" w:rsidRPr="0027362C" w:rsidRDefault="00E93CF9" w:rsidP="00E93CF9">
            <w:pPr>
              <w:rPr>
                <w:sz w:val="20"/>
                <w:szCs w:val="20"/>
                <w:highlight w:val="yellow"/>
              </w:rPr>
            </w:pPr>
            <w:r w:rsidRPr="0027362C">
              <w:rPr>
                <w:sz w:val="20"/>
              </w:rPr>
              <w:t>4-(1,1,3,3-Tetrametylbutyl)fenol, etoxilerad – omfattande väldefinierade ämnen och UVCB, polymerer och homologa ämnen</w:t>
            </w:r>
          </w:p>
        </w:tc>
        <w:tc>
          <w:tcPr>
            <w:tcW w:w="2680" w:type="dxa"/>
            <w:vAlign w:val="center"/>
          </w:tcPr>
          <w:p w14:paraId="57FB2C7F" w14:textId="07B40523" w:rsidR="00E93CF9" w:rsidRPr="0027362C" w:rsidRDefault="00E93CF9" w:rsidP="00E93CF9">
            <w:pPr>
              <w:jc w:val="center"/>
              <w:rPr>
                <w:sz w:val="20"/>
                <w:szCs w:val="20"/>
              </w:rPr>
            </w:pPr>
            <w:r w:rsidRPr="0027362C">
              <w:rPr>
                <w:sz w:val="20"/>
              </w:rPr>
              <w:t>-</w:t>
            </w:r>
          </w:p>
        </w:tc>
        <w:tc>
          <w:tcPr>
            <w:tcW w:w="2676" w:type="dxa"/>
            <w:vAlign w:val="center"/>
          </w:tcPr>
          <w:p w14:paraId="6121D96E" w14:textId="1FD84B09" w:rsidR="00E93CF9" w:rsidRPr="0027362C" w:rsidRDefault="00E93CF9" w:rsidP="00E93CF9">
            <w:pPr>
              <w:jc w:val="center"/>
              <w:rPr>
                <w:sz w:val="20"/>
                <w:szCs w:val="20"/>
              </w:rPr>
            </w:pPr>
            <w:r w:rsidRPr="0027362C">
              <w:rPr>
                <w:sz w:val="20"/>
              </w:rPr>
              <w:t>-</w:t>
            </w:r>
          </w:p>
        </w:tc>
      </w:tr>
      <w:tr w:rsidR="00E93CF9" w:rsidRPr="0027362C" w14:paraId="56B0AACE" w14:textId="77777777" w:rsidTr="00A95817">
        <w:tc>
          <w:tcPr>
            <w:tcW w:w="3449" w:type="dxa"/>
            <w:vAlign w:val="center"/>
          </w:tcPr>
          <w:p w14:paraId="290681DC" w14:textId="74C36D90" w:rsidR="00E93CF9" w:rsidRPr="0027362C" w:rsidRDefault="00E93CF9" w:rsidP="00E93CF9">
            <w:pPr>
              <w:rPr>
                <w:sz w:val="20"/>
                <w:szCs w:val="20"/>
                <w:highlight w:val="yellow"/>
              </w:rPr>
            </w:pPr>
            <w:r w:rsidRPr="0027362C">
              <w:rPr>
                <w:sz w:val="20"/>
              </w:rPr>
              <w:t>4-(1,1,3,3-tetrametylbutyl)fenol</w:t>
            </w:r>
          </w:p>
        </w:tc>
        <w:tc>
          <w:tcPr>
            <w:tcW w:w="2680" w:type="dxa"/>
            <w:vAlign w:val="center"/>
          </w:tcPr>
          <w:p w14:paraId="79B08B3E" w14:textId="6F1EF702" w:rsidR="00E93CF9" w:rsidRPr="0027362C" w:rsidRDefault="00E93CF9" w:rsidP="00E93CF9">
            <w:pPr>
              <w:jc w:val="center"/>
              <w:rPr>
                <w:sz w:val="20"/>
                <w:szCs w:val="20"/>
              </w:rPr>
            </w:pPr>
            <w:r w:rsidRPr="0027362C">
              <w:rPr>
                <w:sz w:val="20"/>
              </w:rPr>
              <w:t>140-66-9</w:t>
            </w:r>
          </w:p>
        </w:tc>
        <w:tc>
          <w:tcPr>
            <w:tcW w:w="2676" w:type="dxa"/>
            <w:vAlign w:val="center"/>
          </w:tcPr>
          <w:p w14:paraId="04DABDD1" w14:textId="11F6E851" w:rsidR="00E93CF9" w:rsidRPr="0027362C" w:rsidRDefault="00E93CF9" w:rsidP="00E93CF9">
            <w:pPr>
              <w:jc w:val="center"/>
              <w:rPr>
                <w:sz w:val="20"/>
                <w:szCs w:val="20"/>
              </w:rPr>
            </w:pPr>
            <w:r w:rsidRPr="0027362C">
              <w:rPr>
                <w:sz w:val="20"/>
              </w:rPr>
              <w:t>205-426-2</w:t>
            </w:r>
          </w:p>
        </w:tc>
      </w:tr>
      <w:tr w:rsidR="00E93CF9" w:rsidRPr="0027362C" w14:paraId="51B46484" w14:textId="77777777" w:rsidTr="00A95817">
        <w:tc>
          <w:tcPr>
            <w:tcW w:w="3449" w:type="dxa"/>
          </w:tcPr>
          <w:p w14:paraId="7C0A8C8B" w14:textId="4716FABC" w:rsidR="00E93CF9" w:rsidRPr="0027362C" w:rsidRDefault="00E93CF9" w:rsidP="00E93CF9">
            <w:pPr>
              <w:rPr>
                <w:sz w:val="20"/>
                <w:szCs w:val="20"/>
              </w:rPr>
            </w:pPr>
            <w:r w:rsidRPr="0027362C">
              <w:rPr>
                <w:sz w:val="20"/>
              </w:rPr>
              <w:lastRenderedPageBreak/>
              <w:t>1,7,7-trimetyl-3-(fenylmetylen)bicyklo[2.2.1]heptan-2-on (3-bensylidenkamfer)</w:t>
            </w:r>
          </w:p>
        </w:tc>
        <w:tc>
          <w:tcPr>
            <w:tcW w:w="2680" w:type="dxa"/>
            <w:vAlign w:val="center"/>
          </w:tcPr>
          <w:p w14:paraId="3BBEB1D3" w14:textId="483B14B6" w:rsidR="00E93CF9" w:rsidRPr="0027362C" w:rsidRDefault="00E93CF9" w:rsidP="00E93CF9">
            <w:pPr>
              <w:jc w:val="center"/>
              <w:rPr>
                <w:sz w:val="20"/>
                <w:szCs w:val="20"/>
              </w:rPr>
            </w:pPr>
            <w:r w:rsidRPr="0027362C">
              <w:rPr>
                <w:sz w:val="20"/>
              </w:rPr>
              <w:t>15087-24-8</w:t>
            </w:r>
          </w:p>
        </w:tc>
        <w:tc>
          <w:tcPr>
            <w:tcW w:w="2676" w:type="dxa"/>
            <w:vAlign w:val="center"/>
          </w:tcPr>
          <w:p w14:paraId="1DB8B2E9" w14:textId="1D96672E" w:rsidR="00E93CF9" w:rsidRPr="0027362C" w:rsidRDefault="00E93CF9" w:rsidP="00E93CF9">
            <w:pPr>
              <w:jc w:val="center"/>
              <w:rPr>
                <w:sz w:val="20"/>
                <w:szCs w:val="20"/>
              </w:rPr>
            </w:pPr>
            <w:r w:rsidRPr="0027362C">
              <w:rPr>
                <w:sz w:val="20"/>
              </w:rPr>
              <w:t>239-139-9</w:t>
            </w:r>
          </w:p>
        </w:tc>
      </w:tr>
    </w:tbl>
    <w:p w14:paraId="3F2D113E" w14:textId="77777777" w:rsidR="00F92FDA" w:rsidRPr="0027362C" w:rsidRDefault="00F92FDA" w:rsidP="009934B3">
      <w:pPr>
        <w:ind w:left="539"/>
      </w:pPr>
    </w:p>
    <w:p w14:paraId="39CDB39E" w14:textId="77777777" w:rsidR="00F92FDA" w:rsidRPr="0027362C" w:rsidRDefault="00F92FDA" w:rsidP="009934B3">
      <w:pPr>
        <w:ind w:left="539"/>
      </w:pPr>
    </w:p>
    <w:p w14:paraId="638D44C7" w14:textId="4FA76721" w:rsidR="0091346D" w:rsidRPr="0027362C" w:rsidRDefault="0091346D" w:rsidP="00F92FDA">
      <w:pPr>
        <w:ind w:left="539"/>
        <w:jc w:val="both"/>
        <w:rPr>
          <w:kern w:val="3"/>
        </w:rPr>
      </w:pPr>
      <w:r w:rsidRPr="0027362C">
        <w:t>TABELL B: Förteckning över ämnen med misstänkta hormonstörande egenskaper som avses i artikel L. 5232–5 II i folkhälsolagen</w:t>
      </w:r>
    </w:p>
    <w:p w14:paraId="642C4104" w14:textId="594CDADD" w:rsidR="0091346D" w:rsidRPr="0027362C" w:rsidRDefault="0091346D" w:rsidP="00F92FDA">
      <w:pPr>
        <w:ind w:left="539"/>
        <w:jc w:val="both"/>
        <w:rPr>
          <w:kern w:val="3"/>
        </w:rPr>
      </w:pPr>
    </w:p>
    <w:tbl>
      <w:tblPr>
        <w:tblStyle w:val="TableGrid"/>
        <w:tblW w:w="0" w:type="auto"/>
        <w:tblInd w:w="539" w:type="dxa"/>
        <w:tblLook w:val="04A0" w:firstRow="1" w:lastRow="0" w:firstColumn="1" w:lastColumn="0" w:noHBand="0" w:noVBand="1"/>
      </w:tblPr>
      <w:tblGrid>
        <w:gridCol w:w="3449"/>
        <w:gridCol w:w="2680"/>
        <w:gridCol w:w="2676"/>
      </w:tblGrid>
      <w:tr w:rsidR="00840BD7" w:rsidRPr="0027362C" w14:paraId="7B8CE649" w14:textId="77777777" w:rsidTr="00540F9C">
        <w:tc>
          <w:tcPr>
            <w:tcW w:w="3449" w:type="dxa"/>
          </w:tcPr>
          <w:p w14:paraId="54F334A4" w14:textId="77777777" w:rsidR="00840BD7" w:rsidRPr="0027362C" w:rsidRDefault="00840BD7" w:rsidP="00540F9C">
            <w:pPr>
              <w:jc w:val="center"/>
              <w:rPr>
                <w:b/>
                <w:sz w:val="20"/>
                <w:szCs w:val="20"/>
              </w:rPr>
            </w:pPr>
            <w:r w:rsidRPr="0027362C">
              <w:rPr>
                <w:b/>
                <w:sz w:val="20"/>
              </w:rPr>
              <w:t>Namn på ämnet</w:t>
            </w:r>
          </w:p>
        </w:tc>
        <w:tc>
          <w:tcPr>
            <w:tcW w:w="2680" w:type="dxa"/>
          </w:tcPr>
          <w:p w14:paraId="11374AFA" w14:textId="77777777" w:rsidR="00840BD7" w:rsidRPr="0027362C" w:rsidRDefault="00840BD7" w:rsidP="00540F9C">
            <w:pPr>
              <w:jc w:val="center"/>
              <w:rPr>
                <w:b/>
                <w:sz w:val="20"/>
                <w:szCs w:val="20"/>
              </w:rPr>
            </w:pPr>
            <w:r w:rsidRPr="0027362C">
              <w:rPr>
                <w:b/>
                <w:sz w:val="20"/>
              </w:rPr>
              <w:t>CAS-nummer</w:t>
            </w:r>
          </w:p>
        </w:tc>
        <w:tc>
          <w:tcPr>
            <w:tcW w:w="2676" w:type="dxa"/>
          </w:tcPr>
          <w:p w14:paraId="114412AB" w14:textId="77777777" w:rsidR="00840BD7" w:rsidRPr="0027362C" w:rsidRDefault="00840BD7" w:rsidP="00540F9C">
            <w:pPr>
              <w:jc w:val="center"/>
              <w:rPr>
                <w:b/>
                <w:sz w:val="20"/>
                <w:szCs w:val="20"/>
              </w:rPr>
            </w:pPr>
            <w:r w:rsidRPr="0027362C">
              <w:rPr>
                <w:b/>
                <w:sz w:val="20"/>
              </w:rPr>
              <w:t>CE-nummer</w:t>
            </w:r>
          </w:p>
        </w:tc>
      </w:tr>
      <w:tr w:rsidR="00840BD7" w:rsidRPr="0027362C" w14:paraId="564772EC" w14:textId="77777777" w:rsidTr="00540F9C">
        <w:tc>
          <w:tcPr>
            <w:tcW w:w="3449" w:type="dxa"/>
          </w:tcPr>
          <w:p w14:paraId="608C3231" w14:textId="0E10BA61" w:rsidR="00840BD7" w:rsidRPr="0027362C" w:rsidRDefault="00840BD7" w:rsidP="00540F9C">
            <w:pPr>
              <w:jc w:val="center"/>
              <w:rPr>
                <w:b/>
                <w:sz w:val="20"/>
                <w:szCs w:val="20"/>
              </w:rPr>
            </w:pPr>
            <w:r w:rsidRPr="0027362C">
              <w:rPr>
                <w:b/>
                <w:sz w:val="20"/>
              </w:rPr>
              <w:t>-</w:t>
            </w:r>
          </w:p>
        </w:tc>
        <w:tc>
          <w:tcPr>
            <w:tcW w:w="2680" w:type="dxa"/>
          </w:tcPr>
          <w:p w14:paraId="7D6E6933" w14:textId="32CACB45" w:rsidR="00840BD7" w:rsidRPr="0027362C" w:rsidRDefault="00840BD7" w:rsidP="00540F9C">
            <w:pPr>
              <w:jc w:val="center"/>
              <w:rPr>
                <w:b/>
                <w:sz w:val="20"/>
                <w:szCs w:val="20"/>
              </w:rPr>
            </w:pPr>
            <w:r w:rsidRPr="0027362C">
              <w:rPr>
                <w:b/>
                <w:sz w:val="20"/>
              </w:rPr>
              <w:t>-</w:t>
            </w:r>
          </w:p>
        </w:tc>
        <w:tc>
          <w:tcPr>
            <w:tcW w:w="2676" w:type="dxa"/>
          </w:tcPr>
          <w:p w14:paraId="0FC6BCD8" w14:textId="28E4DA1A" w:rsidR="00840BD7" w:rsidRPr="0027362C" w:rsidRDefault="00840BD7" w:rsidP="00540F9C">
            <w:pPr>
              <w:jc w:val="center"/>
              <w:rPr>
                <w:b/>
                <w:sz w:val="20"/>
                <w:szCs w:val="20"/>
              </w:rPr>
            </w:pPr>
            <w:r w:rsidRPr="0027362C">
              <w:rPr>
                <w:b/>
                <w:sz w:val="20"/>
              </w:rPr>
              <w:t>-</w:t>
            </w:r>
          </w:p>
        </w:tc>
      </w:tr>
    </w:tbl>
    <w:p w14:paraId="74753E47" w14:textId="50E31C82" w:rsidR="00840BD7" w:rsidRPr="0027362C" w:rsidRDefault="00840BD7" w:rsidP="00F92FDA">
      <w:pPr>
        <w:ind w:left="539"/>
        <w:jc w:val="both"/>
        <w:rPr>
          <w:kern w:val="3"/>
        </w:rPr>
      </w:pPr>
    </w:p>
    <w:p w14:paraId="32D03191" w14:textId="780A5C7E" w:rsidR="0091346D" w:rsidRPr="0027362C" w:rsidRDefault="0091346D" w:rsidP="00F92FDA">
      <w:pPr>
        <w:ind w:left="539"/>
        <w:jc w:val="both"/>
        <w:rPr>
          <w:kern w:val="3"/>
        </w:rPr>
      </w:pPr>
    </w:p>
    <w:p w14:paraId="3907DAEA" w14:textId="004EC57B" w:rsidR="0091346D" w:rsidRPr="0027362C" w:rsidRDefault="0091346D" w:rsidP="00F92FDA">
      <w:pPr>
        <w:ind w:left="539"/>
        <w:jc w:val="both"/>
        <w:rPr>
          <w:kern w:val="3"/>
        </w:rPr>
      </w:pPr>
      <w:r w:rsidRPr="0027362C">
        <w:t>Bilaga II: Förteckning över produktkategorier som utgör en särskild risk för exponering enligt artikel L. 5232–5 II i folkhälsolagen</w:t>
      </w:r>
    </w:p>
    <w:p w14:paraId="68FABC73" w14:textId="761C6D87" w:rsidR="0091346D" w:rsidRPr="0027362C" w:rsidRDefault="0091346D" w:rsidP="0091346D">
      <w:pPr>
        <w:ind w:left="539"/>
        <w:rPr>
          <w:kern w:val="3"/>
        </w:rPr>
      </w:pPr>
    </w:p>
    <w:p w14:paraId="20C6B0C6" w14:textId="170FAE88" w:rsidR="0091346D" w:rsidRPr="0027362C" w:rsidRDefault="0091346D" w:rsidP="0091346D">
      <w:pPr>
        <w:ind w:left="539"/>
        <w:rPr>
          <w:kern w:val="3"/>
        </w:rPr>
      </w:pPr>
      <w:r w:rsidRPr="0027362C">
        <w:t>Ej tillämpligt</w:t>
      </w:r>
    </w:p>
    <w:p w14:paraId="408B3F4A" w14:textId="77777777" w:rsidR="0091346D" w:rsidRPr="0027362C" w:rsidRDefault="0091346D" w:rsidP="0091346D">
      <w:pPr>
        <w:ind w:left="539"/>
      </w:pPr>
    </w:p>
    <w:p w14:paraId="6956F2FB" w14:textId="77777777" w:rsidR="008347CD" w:rsidRDefault="008347CD" w:rsidP="0001023B"/>
    <w:sectPr w:rsidR="008347CD">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1D52" w14:textId="77777777" w:rsidR="000975C5" w:rsidRDefault="000975C5" w:rsidP="00C40AB0">
      <w:r>
        <w:separator/>
      </w:r>
    </w:p>
  </w:endnote>
  <w:endnote w:type="continuationSeparator" w:id="0">
    <w:p w14:paraId="4D6ECFB7" w14:textId="77777777" w:rsidR="000975C5" w:rsidRDefault="000975C5"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9D72"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C441"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A9E"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15B1" w14:textId="77777777" w:rsidR="000975C5" w:rsidRDefault="000975C5" w:rsidP="00C40AB0">
      <w:r>
        <w:separator/>
      </w:r>
    </w:p>
  </w:footnote>
  <w:footnote w:type="continuationSeparator" w:id="0">
    <w:p w14:paraId="0C316D79" w14:textId="77777777" w:rsidR="000975C5" w:rsidRDefault="000975C5"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C0E0" w14:textId="5785586D" w:rsidR="006D6666" w:rsidRDefault="0027362C">
    <w:pPr>
      <w:pStyle w:val="Header"/>
    </w:pPr>
    <w:r>
      <w:pict w14:anchorId="19C9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UT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4C23" w14:textId="49B06B63" w:rsidR="006D6666" w:rsidRDefault="0027362C">
    <w:pPr>
      <w:pStyle w:val="Header"/>
    </w:pPr>
    <w:r>
      <w:pict w14:anchorId="666B9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1027"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UTKA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6F30" w14:textId="56FBCD41" w:rsidR="006D6666" w:rsidRDefault="0027362C">
    <w:pPr>
      <w:pStyle w:val="Header"/>
    </w:pPr>
    <w:r>
      <w:pict w14:anchorId="1D8D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UT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5179D"/>
    <w:rsid w:val="000975C5"/>
    <w:rsid w:val="000C4EE6"/>
    <w:rsid w:val="000C5D4F"/>
    <w:rsid w:val="000E5822"/>
    <w:rsid w:val="000F3707"/>
    <w:rsid w:val="001200AE"/>
    <w:rsid w:val="00164440"/>
    <w:rsid w:val="00220182"/>
    <w:rsid w:val="00254416"/>
    <w:rsid w:val="0027362C"/>
    <w:rsid w:val="00305F8C"/>
    <w:rsid w:val="003A1DE7"/>
    <w:rsid w:val="003A3003"/>
    <w:rsid w:val="00414610"/>
    <w:rsid w:val="0043139D"/>
    <w:rsid w:val="0050742C"/>
    <w:rsid w:val="00537A63"/>
    <w:rsid w:val="00566851"/>
    <w:rsid w:val="00584953"/>
    <w:rsid w:val="005A35A3"/>
    <w:rsid w:val="005C023A"/>
    <w:rsid w:val="005C464F"/>
    <w:rsid w:val="005E4811"/>
    <w:rsid w:val="005E7BA6"/>
    <w:rsid w:val="00631F42"/>
    <w:rsid w:val="00633D5B"/>
    <w:rsid w:val="006545A0"/>
    <w:rsid w:val="006B2B52"/>
    <w:rsid w:val="006B6ECB"/>
    <w:rsid w:val="006D6666"/>
    <w:rsid w:val="00717AEE"/>
    <w:rsid w:val="007C13FE"/>
    <w:rsid w:val="007D3B6E"/>
    <w:rsid w:val="007F7405"/>
    <w:rsid w:val="008347CD"/>
    <w:rsid w:val="00840BD7"/>
    <w:rsid w:val="00844E8D"/>
    <w:rsid w:val="008970FC"/>
    <w:rsid w:val="0091346D"/>
    <w:rsid w:val="00972079"/>
    <w:rsid w:val="009934B3"/>
    <w:rsid w:val="009B476C"/>
    <w:rsid w:val="009B5D6C"/>
    <w:rsid w:val="009F0F5C"/>
    <w:rsid w:val="009F20C4"/>
    <w:rsid w:val="00A14477"/>
    <w:rsid w:val="00A42F37"/>
    <w:rsid w:val="00A755A3"/>
    <w:rsid w:val="00A857F7"/>
    <w:rsid w:val="00A95817"/>
    <w:rsid w:val="00B533B8"/>
    <w:rsid w:val="00B96689"/>
    <w:rsid w:val="00C40AB0"/>
    <w:rsid w:val="00C46B5B"/>
    <w:rsid w:val="00CC4ECF"/>
    <w:rsid w:val="00CE2B23"/>
    <w:rsid w:val="00DF04E0"/>
    <w:rsid w:val="00E35F75"/>
    <w:rsid w:val="00E93CF9"/>
    <w:rsid w:val="00ED6EB5"/>
    <w:rsid w:val="00F4110C"/>
    <w:rsid w:val="00F769AF"/>
    <w:rsid w:val="00F92FDA"/>
    <w:rsid w:val="00F949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7F6A"/>
  <w15:docId w15:val="{7924B570-3FE3-4D9E-A731-2EF2DC8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sv-S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D7"/>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NumroLoi">
    <w:name w:val="SNNuméroLoi"/>
    <w:basedOn w:val="Policepardfaut1"/>
    <w:qFormat/>
  </w:style>
  <w:style w:type="character" w:customStyle="1" w:styleId="SNDateSignature">
    <w:name w:val="SNDateSignature"/>
    <w:basedOn w:val="Policepardfaut1"/>
    <w:qFormat/>
  </w:style>
  <w:style w:type="character" w:customStyle="1" w:styleId="SNenProjet">
    <w:name w:val="SNenProjet"/>
    <w:basedOn w:val="Policepardfaut1"/>
    <w:qFormat/>
  </w:style>
  <w:style w:type="character" w:customStyle="1" w:styleId="SNArticleCar">
    <w:name w:val="SNArticle Car"/>
    <w:qFormat/>
    <w:rPr>
      <w:b/>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le">
    <w:name w:val="Title"/>
    <w:basedOn w:val="Normal"/>
    <w:next w:val="BodyText"/>
    <w:qFormat/>
    <w:pPr>
      <w:keepNext/>
      <w:spacing w:before="240" w:after="120"/>
    </w:pPr>
    <w:rPr>
      <w:rFonts w:ascii="Liberation Sans;Arial" w:eastAsia="Microsoft YaHei" w:hAnsi="Liberation Sans;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
    <w:name w:val="Titre1"/>
    <w:basedOn w:val="Normal"/>
    <w:qFormat/>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pPr>
      <w:widowControl w:val="0"/>
      <w:jc w:val="center"/>
    </w:pPr>
    <w:rPr>
      <w:rFonts w:eastAsia="Lucida Sans Unicode"/>
      <w:b/>
      <w:bCs/>
    </w:rPr>
  </w:style>
  <w:style w:type="paragraph" w:customStyle="1" w:styleId="Ministre">
    <w:name w:val="Ministère"/>
    <w:basedOn w:val="BodyText"/>
    <w:qFormat/>
    <w:pPr>
      <w:widowControl w:val="0"/>
      <w:snapToGrid w:val="0"/>
      <w:spacing w:before="120" w:after="0"/>
      <w:jc w:val="center"/>
    </w:pPr>
    <w:rPr>
      <w:rFonts w:eastAsia="Lucida Sans Unicode"/>
    </w:rPr>
  </w:style>
  <w:style w:type="paragraph" w:customStyle="1" w:styleId="LabelNOR">
    <w:name w:val="Label NOR"/>
    <w:basedOn w:val="Normal"/>
    <w:qFormat/>
    <w:pPr>
      <w:widowControl w:val="0"/>
      <w:suppressLineNumbers/>
      <w:jc w:val="right"/>
    </w:pPr>
    <w:rPr>
      <w:rFonts w:eastAsia="Lucida Sans Unicode"/>
    </w:rPr>
  </w:style>
  <w:style w:type="paragraph" w:customStyle="1" w:styleId="NOR">
    <w:name w:val="NOR"/>
    <w:basedOn w:val="Normal"/>
    <w:qFormat/>
    <w:pPr>
      <w:widowControl w:val="0"/>
      <w:suppressLineNumbers/>
      <w:snapToGrid w:val="0"/>
    </w:pPr>
    <w:rPr>
      <w:rFonts w:eastAsia="Lucida Sans Unicode"/>
    </w:rPr>
  </w:style>
  <w:style w:type="paragraph" w:customStyle="1" w:styleId="Nature">
    <w:name w:val="Nature"/>
    <w:basedOn w:val="Normal"/>
    <w:qFormat/>
    <w:pPr>
      <w:widowControl w:val="0"/>
      <w:suppressLineNumbers/>
      <w:spacing w:before="720" w:after="240"/>
      <w:jc w:val="center"/>
    </w:pPr>
    <w:rPr>
      <w:rFonts w:eastAsia="Lucida Sans Unicode"/>
      <w:b/>
      <w:bCs/>
    </w:rPr>
  </w:style>
  <w:style w:type="paragraph" w:customStyle="1" w:styleId="Objet">
    <w:name w:val="Objet"/>
    <w:basedOn w:val="Normal"/>
    <w:qFormat/>
    <w:pPr>
      <w:widowControl w:val="0"/>
      <w:suppressLineNumbers/>
      <w:spacing w:after="119"/>
      <w:jc w:val="center"/>
    </w:pPr>
    <w:rPr>
      <w:rFonts w:eastAsia="Lucida Sans Unicode"/>
    </w:rPr>
  </w:style>
  <w:style w:type="paragraph" w:customStyle="1" w:styleId="Autorit">
    <w:name w:val="Autorité"/>
    <w:basedOn w:val="Normal"/>
    <w:qFormat/>
    <w:pPr>
      <w:spacing w:before="720" w:after="240"/>
      <w:ind w:firstLine="720"/>
    </w:pPr>
    <w:rPr>
      <w:b/>
    </w:rPr>
  </w:style>
  <w:style w:type="paragraph" w:customStyle="1" w:styleId="Visa">
    <w:name w:val="Visa"/>
    <w:basedOn w:val="Normal"/>
    <w:qFormat/>
    <w:pPr>
      <w:spacing w:before="120" w:after="120"/>
      <w:ind w:firstLine="720"/>
    </w:pPr>
  </w:style>
  <w:style w:type="paragraph" w:customStyle="1" w:styleId="Acte">
    <w:name w:val="Acte"/>
    <w:basedOn w:val="Normal"/>
    <w:qFormat/>
    <w:pPr>
      <w:spacing w:before="480" w:after="240"/>
      <w:jc w:val="center"/>
    </w:pPr>
    <w:rPr>
      <w:b/>
    </w:rPr>
  </w:style>
  <w:style w:type="paragraph" w:customStyle="1" w:styleId="Article">
    <w:name w:val="Article"/>
    <w:basedOn w:val="Normal"/>
    <w:qFormat/>
    <w:pPr>
      <w:spacing w:before="240" w:after="240"/>
      <w:jc w:val="center"/>
    </w:pPr>
    <w:rPr>
      <w:b/>
    </w:rPr>
  </w:style>
  <w:style w:type="paragraph" w:customStyle="1" w:styleId="LieuDate">
    <w:name w:val="LieuDate"/>
    <w:basedOn w:val="Normal"/>
    <w:qFormat/>
    <w:pPr>
      <w:spacing w:before="480" w:after="120"/>
      <w:ind w:firstLine="720"/>
    </w:pPr>
  </w:style>
  <w:style w:type="paragraph" w:customStyle="1" w:styleId="SignatureGauche">
    <w:name w:val="SignatureGauche"/>
    <w:basedOn w:val="Normal"/>
    <w:qFormat/>
    <w:pPr>
      <w:spacing w:before="240" w:after="480"/>
      <w:ind w:firstLine="720"/>
    </w:pPr>
  </w:style>
  <w:style w:type="paragraph" w:customStyle="1" w:styleId="SignatureDroite">
    <w:name w:val="SignatureDroite"/>
    <w:basedOn w:val="Normal"/>
    <w:next w:val="SignatureGauche"/>
    <w:qFormat/>
    <w:pPr>
      <w:spacing w:before="240" w:after="480"/>
      <w:jc w:val="right"/>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Consultation">
    <w:name w:val="Consultation"/>
    <w:basedOn w:val="Normal"/>
    <w:qFormat/>
    <w:pPr>
      <w:widowControl w:val="0"/>
      <w:spacing w:before="120" w:after="120"/>
      <w:ind w:firstLine="709"/>
      <w:jc w:val="both"/>
    </w:pPr>
    <w:rPr>
      <w:rFonts w:eastAsia="Lucida Sans Unicode"/>
    </w:rPr>
  </w:style>
  <w:style w:type="paragraph" w:customStyle="1" w:styleId="Timbre">
    <w:name w:val="Timbre"/>
    <w:basedOn w:val="Normal"/>
    <w:qFormat/>
    <w:pPr>
      <w:widowControl w:val="0"/>
      <w:snapToGrid w:val="0"/>
      <w:spacing w:before="120"/>
      <w:jc w:val="center"/>
    </w:pPr>
    <w:rPr>
      <w:rFonts w:eastAsia="Lucida Sans Unicode"/>
    </w:rPr>
  </w:style>
  <w:style w:type="paragraph" w:customStyle="1" w:styleId="Rapport">
    <w:name w:val="Rapport"/>
    <w:basedOn w:val="Normal"/>
    <w:qFormat/>
    <w:pPr>
      <w:spacing w:before="240" w:after="120"/>
      <w:ind w:firstLine="720"/>
    </w:pPr>
  </w:style>
  <w:style w:type="paragraph" w:customStyle="1" w:styleId="SignatureSolon">
    <w:name w:val="SignatureSolon"/>
    <w:basedOn w:val="Normal"/>
    <w:next w:val="SignatureGauche"/>
    <w:qFormat/>
    <w:pPr>
      <w:spacing w:before="480" w:after="480"/>
      <w:ind w:firstLine="720"/>
    </w:pPr>
  </w:style>
  <w:style w:type="paragraph" w:customStyle="1" w:styleId="Considrant">
    <w:name w:val="Considérant"/>
    <w:basedOn w:val="Normal"/>
    <w:qFormat/>
    <w:pPr>
      <w:ind w:firstLine="720"/>
    </w:pPr>
  </w:style>
  <w:style w:type="paragraph" w:customStyle="1" w:styleId="SignaturePrincipale">
    <w:name w:val="SignaturePrincipale"/>
    <w:basedOn w:val="Normal"/>
    <w:next w:val="SignatureGauche"/>
    <w:qFormat/>
    <w:pPr>
      <w:spacing w:before="480" w:after="480"/>
      <w:ind w:firstLine="720"/>
    </w:pPr>
  </w:style>
  <w:style w:type="paragraph" w:customStyle="1" w:styleId="ConsultationCE">
    <w:name w:val="ConsultationCE"/>
    <w:basedOn w:val="Consultation"/>
    <w:qFormat/>
  </w:style>
  <w:style w:type="paragraph" w:customStyle="1" w:styleId="ConsultationCM">
    <w:name w:val="ConsultationCM"/>
    <w:basedOn w:val="Consultation"/>
    <w:qFormat/>
  </w:style>
  <w:style w:type="paragraph" w:customStyle="1" w:styleId="Direction">
    <w:name w:val="Direction"/>
    <w:basedOn w:val="Normal"/>
    <w:qFormat/>
    <w:pPr>
      <w:spacing w:before="720"/>
      <w:jc w:val="center"/>
    </w:pPr>
    <w:rPr>
      <w:b/>
    </w:rPr>
  </w:style>
  <w:style w:type="paragraph" w:customStyle="1" w:styleId="ListePrincipale">
    <w:name w:val="ListePrincipale"/>
    <w:basedOn w:val="Normal"/>
    <w:qFormat/>
  </w:style>
  <w:style w:type="paragraph" w:customStyle="1" w:styleId="Intitul">
    <w:name w:val="Intitulé"/>
    <w:basedOn w:val="Normal"/>
    <w:qFormat/>
    <w:pPr>
      <w:jc w:val="center"/>
    </w:p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Rpublique">
    <w:name w:val="SNRépublique"/>
    <w:basedOn w:val="Normal"/>
    <w:qFormat/>
    <w:pPr>
      <w:widowControl w:val="0"/>
      <w:jc w:val="center"/>
    </w:pPr>
    <w:rPr>
      <w:rFonts w:eastAsia="Lucida Sans Unicode"/>
      <w:b/>
      <w:bCs/>
    </w:rPr>
  </w:style>
  <w:style w:type="paragraph" w:customStyle="1" w:styleId="SNTimbre">
    <w:name w:val="SNTimbre"/>
    <w:basedOn w:val="Normal"/>
    <w:link w:val="SNTimbreCar"/>
    <w:uiPriority w:val="99"/>
    <w:qFormat/>
    <w:pPr>
      <w:widowControl w:val="0"/>
      <w:snapToGrid w:val="0"/>
      <w:ind w:right="-6804"/>
      <w:jc w:val="center"/>
    </w:pPr>
    <w:rPr>
      <w:rFonts w:eastAsia="Lucida Sans Unicode"/>
      <w:b/>
    </w:rPr>
  </w:style>
  <w:style w:type="paragraph" w:customStyle="1" w:styleId="SNLabelNOR">
    <w:name w:val="SNLabelNOR"/>
    <w:basedOn w:val="Normal"/>
    <w:qFormat/>
    <w:pPr>
      <w:widowControl w:val="0"/>
      <w:suppressLineNumbers/>
      <w:jc w:val="right"/>
    </w:pPr>
    <w:rPr>
      <w:rFonts w:eastAsia="Lucida Sans Unicode"/>
    </w:rPr>
  </w:style>
  <w:style w:type="paragraph" w:customStyle="1" w:styleId="SNNOR">
    <w:name w:val="SNNOR"/>
    <w:basedOn w:val="Normal"/>
    <w:qFormat/>
    <w:pPr>
      <w:widowControl w:val="0"/>
      <w:suppressLineNumbers/>
      <w:snapToGrid w:val="0"/>
    </w:pPr>
    <w:rPr>
      <w:rFonts w:eastAsia="Lucida Sans Unicode"/>
    </w:rPr>
  </w:style>
  <w:style w:type="paragraph" w:customStyle="1" w:styleId="SNObjet">
    <w:name w:val="SNObjet"/>
    <w:basedOn w:val="Normal"/>
    <w:qFormat/>
    <w:pPr>
      <w:widowControl w:val="0"/>
      <w:suppressLineNumbers/>
      <w:spacing w:after="119"/>
      <w:jc w:val="both"/>
    </w:pPr>
    <w:rPr>
      <w:rFonts w:eastAsia="Lucida Sans Unicode"/>
      <w:b/>
    </w:rPr>
  </w:style>
  <w:style w:type="paragraph" w:customStyle="1" w:styleId="SNAutorit">
    <w:name w:val="SNAutorité"/>
    <w:basedOn w:val="Normal"/>
    <w:qFormat/>
    <w:pPr>
      <w:spacing w:before="720" w:after="240"/>
      <w:jc w:val="center"/>
    </w:p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jc w:val="both"/>
    </w:pPr>
  </w:style>
  <w:style w:type="paragraph" w:customStyle="1" w:styleId="SNLieuDate">
    <w:name w:val="SNLieuDate"/>
    <w:basedOn w:val="Normal"/>
    <w:qFormat/>
    <w:pPr>
      <w:spacing w:before="480" w:after="120"/>
      <w:ind w:firstLine="720"/>
    </w:pPr>
  </w:style>
  <w:style w:type="paragraph" w:customStyle="1" w:styleId="SNSignaturePrincipale">
    <w:name w:val="SNSignaturePrincipale"/>
    <w:basedOn w:val="Normal"/>
    <w:qFormat/>
    <w:pPr>
      <w:spacing w:before="480" w:after="480"/>
      <w:ind w:firstLine="720"/>
    </w:pPr>
  </w:style>
  <w:style w:type="paragraph" w:customStyle="1" w:styleId="SNSignatureGauche">
    <w:name w:val="SNSignatureGauche"/>
    <w:basedOn w:val="Normal"/>
    <w:qFormat/>
    <w:pPr>
      <w:tabs>
        <w:tab w:val="left" w:pos="5220"/>
      </w:tabs>
      <w:ind w:left="540"/>
    </w:pPr>
  </w:style>
  <w:style w:type="paragraph" w:customStyle="1" w:styleId="SNSignatureDroite">
    <w:name w:val="SNSignatureDroite"/>
    <w:basedOn w:val="Normal"/>
    <w:next w:val="SNSignatureGauche"/>
    <w:qFormat/>
    <w:pPr>
      <w:ind w:firstLine="567"/>
    </w:pPr>
  </w:style>
  <w:style w:type="paragraph" w:customStyle="1" w:styleId="SNActe">
    <w:name w:val="SNActe"/>
    <w:basedOn w:val="Normal"/>
    <w:qFormat/>
    <w:pPr>
      <w:spacing w:before="480" w:after="120"/>
      <w:jc w:val="center"/>
    </w:pPr>
    <w:rPr>
      <w:b/>
    </w:rPr>
  </w:style>
  <w:style w:type="paragraph" w:customStyle="1" w:styleId="SNArticle">
    <w:name w:val="SNArticle"/>
    <w:basedOn w:val="Normal"/>
    <w:qFormat/>
    <w:pPr>
      <w:spacing w:before="120" w:after="12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Promulgation">
    <w:name w:val="SNPromulga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customStyle="1" w:styleId="SNRfrence">
    <w:name w:val="SNRéférence"/>
    <w:basedOn w:val="Normal"/>
    <w:qFormat/>
  </w:style>
  <w:style w:type="paragraph" w:customStyle="1" w:styleId="SNTravauxPrparatoires">
    <w:name w:val="SNTravauxPréparatoires"/>
    <w:basedOn w:val="SNNature"/>
    <w:qFormat/>
    <w:pPr>
      <w:spacing w:before="0" w:after="0"/>
      <w:jc w:val="left"/>
    </w:pPr>
    <w:rPr>
      <w:b w:val="0"/>
    </w:rPr>
  </w:style>
  <w:style w:type="paragraph" w:styleId="BalloonText">
    <w:name w:val="Balloon Text"/>
    <w:basedOn w:val="Normal"/>
    <w:qFormat/>
    <w:rPr>
      <w:rFonts w:ascii="Tahoma" w:hAnsi="Tahoma" w:cs="Lucida Sans Unicode"/>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Header">
    <w:name w:val="header"/>
    <w:basedOn w:val="Normal"/>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4411-C50F-4D6A-87F2-801D7DF9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1210</Words>
  <Characters>6900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dc:description/>
  <cp:lastModifiedBy>Liana Brili</cp:lastModifiedBy>
  <cp:revision>7</cp:revision>
  <cp:lastPrinted>2021-09-08T16:41:00Z</cp:lastPrinted>
  <dcterms:created xsi:type="dcterms:W3CDTF">2021-09-08T16:42:00Z</dcterms:created>
  <dcterms:modified xsi:type="dcterms:W3CDTF">2021-11-04T08:53:00Z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