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58D4" w14:textId="09F11D81" w:rsidR="00D622C7" w:rsidRPr="00D622C7" w:rsidRDefault="00D622C7" w:rsidP="00D622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Vyhláška ze dne 1. března 2021,</w:t>
      </w:r>
      <w:r w:rsidR="000246A0">
        <w:rPr>
          <w:rFonts w:ascii="Times New Roman" w:hAnsi="Times New Roman"/>
          <w:b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kterou se mění vyhláška ze dne 10. července 2020, kterou se stanoví opatření pro organizační a provozní zdravotní systém nezbytná pro řešení epidemie COVID-19 v souvislosti se stavem ohrožení zdraví</w:t>
      </w:r>
    </w:p>
    <w:p w14:paraId="1A2DAE62" w14:textId="77777777" w:rsidR="00D622C7" w:rsidRPr="00D622C7" w:rsidRDefault="00D622C7" w:rsidP="00D622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Původní verze </w:t>
      </w:r>
    </w:p>
    <w:p w14:paraId="6587B89F" w14:textId="77777777" w:rsidR="00D622C7" w:rsidRPr="00D622C7" w:rsidRDefault="00D622C7" w:rsidP="00D6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 pro solidaritu a zdraví,</w:t>
      </w:r>
      <w:r>
        <w:rPr>
          <w:rFonts w:ascii="Times New Roman" w:hAnsi="Times New Roman"/>
          <w:sz w:val="24"/>
        </w:rPr>
        <w:br/>
        <w:t>s ohledem na směrnici Evropského parlamentu a Rady 98/79/ES ze dne 27. října 1998 o diagnostických zdravotnických prostředcích in vitro;</w:t>
      </w:r>
      <w:r>
        <w:rPr>
          <w:rFonts w:ascii="Times New Roman" w:hAnsi="Times New Roman"/>
          <w:sz w:val="24"/>
        </w:rPr>
        <w:br/>
        <w:t>s ohledem na směrnici Evropského parlamentu a Rady (EU) 2015/1535 ze dne 9. září 2015 o postupu při poskytování informací v oblasti technických předpisů a předpisů pro služby informační společnosti, a zejména na oznámení č. 2021/129/F;</w:t>
      </w:r>
      <w:r>
        <w:rPr>
          <w:rFonts w:ascii="Times New Roman" w:hAnsi="Times New Roman"/>
          <w:sz w:val="24"/>
        </w:rPr>
        <w:br/>
        <w:t>s ohledem na zákoník o veřejném zdraví, zejména na článek L. 3131-16 tohoto zákoníku;</w:t>
      </w:r>
      <w:r>
        <w:rPr>
          <w:rFonts w:ascii="Times New Roman" w:hAnsi="Times New Roman"/>
          <w:sz w:val="24"/>
        </w:rPr>
        <w:br/>
        <w:t>s ohledem na zákoník sociálního zabezpečení [Code de la sécurité sociale];</w:t>
      </w:r>
      <w:r>
        <w:rPr>
          <w:rFonts w:ascii="Times New Roman" w:hAnsi="Times New Roman"/>
          <w:sz w:val="24"/>
        </w:rPr>
        <w:br/>
        <w:t>s ohledem na zákon č. 2020-1379 ze dne 14. listopadu 2020, kterým se povoluje prodloužení stavu zdravotní mimořádné situace a stanoví různá opatření pro řešení zdravotní krize, ve znění pozdějších předpisů;</w:t>
      </w:r>
      <w:r>
        <w:rPr>
          <w:rFonts w:ascii="Times New Roman" w:hAnsi="Times New Roman"/>
          <w:sz w:val="24"/>
        </w:rPr>
        <w:br/>
        <w:t>s ohledem na výnos č. 2020-1257 ze dne 14. října 2020 o stavu ohrožení zdraví;</w:t>
      </w:r>
      <w:r>
        <w:rPr>
          <w:rFonts w:ascii="Times New Roman" w:hAnsi="Times New Roman"/>
          <w:sz w:val="24"/>
        </w:rPr>
        <w:br/>
        <w:t>s ohledem na vyhlášku ze dne 13. srpna 2014, kterou se stanoví kategorie zdravotnických pracovníků oprávněných odebírat biologické vzorky pro klinické testy a provádět analytická průzkum klinických testů mimo klinickou laboratoř a místa, kde mohou být tyto průzkumy provedeny;</w:t>
      </w:r>
      <w:r>
        <w:rPr>
          <w:rFonts w:ascii="Times New Roman" w:hAnsi="Times New Roman"/>
          <w:sz w:val="24"/>
        </w:rPr>
        <w:br/>
        <w:t>s ohledem na vyhlášku ze dne 10. července 2020, kterou se stanoví organizační a provozní zdravotnická opatření nezbytná pro řešení epidemie COVID-19 v souvislosti se stavem ohrožení zdraví, ve znění pozdějších předpisů;</w:t>
      </w:r>
      <w:r>
        <w:rPr>
          <w:rFonts w:ascii="Times New Roman" w:hAnsi="Times New Roman"/>
          <w:sz w:val="24"/>
        </w:rPr>
        <w:br/>
        <w:t>s ohledem na vyhlášku ze dne 23. prosince 2020, kterou se stanoví specifikace pro pokusy týkající se služeb péče prostřednictvím telemonitoringu prováděné na základě článku 54 zákona č. 2017-1836 o financování sociálního zabezpečení v roce 2018;</w:t>
      </w:r>
      <w:r>
        <w:rPr>
          <w:rFonts w:ascii="Times New Roman" w:hAnsi="Times New Roman"/>
          <w:sz w:val="24"/>
        </w:rPr>
        <w:br/>
        <w:t>vzhledem k tomu, že pro usnadnění vzdálené zdravotní péče o pacienty podezřelých z infekce COVID-19 nebo nakažených virem COVID-19 bylo přijato ustanovení o výjimkách po dobu potřebnou pro zdravotnické pracovníky, aby se vybavili digitálními nástroji, které jsou v souladu s obecnou politikou bezpečnosti zdravotních informačních systémů a nařízeními o poskytování zdravotních údajů; vzhledem k tomu, že tyto přechodné výjimky mohou být nyní zrušeny;</w:t>
      </w:r>
      <w:r>
        <w:rPr>
          <w:rFonts w:ascii="Times New Roman" w:hAnsi="Times New Roman"/>
          <w:sz w:val="24"/>
        </w:rPr>
        <w:br/>
        <w:t>vzhledem k tomu, že výjimky ze splnění kritérií pro zahrnutí telemonitorovacích postupů provedených na základě článku 54 zákona o financování sociálního zabezpečení na rok 2018 jsou nyní stanoveny výše uvedeným usnesením ze dne 23. prosince 2020; vzhledem k tomu, že již není třeba jejich zahrnutí do vyhlášky ze dne 10. července 2020 ve znění tohoto nařízení;</w:t>
      </w:r>
      <w:r>
        <w:rPr>
          <w:rFonts w:ascii="Times New Roman" w:hAnsi="Times New Roman"/>
          <w:sz w:val="24"/>
        </w:rPr>
        <w:br/>
        <w:t>vzhledem k tomu, že znalost úrovně výskytu a šíření různých variant na území státu je nezbytná pro řádné řešení epidemické krize; vzhledem k tomu, že je proto nezbytné umožnit větší plynulost a lepší odezvu pro použití prostředků, které zjišťují nové varianty tím, že povolují klinické laboratoře k výrobě pro vlastní použití diagnostických zdravotnických prostředků in vitro používaných pro screening variant SARS-CoV-2 pomocí specifické techniky RT-PCR;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vzhledem k tomu, že je nezbytné umožnit provedení screeningu s cílem zjistit přítomnost různých hledaných variant pohybujících se na území po antigenním testu, jehož výsledek je pozitivní, a stanovit odměnu za příslušná opatření pro odběr vzorků a detekční vyšetření pro různé zdravotnické pracovníky,</w:t>
      </w:r>
      <w:r>
        <w:rPr>
          <w:rFonts w:ascii="Times New Roman" w:hAnsi="Times New Roman"/>
          <w:sz w:val="24"/>
        </w:rPr>
        <w:br/>
        <w:t>tímto se nařizuje:</w:t>
      </w:r>
    </w:p>
    <w:p w14:paraId="22C28F7E" w14:textId="77777777" w:rsidR="00D622C7" w:rsidRPr="00D622C7" w:rsidRDefault="00D622C7" w:rsidP="00D622C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1</w:t>
      </w:r>
    </w:p>
    <w:p w14:paraId="1D07A58C" w14:textId="77777777" w:rsidR="00D622C7" w:rsidRPr="00D622C7" w:rsidRDefault="00D622C7" w:rsidP="00D622C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Výše uvedené usnesení ze dne 10. července 2020 se mění takto:</w:t>
      </w:r>
      <w:r>
        <w:rPr>
          <w:rFonts w:ascii="Times New Roman" w:hAnsi="Times New Roman"/>
          <w:sz w:val="24"/>
        </w:rPr>
        <w:br/>
        <w:t>1) V článku 17 se zrušují body I, VI a VII;</w:t>
      </w:r>
      <w:r>
        <w:rPr>
          <w:rFonts w:ascii="Times New Roman" w:hAnsi="Times New Roman"/>
          <w:sz w:val="24"/>
        </w:rPr>
        <w:br/>
        <w:t>2) Do bodu VI článku 18 se vkládá nové ustanovení bodu VI písm. a), které zní:</w:t>
      </w:r>
      <w:r>
        <w:rPr>
          <w:rFonts w:ascii="Times New Roman" w:hAnsi="Times New Roman"/>
          <w:sz w:val="24"/>
        </w:rPr>
        <w:br/>
        <w:t>VI písm. a). – Na základě pozitivního antigenního testu mohou soukromí lékárníci odebírat vzorky v lékárnách, fakturované podle odměny definované v IV, za provedení screeningového testu na varianty za použití specifické techniky RT-PCR v klinické laboratoři za podmínek uvedených v článku 28-2 této vyhlášky. Vzorky jsou odebírány na odpovědnost klinické laboratoře v rámci dohody s výdejním lékárníkem. “;</w:t>
      </w:r>
      <w:r>
        <w:rPr>
          <w:rFonts w:ascii="Times New Roman" w:hAnsi="Times New Roman"/>
          <w:sz w:val="24"/>
        </w:rPr>
        <w:br/>
        <w:t>3) Článek 25 se doplňuje tímto zněním VII:</w:t>
      </w:r>
      <w:r>
        <w:rPr>
          <w:rFonts w:ascii="Times New Roman" w:hAnsi="Times New Roman"/>
          <w:sz w:val="24"/>
        </w:rPr>
        <w:br/>
        <w:t>„VII. – Odchylně od článku L. 5221-5 kodexu veřejného zdraví mohou být diagnostické zdravotnické prostředky in vitro používané pro screening variant SARS-CoV-2 pomocí specifické techniky RT-PCR, které splňují technické požadavky stanovené na internetových stránkách ministerstva zdravotnictví, vyrobeny v klinických laboratořích uvedených v článku L. 6212-1 kodexu veřejného zdraví.</w:t>
      </w:r>
      <w:r>
        <w:rPr>
          <w:rFonts w:ascii="Times New Roman" w:hAnsi="Times New Roman"/>
          <w:sz w:val="24"/>
        </w:rPr>
        <w:br/>
        <w:t>„diagnostické zdravotnické prostředky in vitro uvedené v předchozím odstavci musí být vyrobeny a používány výhradně v klinické laboratoři pro vlastní použití.</w:t>
      </w:r>
      <w:r>
        <w:rPr>
          <w:rFonts w:ascii="Times New Roman" w:hAnsi="Times New Roman"/>
          <w:sz w:val="24"/>
        </w:rPr>
        <w:br/>
        <w:t>Odchylně od čl. R. 5221-21 druhého odstavce zákona o veřejném zdraví musí klinické laboratoře uvedené v prvním pododstavci této VII splňovat specifikace zveřejněné na internetových stránkách Národní agentury pro bezpečnost léčiv a zdravotnických přípravků a ministerstva zdravotnictví. Sdělí agentuře informace uvedené v těchto specifikacích.</w:t>
      </w:r>
      <w:r>
        <w:rPr>
          <w:rFonts w:ascii="Times New Roman" w:hAnsi="Times New Roman"/>
          <w:sz w:val="24"/>
        </w:rPr>
        <w:br/>
        <w:t>Tyto klinické laboratoře podléhají povinnostem obezřetnosti činidla stanoveným v článcích R. 5222-16 až R. 5222-18 kodexu veřejného zdraví pro výrobu a používání těchto diagnostických zdravotnických prostředků in vitro. ”;</w:t>
      </w:r>
      <w:r>
        <w:rPr>
          <w:rFonts w:ascii="Times New Roman" w:hAnsi="Times New Roman"/>
          <w:sz w:val="24"/>
        </w:rPr>
        <w:br/>
        <w:t>(4) Do prvního odstavce čl. 28-2 se vkládá nový odstavec, který zní:</w:t>
      </w:r>
      <w:r>
        <w:rPr>
          <w:rFonts w:ascii="Times New Roman" w:hAnsi="Times New Roman"/>
          <w:sz w:val="24"/>
        </w:rPr>
        <w:br/>
        <w:t>„Po pozitivním antigenním testu mohou klinické laboratoře za podmínek stanovených v předchozím odstavci vyúčtovat variantní screeningový test pomocí specifické RT-PCR techniky na nový vzorek odebraný za tímto účelem. Pokud klinická laboratoř odebere nový vzorek, může kromě toho fakturovat úkon odběru vzorků podle 9058 názvosloví klinických úkonů. “</w:t>
      </w:r>
    </w:p>
    <w:p w14:paraId="4966BE5B" w14:textId="77777777" w:rsidR="00D622C7" w:rsidRPr="00D622C7" w:rsidRDefault="00D622C7" w:rsidP="00D622C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2</w:t>
      </w:r>
    </w:p>
    <w:p w14:paraId="05A18261" w14:textId="77777777" w:rsidR="00D622C7" w:rsidRPr="00D622C7" w:rsidRDefault="00D622C7" w:rsidP="00D622C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Tato vyhláška bude zveřejněna v Úředním věstníku Francouzské republiky.</w:t>
      </w:r>
    </w:p>
    <w:p w14:paraId="20136422" w14:textId="77777777" w:rsidR="00D622C7" w:rsidRPr="00D622C7" w:rsidRDefault="00D622C7" w:rsidP="00D6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Dne 1. března 2021.</w:t>
      </w:r>
    </w:p>
    <w:p w14:paraId="351448AD" w14:textId="0B4ADE35" w:rsidR="00E97DB3" w:rsidRDefault="00D622C7" w:rsidP="00221CBD">
      <w:pPr>
        <w:spacing w:before="100" w:beforeAutospacing="1" w:after="100" w:afterAutospacing="1" w:line="240" w:lineRule="auto"/>
      </w:pPr>
      <w:r>
        <w:rPr>
          <w:rFonts w:ascii="Times New Roman" w:hAnsi="Times New Roman"/>
          <w:sz w:val="24"/>
        </w:rPr>
        <w:br/>
        <w:t xml:space="preserve">Olivier </w:t>
      </w:r>
      <w:r w:rsidR="00221CBD" w:rsidRPr="00D622C7">
        <w:rPr>
          <w:rFonts w:ascii="Times New Roman" w:eastAsia="Times New Roman" w:hAnsi="Times New Roman" w:cs="Times New Roman"/>
          <w:sz w:val="24"/>
          <w:szCs w:val="24"/>
          <w:lang w:eastAsia="fr-FR"/>
        </w:rPr>
        <w:t>Véran</w:t>
      </w:r>
    </w:p>
    <w:sectPr w:rsidR="00E97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C7"/>
    <w:rsid w:val="000246A0"/>
    <w:rsid w:val="00221CBD"/>
    <w:rsid w:val="00D622C7"/>
    <w:rsid w:val="00E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3798"/>
  <w15:chartTrackingRefBased/>
  <w15:docId w15:val="{BC18C458-0887-4048-8F7C-AC5C84F0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4</cp:revision>
  <dcterms:created xsi:type="dcterms:W3CDTF">2021-03-02T10:04:00Z</dcterms:created>
  <dcterms:modified xsi:type="dcterms:W3CDTF">2021-10-26T11:01:00Z</dcterms:modified>
</cp:coreProperties>
</file>