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9E41" w14:textId="29B2A50F" w:rsidR="00D622C7" w:rsidRPr="00D622C7" w:rsidRDefault="00D622C7" w:rsidP="00D622C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Odredba z dne 1. marca 2021</w:t>
      </w:r>
      <w:r w:rsidR="008F2705">
        <w:rPr>
          <w:rFonts w:ascii="Times New Roman" w:hAnsi="Times New Roman"/>
          <w:b/>
          <w:sz w:val="36"/>
        </w:rPr>
        <w:t xml:space="preserve"> </w:t>
      </w:r>
      <w:r>
        <w:rPr>
          <w:rFonts w:ascii="Times New Roman" w:hAnsi="Times New Roman"/>
          <w:b/>
          <w:sz w:val="36"/>
        </w:rPr>
        <w:t>o spremembi Odredbe z dne 10. julija 2020 o predpisovanju ukrepov organizacijskega in operativnega zdravstvenega sistema, potrebnih za obravnavanje epidemije COVID-19 v okviru izrednih zdravstvenih razmer</w:t>
      </w:r>
    </w:p>
    <w:p w14:paraId="64A7EADE" w14:textId="77777777" w:rsidR="00D622C7" w:rsidRPr="00D622C7" w:rsidRDefault="00D622C7" w:rsidP="00D622C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Začetna različica </w:t>
      </w:r>
    </w:p>
    <w:p w14:paraId="18EA3CE3" w14:textId="77777777"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solidarnost in zdravje,</w:t>
      </w:r>
      <w:r>
        <w:rPr>
          <w:rFonts w:ascii="Times New Roman" w:hAnsi="Times New Roman"/>
          <w:sz w:val="24"/>
        </w:rPr>
        <w:br/>
        <w:t>Ob upoštevanju Direktive 98/79/ES Evropskega parlamenta in Sveta z dne 27. oktobra 1998 o in vitro diagnostičnih medicinskih pripomočkih;</w:t>
      </w:r>
      <w:r>
        <w:rPr>
          <w:rFonts w:ascii="Times New Roman" w:hAnsi="Times New Roman"/>
          <w:sz w:val="24"/>
        </w:rPr>
        <w:br/>
        <w:t>Ob upoštevanju Direktive (EU) 2015/1535 Evropskega parlamenta in Sveta z dne 9. septembra 2015 o določitvi postopka za zbiranje informacij na področju tehničnih predpisov in pravil o storitvah informacijske družbe in zlasti uradnega obvestila št. 2021/129/F;</w:t>
      </w:r>
      <w:r>
        <w:rPr>
          <w:rFonts w:ascii="Times New Roman" w:hAnsi="Times New Roman"/>
          <w:sz w:val="24"/>
        </w:rPr>
        <w:br/>
        <w:t>Ob upoštevanju Zakonika o javnem zdravju, zlasti člena L. 3131-16 Zakonika;</w:t>
      </w:r>
      <w:r>
        <w:rPr>
          <w:rFonts w:ascii="Times New Roman" w:hAnsi="Times New Roman"/>
          <w:sz w:val="24"/>
        </w:rPr>
        <w:br/>
        <w:t>Ob upoštevanju Zakonika o socialni varnosti [Code de la sécurité sociale];</w:t>
      </w:r>
      <w:r>
        <w:rPr>
          <w:rFonts w:ascii="Times New Roman" w:hAnsi="Times New Roman"/>
          <w:sz w:val="24"/>
        </w:rPr>
        <w:br/>
        <w:t>Ob upoštevanju Zakona št. 2020-1379 z dne 14. novembra 2020 o odobritvi podaljšanja izrednih zdravstvenih razmer in določitvi različnih ukrepov za obvladovanje zdravstvene krize, kakor je bil spremenjen;</w:t>
      </w:r>
      <w:r>
        <w:rPr>
          <w:rFonts w:ascii="Times New Roman" w:hAnsi="Times New Roman"/>
          <w:sz w:val="24"/>
        </w:rPr>
        <w:br/>
        <w:t>Ob upoštevanju odloka št. 2020-1257 z dne 14. oktobra 2020 o razglasitvi izrednih zdravstvenih razmer;</w:t>
      </w:r>
      <w:r>
        <w:rPr>
          <w:rFonts w:ascii="Times New Roman" w:hAnsi="Times New Roman"/>
          <w:sz w:val="24"/>
        </w:rPr>
        <w:br/>
        <w:t>Ob upoštevanju Odredbe z dne 13. avgusta 2014 o kategorijah zdravstvenih delavcev, pooblaščenih za odvzem bioloških vzorcev za klinične teste in izvedbo analitske faze kliničnih testov zunaj kliničnega laboratorija in krajev, kjer se te faze lahko izvajajo;</w:t>
      </w:r>
      <w:r>
        <w:rPr>
          <w:rFonts w:ascii="Times New Roman" w:hAnsi="Times New Roman"/>
          <w:sz w:val="24"/>
        </w:rPr>
        <w:br/>
        <w:t>Ob upoštevanju Odredbe z dne 10. julija 2020 o predpisovanju ukrepov organizacijskega in operativnega zdravstvenega sistema, potrebnih za obravnavanje epidemije COVID-19 v okviru izrednih zdravstvenih razmer, kakor je bila spremenjena;</w:t>
      </w:r>
      <w:r>
        <w:rPr>
          <w:rFonts w:ascii="Times New Roman" w:hAnsi="Times New Roman"/>
          <w:sz w:val="24"/>
        </w:rPr>
        <w:br/>
        <w:t>Ob upoštevanju Odredbe z dne 23. decembra 2020 o določitvi specifikacij za poskuse v zvezi s storitvami oskrbe prek spremljanja na daljavo, ki se izvaja na podlagi člena 54 Zakona št. 2017-1836 o financiranju socialne varnosti za leto 2018;</w:t>
      </w:r>
      <w:r>
        <w:rPr>
          <w:rFonts w:ascii="Times New Roman" w:hAnsi="Times New Roman"/>
          <w:sz w:val="24"/>
        </w:rPr>
        <w:br/>
        <w:t>Ker so bili za olajšanje telefonske zdravstvene oskrbe bolnikov, pri katerih obstaja sum okužbe s COVID-19 ali so okuženi s COVID-19, predvidena odstopanja za čas, ki je potreben, da se zdravstveni delavci opremijo z digitalnimi orodji, ki so v skladu s splošno politiko o varnosti zdravstvenih informacijskih sistemov in predpisi o gostovanju zdravstvenih podatkov; ker se ta prehodna odstopanja zdaj lahko odpravijo;</w:t>
      </w:r>
      <w:r>
        <w:rPr>
          <w:rFonts w:ascii="Times New Roman" w:hAnsi="Times New Roman"/>
          <w:sz w:val="24"/>
        </w:rPr>
        <w:br/>
        <w:t>Ker so odstopanja od meril za vključitev monitoringa na daljavo, ki se izvajajo na podlagi člena 54 Zakona o financiranju socialne varnosti za leto 2018, zdaj določena z zgoraj navedenim odlokom z dne 23. decembra 2020; ker ni več potrebe po njihovi vključitvi v Odredbo z dne 10. julija 2020, spremenjeno s to uredbo;</w:t>
      </w:r>
      <w:r>
        <w:rPr>
          <w:rFonts w:ascii="Times New Roman" w:hAnsi="Times New Roman"/>
          <w:sz w:val="24"/>
        </w:rPr>
        <w:br/>
        <w:t>Ker je poznavanje stopnje prisotnosti in širjenja različnih oblik na nacionalnem ozemlju potrebno za ustrezno obvladovanje epidemije; ker je zato treba omogočiti večjo pretočnost in boljšo odzivnost za uporabo pripomočkov, ki odkrivajo nove variante, in sicer z odobritvijo kliničnih laboratorijev za lastno uporabo in vitro diagnostičnih medicinskih pripomočkov, ki se uporabljajo za presejanje oblik SARS-CoV-2 z uporabo posebne tehnike RT-PCR;</w:t>
      </w:r>
      <w:r>
        <w:rPr>
          <w:rFonts w:ascii="Times New Roman" w:hAnsi="Times New Roman"/>
          <w:sz w:val="24"/>
        </w:rPr>
        <w:br/>
        <w:t xml:space="preserve">Ker je treba omogočiti presejanje za odkrivanje prisotnost različnih oblik, ki krožijo na ozemlju po pozitivnem antigenskem testu in zagotavljanje plačila za ustrezne ukrepe </w:t>
      </w:r>
      <w:r>
        <w:rPr>
          <w:rFonts w:ascii="Times New Roman" w:hAnsi="Times New Roman"/>
          <w:sz w:val="24"/>
        </w:rPr>
        <w:lastRenderedPageBreak/>
        <w:t>vzorčenja in presejanja za različne zdravstvene delavce,</w:t>
      </w:r>
      <w:r>
        <w:rPr>
          <w:rFonts w:ascii="Times New Roman" w:hAnsi="Times New Roman"/>
          <w:sz w:val="24"/>
        </w:rPr>
        <w:br/>
        <w:t>Sklepa:</w:t>
      </w:r>
    </w:p>
    <w:p w14:paraId="6D2E9C11" w14:textId="77777777" w:rsidR="00D622C7" w:rsidRPr="00D622C7" w:rsidRDefault="00D622C7" w:rsidP="00D622C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30261C95" w14:textId="77777777" w:rsidR="00D622C7" w:rsidRPr="00D622C7" w:rsidRDefault="00D622C7" w:rsidP="00D622C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Zgoraj navedena Odredba z dne 10. julija 2020 se spremeni:</w:t>
      </w:r>
      <w:r>
        <w:rPr>
          <w:rFonts w:ascii="Times New Roman" w:hAnsi="Times New Roman"/>
          <w:sz w:val="24"/>
        </w:rPr>
        <w:br/>
        <w:t>1) V členu 17 se črtajo I, VI in VII;</w:t>
      </w:r>
      <w:r>
        <w:rPr>
          <w:rFonts w:ascii="Times New Roman" w:hAnsi="Times New Roman"/>
          <w:sz w:val="24"/>
        </w:rPr>
        <w:br/>
        <w:t>2) V členu 18 se za VI vstavi VI(a), ki se glasi:</w:t>
      </w:r>
      <w:r>
        <w:rPr>
          <w:rFonts w:ascii="Times New Roman" w:hAnsi="Times New Roman"/>
          <w:sz w:val="24"/>
        </w:rPr>
        <w:br/>
        <w:t>VI(a). – Po pozitivnem antigenskem testu lahko zasebni farmacevti vzamejo vzorce v lekarnah, ki se zaračunajo v skladu z nadomestilom, opredeljenim v IV, za izvajanje presejalnega testa za različice z uporabo posebne tehnike RT-PCR v kliničnem laboratoriju pod pogoji iz člena 28-2 te odredbe. Vzorci se odvzamejo pod odgovornostjo kliničnega laboratorija v okviru dogovora z lekarniškim farmacevtom. “;</w:t>
      </w:r>
      <w:r>
        <w:rPr>
          <w:rFonts w:ascii="Times New Roman" w:hAnsi="Times New Roman"/>
          <w:sz w:val="24"/>
        </w:rPr>
        <w:br/>
        <w:t>3) Člen 25 se dopolni z VII, ki se glasi:</w:t>
      </w:r>
      <w:r>
        <w:rPr>
          <w:rFonts w:ascii="Times New Roman" w:hAnsi="Times New Roman"/>
          <w:sz w:val="24"/>
        </w:rPr>
        <w:br/>
        <w:t>„VII. – Z odstopanjem od člena L. 5221-5 Zakonika o javnem zdravju lahko in vitro diagnostične medicinske pripomočke, ki se uporabljajo za presejanje oblik SARS-CoV-2 z uporabo posebne tehnike RT-PCR, ki izpolnjuje tehnične zahteve, določene na spletni strani Ministrstva za zdravje, izdelajo klinični laboratoriji iz člena L. 6212-1 Zakonika o javnem zdravju.</w:t>
      </w:r>
      <w:r>
        <w:rPr>
          <w:rFonts w:ascii="Times New Roman" w:hAnsi="Times New Roman"/>
          <w:sz w:val="24"/>
        </w:rPr>
        <w:br/>
        <w:t>„In vitro diagnostični medicinski pripomočki iz prejšnjega odstavka se izdelajo in uporabljajo izključno v kliničnem laboratoriju za lastno uporabo.</w:t>
      </w:r>
      <w:r>
        <w:rPr>
          <w:rFonts w:ascii="Times New Roman" w:hAnsi="Times New Roman"/>
          <w:sz w:val="24"/>
        </w:rPr>
        <w:br/>
        <w:t>Z odstopanjem od drugega odstavka člena R. 5221-21 Zakonika o javnem zdravju morajo klinični laboratoriji iz prvega odstavka VII izpolnjevati zahteve, objavljene na spletnih straneh Nacionalne agencije za varnost zdravil in zdravstvenih proizvodov ter Ministrstva za zdravje. Agenciji sporočijo informacije, določene v teh specifikacijah.</w:t>
      </w:r>
      <w:r>
        <w:rPr>
          <w:rFonts w:ascii="Times New Roman" w:hAnsi="Times New Roman"/>
          <w:sz w:val="24"/>
        </w:rPr>
        <w:br/>
        <w:t>Za te klinične laboratorije veljajo obveznosti glede nadzora reagenta iz členov R. 5222-16 do R. 5222-18 Zakonika javnega zdravja za proizvodnjo in uporabo takšnih in vitro diagnostičnih medicinskih pripomočkov. “;</w:t>
      </w:r>
      <w:r>
        <w:rPr>
          <w:rFonts w:ascii="Times New Roman" w:hAnsi="Times New Roman"/>
          <w:sz w:val="24"/>
        </w:rPr>
        <w:br/>
        <w:t>(4) Za prvim odstavkom I člena 28-2 se vstavi naslednji odstavek:</w:t>
      </w:r>
      <w:r>
        <w:rPr>
          <w:rFonts w:ascii="Times New Roman" w:hAnsi="Times New Roman"/>
          <w:sz w:val="24"/>
        </w:rPr>
        <w:br/>
        <w:t>„Po pozitivnem antigenskem testu lahko klinični laboratoriji pod pogoji iz prejšnjega odstavka na novem vzorcu, odvzetem v ta namen, zaračunajo presejalni test oblike z uporabo posebne tehnike RT-PCR. Če klinični laboratorij vzame nov vzorec, lahko poleg tega izda račun za dejanje vzorčenja v skladu z 9058 nomenklature kliničnih dejanj. “</w:t>
      </w:r>
    </w:p>
    <w:p w14:paraId="412342E4" w14:textId="77777777" w:rsidR="00D622C7" w:rsidRPr="00D622C7" w:rsidRDefault="00D622C7" w:rsidP="00D622C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00C9F89A" w14:textId="77777777" w:rsidR="00D622C7" w:rsidRPr="00D622C7" w:rsidRDefault="00D622C7" w:rsidP="00D622C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Ta odredba se objavi v Uradnem listu Francoske republike.</w:t>
      </w:r>
    </w:p>
    <w:p w14:paraId="5F52E244" w14:textId="77777777"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Sklenjeno 1. marca 2021.</w:t>
      </w:r>
    </w:p>
    <w:p w14:paraId="09BF3EFF" w14:textId="45F73171" w:rsidR="00D622C7" w:rsidRPr="00D622C7" w:rsidRDefault="00D622C7" w:rsidP="00D622C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Olivier </w:t>
      </w:r>
      <w:r w:rsidR="008F2705">
        <w:rPr>
          <w:rFonts w:ascii="Times New Roman" w:eastAsia="Times New Roman" w:hAnsi="Times New Roman" w:cs="Times New Roman"/>
          <w:sz w:val="24"/>
          <w:szCs w:val="24"/>
          <w:lang w:eastAsia="fr-FR"/>
        </w:rPr>
        <w:t>Véran</w:t>
      </w:r>
    </w:p>
    <w:p w14:paraId="08E077FC" w14:textId="77777777" w:rsidR="00E97DB3" w:rsidRDefault="00E97DB3"/>
    <w:sectPr w:rsidR="00E97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C7"/>
    <w:rsid w:val="008F2705"/>
    <w:rsid w:val="00D622C7"/>
    <w:rsid w:val="00E97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6B29"/>
  <w15:chartTrackingRefBased/>
  <w15:docId w15:val="{BC18C458-0887-4048-8F7C-AC5C84F0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153990">
      <w:bodyDiv w:val="1"/>
      <w:marLeft w:val="0"/>
      <w:marRight w:val="0"/>
      <w:marTop w:val="0"/>
      <w:marBottom w:val="0"/>
      <w:divBdr>
        <w:top w:val="none" w:sz="0" w:space="0" w:color="auto"/>
        <w:left w:val="none" w:sz="0" w:space="0" w:color="auto"/>
        <w:bottom w:val="none" w:sz="0" w:space="0" w:color="auto"/>
        <w:right w:val="none" w:sz="0" w:space="0" w:color="auto"/>
      </w:divBdr>
      <w:divsChild>
        <w:div w:id="846603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2021-03-02T10:04:00Z</dcterms:created>
  <dcterms:modified xsi:type="dcterms:W3CDTF">2021-10-26T11:02:00Z</dcterms:modified>
</cp:coreProperties>
</file>