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668DB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Zbirka predpisov švedske agencije za hrano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 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3900C972" w:rsidR="00173D26" w:rsidRPr="00B668DB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6B055430" w:rsidR="005A6466" w:rsidRPr="00737150" w:rsidRDefault="002850E5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2850E5">
                  <w:rPr>
                    <w:b/>
                    <w:bCs/>
                    <w:sz w:val="36"/>
                    <w:szCs w:val="36"/>
                  </w:rPr>
                  <w:t>Predpisi Švedske agencije za hrano o prehranskih dopolnilih</w:t>
                </w:r>
              </w:sdtContent>
            </w:sdt>
            <w:r w:rsidR="008B30A2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Objavljeno dne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Kliknite sem za vnos datuma.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77777777" w:rsidR="00173D26" w:rsidRDefault="00D832B4" w:rsidP="00D832B4">
      <w:pPr>
        <w:spacing w:before="480" w:after="720"/>
      </w:pPr>
      <w:r>
        <w:t xml:space="preserve">sprejeti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sl-SI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sem za vnos datuma.</w:t>
          </w:r>
        </w:sdtContent>
      </w:sdt>
      <w:r>
        <w:t>.</w:t>
      </w:r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podlagi oddelkov 5 do 7 Odloka o hrani (2006:813)</w:t>
      </w:r>
      <w:r w:rsidR="00E1752D">
        <w:rPr>
          <w:rStyle w:val="FootnoteReference"/>
        </w:rPr>
        <w:footnoteReference w:id="1"/>
      </w:r>
      <w:r>
        <w:t xml:space="preserve"> švedska agencija za hrano določa naslednje. </w:t>
      </w:r>
    </w:p>
    <w:p w14:paraId="604AAC82" w14:textId="77777777" w:rsidR="006861F9" w:rsidRPr="006861F9" w:rsidRDefault="006861F9" w:rsidP="006861F9">
      <w:pPr>
        <w:pStyle w:val="Heading2"/>
      </w:pPr>
      <w:r>
        <w:t>Področje uporabe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Oddelek 1.</w:t>
      </w:r>
      <w:r>
        <w:t>  Te določbe se uporabljajo za živila, dana v promet kot prehranska dopolnila.</w:t>
      </w:r>
    </w:p>
    <w:p w14:paraId="5214CA54" w14:textId="77777777" w:rsidR="0075007A" w:rsidRPr="008604DD" w:rsidRDefault="006B202E" w:rsidP="0075007A">
      <w:pPr>
        <w:pStyle w:val="Heading2"/>
      </w:pPr>
      <w:r>
        <w:t>Opredelitev pojmov</w:t>
      </w:r>
    </w:p>
    <w:p w14:paraId="02A2E7CA" w14:textId="77777777" w:rsidR="00FD56E9" w:rsidRDefault="00BB080D" w:rsidP="00160809">
      <w:r>
        <w:rPr>
          <w:b/>
        </w:rPr>
        <w:t xml:space="preserve">Oddelek 2. </w:t>
      </w:r>
      <w:r>
        <w:t>„Prehranska dopolnila“ pomenijo živila, ki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so namenjena dopolnjevanju običajne prehrane;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so koncentriran vir hranil ali drugih snovi s hranilnim ali fiziološkim učinkom, samostojno ali v kombinaciji; in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so na voljo v obliki odmerkov, in sicer v obliki kapsul, pastil, tablet in drugih podobnih oblik, vrečk s prahom, ampul tekočin, vial in drugih podobnih dozirnih pripravkov za tekočine ali praške, namenjene za odmerjene majhnih količin.</w:t>
      </w:r>
    </w:p>
    <w:p w14:paraId="35E7BBD2" w14:textId="77777777" w:rsidR="003B1249" w:rsidRDefault="00160809" w:rsidP="00160809">
      <w:pPr>
        <w:pStyle w:val="ListParagraph"/>
        <w:ind w:left="360"/>
      </w:pPr>
      <w:r>
        <w:t>„Hranila“ pomenijo vitamine in minerale.</w:t>
      </w:r>
    </w:p>
    <w:p w14:paraId="161D42EE" w14:textId="77777777" w:rsidR="00DA2B68" w:rsidRDefault="00537223" w:rsidP="00DA2B68">
      <w:pPr>
        <w:pStyle w:val="Heading2"/>
      </w:pPr>
      <w:r>
        <w:lastRenderedPageBreak/>
        <w:t>Pakiranje in označevanje</w:t>
      </w:r>
    </w:p>
    <w:p w14:paraId="7B9D5D8E" w14:textId="77777777" w:rsidR="00DA2B68" w:rsidRDefault="00E32CB3" w:rsidP="00DA2B68">
      <w:r>
        <w:rPr>
          <w:b/>
        </w:rPr>
        <w:t>Oddelek 3.  </w:t>
      </w:r>
      <w:r>
        <w:t>Prehranska dopolnila se končnemu potrošniku lahko dostavijo samo v predpakirani obliki.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Oddelek 4.  </w:t>
      </w:r>
      <w:r>
        <w:t xml:space="preserve">Izraz „prehranska dopolnila“ se uporablja na proizvodih, ki jih zajemajo ti predpisi.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Oddelek 5.</w:t>
      </w:r>
      <w:r>
        <w:t>  Embalaža se označi z naslednjim: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imenom kategorije hranil ali drugih snovi, ki so značilne za proizvod, ali navedbo narave teh hranil ali drugih snovi;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priporočenim dnevnim odmerkom zdravila;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da priporočeni dnevni odmerek ne sme biti presežen;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da se prehranska dopolnila ne smejo uporabljati kot nadomestilo za raznovrstno prehrano; in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da je treba prehranska dopolnila shranjevati izven dosega majhnih otrok.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Oddelek 6.</w:t>
      </w:r>
      <w:r>
        <w:t xml:space="preserve">  Označevanje in predstavitev prehranskih dopolnil ne sme vključevati nobene trditve ali namiga, da uravnotežena in raznolika prehrana ne more zagotoviti zadostnih količin hranil na splošno.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Oddelek 7.  </w:t>
      </w:r>
      <w:r>
        <w:t>Količine hranil in drugih snovi s hranilnim ali fiziološkim učinkom v proizvodu se navedejo na etiketi v številčni obliki. Navedene količine se nanašajo na vsebino priporočenega dnevnega odmerka zdravila.</w:t>
      </w:r>
    </w:p>
    <w:p w14:paraId="7BCE096B" w14:textId="2C9FF757" w:rsidR="00DA2B68" w:rsidRDefault="007402AD" w:rsidP="00DA2B68">
      <w:r>
        <w:tab/>
        <w:t>Navedene količine so povprečje na podlagi proizvajalčeve analize proizvoda in so izražene v enotah za vitamine in minerale iz Priloge I k Direktivi 2002/46/ES Evropskega parlamenta in Sveta z dne 10. junija 2002 o približevanju zakonodaj držav članic o prehranskih dopolnilih.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Oddelek 8.</w:t>
      </w:r>
      <w:r>
        <w:t xml:space="preserve">  Količine vitaminov in mineralov se izrazijo kot odstotek referenčnih vrednosti iz Priloge XIII k Uredbi (EU) št. 1169/2011 Evropskega parlamenta in Sveta z dne 25. oktobra 2011 o zagotavljanju informacij o živilih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608/2004. </w:t>
      </w:r>
    </w:p>
    <w:p w14:paraId="320FD7F9" w14:textId="3FC4B968" w:rsidR="00DA2B68" w:rsidRDefault="00AF31EB" w:rsidP="00DA2B68">
      <w:r>
        <w:tab/>
        <w:t xml:space="preserve">Odstotek iz prvega odstavka se lahko izrazi tudi v grafični obliki. </w:t>
      </w:r>
    </w:p>
    <w:p w14:paraId="24DD277A" w14:textId="2002DF34" w:rsidR="00B527A5" w:rsidRDefault="008C37B0" w:rsidP="00B527A5">
      <w:pPr>
        <w:pStyle w:val="Heading2"/>
      </w:pPr>
      <w:r>
        <w:t>Vitamini in minerali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Oddelek 9.  </w:t>
      </w:r>
      <w:r>
        <w:t xml:space="preserve"> Pri proizvodnji prehranskih dopolnil se lahko uporabljajo samo vitamini in minerali, navedeni v Prilogi I k Direktivi 2002/46/ES Evropskega parlamenta in Sveta.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Oddelek 10.  </w:t>
      </w:r>
      <w:r>
        <w:t>Pri proizvodnji prehranskih dopolnil se lahko uporabljajo samo tiste</w:t>
      </w:r>
      <w:r>
        <w:rPr>
          <w:b/>
        </w:rPr>
        <w:t xml:space="preserve"> </w:t>
      </w:r>
      <w:r>
        <w:t>spojine vitaminov ali mineralov iz Priloge II k Direktivi 2002/46/ES Evropskega parlamenta in Sveta.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Takšne vitaminske ali mineralne spojine, kjer je to primerno, izpolnjujejo merila čistosti, ki: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jih je sprejela Komisija v skladu z Direktivo 2002/46/ES Evropskega parlamenta in Sveta; ali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so določena s pravom Unije in se uporabljajo za proizvodnjo živil za namene, ki niso prehranska dopolnila.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Če ni vzpostavljenih meril čistosti, se uporabljajo splošno sprejeta merila čistosti, ki jih priporočajo mednarodni organi.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Vitamin D in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Oddelek 11.  </w:t>
      </w:r>
      <w:r>
        <w:t>Priporočeni</w:t>
      </w:r>
      <w:r>
        <w:rPr>
          <w:b/>
        </w:rPr>
        <w:t xml:space="preserve"> </w:t>
      </w:r>
      <w:r>
        <w:t xml:space="preserve">dnevni odmerek prehranskega dopolnila, danega v promet na Švedskem, ne sme vsebovati </w:t>
      </w:r>
    </w:p>
    <w:p w14:paraId="717FF15C" w14:textId="0E654B3E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vitamina D nad 100 μg; ali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joda nad 200 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Oddelek 12.  </w:t>
      </w:r>
      <w:r>
        <w:t xml:space="preserve">Za posamezne proizvode lahko švedska agencija za hrano odobri odstopanja od mejnih vrednosti za vitamin D ali jod iz oddelka 11, če agencija meni, da raven vitamina D ali joda, ki jo predlaga vložnik, v priporočenem dnevnem odmerku zdravila ne predstavlja tveganja za zdravje ljudi.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Vsako odstopanje je odvisno od skladnosti z mejno vrednostjo za vitamin D ali jod, določeno v zadevni odločbi.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Oddelek 13. </w:t>
      </w:r>
      <w:r>
        <w:t> Zahtevek za odstopanje za posamezne proizvode iz oddelka 12 vsebuje naslednje informacije: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ime, naslov in kontaktne podatke vložnika;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ime in sestavo proizvoda;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predlagano količino vitamina D ali joda v priporočenem dnevnem odmerku zdravila; in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znanstveni dokazi kažejo, da predlagana količina vitamina D ali joda v priporočenem dnevnem odmerku zdravila ne predstavlja tveganja za zdravje ljudi.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4FBEE17C" w14:textId="77777777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39C90966" w:rsidR="0096335A" w:rsidRDefault="004114F6" w:rsidP="00173D26">
      <w:r>
        <w:t>________</w:t>
      </w:r>
    </w:p>
    <w:p w14:paraId="69DDB0CB" w14:textId="1FE549A3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Ti predpisi začnejo veljati 1. januarja 2024 za oddelek 11, sicer pa 1. julija 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Ti predpisi razveljavljajo predpise švedske agencije za hrano (LIVSFS 2003:9) o prehranskih dopolnilih.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lastRenderedPageBreak/>
        <w:t xml:space="preserve">Prehranska dopolnila, ki niso v skladu z oddelkom 11, se lahko tržijo do porabe zalog, če so bila dana na trg ali označena pred 1. januarjem 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(Pravni oddelek)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94DC" w14:textId="77777777" w:rsidR="00A030B8" w:rsidRDefault="00A030B8" w:rsidP="009D6B26">
      <w:r>
        <w:separator/>
      </w:r>
    </w:p>
  </w:endnote>
  <w:endnote w:type="continuationSeparator" w:id="0">
    <w:p w14:paraId="6F429842" w14:textId="77777777" w:rsidR="00A030B8" w:rsidRDefault="00A030B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DBD1" w14:textId="77777777" w:rsidR="00A030B8" w:rsidRDefault="00A030B8" w:rsidP="009D6B26">
      <w:r>
        <w:separator/>
      </w:r>
    </w:p>
  </w:footnote>
  <w:footnote w:type="continuationSeparator" w:id="0">
    <w:p w14:paraId="3D958AE5" w14:textId="77777777" w:rsidR="00A030B8" w:rsidRDefault="00A030B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Gl. Direktivo 2002/46/ES Evropskega parlamenta in Sveta z dne 10. junija 2002 o približevanju zakonodaj držav članic o prehranskih dopolnilih, kakor je bila spremenjena z Uredbo Komisije (EU) 2021/418. Glej tudi Direktivo (EU) 2015/1535 Evropskega parlamenta in Sveta z dne 9. septembra 2015 o določitvi postopka za zbiranje informacij na področju tehničnih predpisov in pravil za storitve informacijske družbe.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78E3D534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3C73D6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730ED04A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3C73D6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348065605">
    <w:abstractNumId w:val="9"/>
  </w:num>
  <w:num w:numId="2" w16cid:durableId="660352861">
    <w:abstractNumId w:val="8"/>
  </w:num>
  <w:num w:numId="3" w16cid:durableId="2041854713">
    <w:abstractNumId w:val="3"/>
  </w:num>
  <w:num w:numId="4" w16cid:durableId="1841773487">
    <w:abstractNumId w:val="26"/>
  </w:num>
  <w:num w:numId="5" w16cid:durableId="1433084829">
    <w:abstractNumId w:val="12"/>
  </w:num>
  <w:num w:numId="6" w16cid:durableId="899443966">
    <w:abstractNumId w:val="33"/>
  </w:num>
  <w:num w:numId="7" w16cid:durableId="693649596">
    <w:abstractNumId w:val="2"/>
  </w:num>
  <w:num w:numId="8" w16cid:durableId="1989481986">
    <w:abstractNumId w:val="1"/>
  </w:num>
  <w:num w:numId="9" w16cid:durableId="2129740735">
    <w:abstractNumId w:val="0"/>
  </w:num>
  <w:num w:numId="10" w16cid:durableId="1994605641">
    <w:abstractNumId w:val="7"/>
  </w:num>
  <w:num w:numId="11" w16cid:durableId="641732135">
    <w:abstractNumId w:val="6"/>
  </w:num>
  <w:num w:numId="12" w16cid:durableId="448621011">
    <w:abstractNumId w:val="5"/>
  </w:num>
  <w:num w:numId="13" w16cid:durableId="1544946461">
    <w:abstractNumId w:val="4"/>
  </w:num>
  <w:num w:numId="14" w16cid:durableId="1207181086">
    <w:abstractNumId w:val="43"/>
  </w:num>
  <w:num w:numId="15" w16cid:durableId="1306591653">
    <w:abstractNumId w:val="29"/>
  </w:num>
  <w:num w:numId="16" w16cid:durableId="344863587">
    <w:abstractNumId w:val="22"/>
  </w:num>
  <w:num w:numId="17" w16cid:durableId="932664920">
    <w:abstractNumId w:val="16"/>
  </w:num>
  <w:num w:numId="18" w16cid:durableId="1223327186">
    <w:abstractNumId w:val="21"/>
  </w:num>
  <w:num w:numId="19" w16cid:durableId="44792745">
    <w:abstractNumId w:val="37"/>
  </w:num>
  <w:num w:numId="20" w16cid:durableId="1479222498">
    <w:abstractNumId w:val="47"/>
  </w:num>
  <w:num w:numId="21" w16cid:durableId="1386487282">
    <w:abstractNumId w:val="23"/>
  </w:num>
  <w:num w:numId="22" w16cid:durableId="424229746">
    <w:abstractNumId w:val="46"/>
  </w:num>
  <w:num w:numId="23" w16cid:durableId="1078401499">
    <w:abstractNumId w:val="40"/>
  </w:num>
  <w:num w:numId="24" w16cid:durableId="736319577">
    <w:abstractNumId w:val="30"/>
  </w:num>
  <w:num w:numId="25" w16cid:durableId="182668276">
    <w:abstractNumId w:val="41"/>
  </w:num>
  <w:num w:numId="26" w16cid:durableId="910315903">
    <w:abstractNumId w:val="20"/>
  </w:num>
  <w:num w:numId="27" w16cid:durableId="1208644333">
    <w:abstractNumId w:val="24"/>
  </w:num>
  <w:num w:numId="28" w16cid:durableId="2048262595">
    <w:abstractNumId w:val="31"/>
  </w:num>
  <w:num w:numId="29" w16cid:durableId="444694294">
    <w:abstractNumId w:val="13"/>
  </w:num>
  <w:num w:numId="30" w16cid:durableId="2116099561">
    <w:abstractNumId w:val="25"/>
  </w:num>
  <w:num w:numId="31" w16cid:durableId="990132192">
    <w:abstractNumId w:val="39"/>
  </w:num>
  <w:num w:numId="32" w16cid:durableId="245965512">
    <w:abstractNumId w:val="11"/>
  </w:num>
  <w:num w:numId="33" w16cid:durableId="1661227957">
    <w:abstractNumId w:val="17"/>
  </w:num>
  <w:num w:numId="34" w16cid:durableId="1051342126">
    <w:abstractNumId w:val="45"/>
  </w:num>
  <w:num w:numId="35" w16cid:durableId="647439585">
    <w:abstractNumId w:val="18"/>
  </w:num>
  <w:num w:numId="36" w16cid:durableId="2113935296">
    <w:abstractNumId w:val="49"/>
  </w:num>
  <w:num w:numId="37" w16cid:durableId="1867402363">
    <w:abstractNumId w:val="27"/>
  </w:num>
  <w:num w:numId="38" w16cid:durableId="1142381958">
    <w:abstractNumId w:val="35"/>
  </w:num>
  <w:num w:numId="39" w16cid:durableId="1956404928">
    <w:abstractNumId w:val="42"/>
  </w:num>
  <w:num w:numId="40" w16cid:durableId="887382022">
    <w:abstractNumId w:val="28"/>
  </w:num>
  <w:num w:numId="41" w16cid:durableId="1632662243">
    <w:abstractNumId w:val="14"/>
  </w:num>
  <w:num w:numId="42" w16cid:durableId="316374109">
    <w:abstractNumId w:val="15"/>
  </w:num>
  <w:num w:numId="43" w16cid:durableId="903105301">
    <w:abstractNumId w:val="44"/>
  </w:num>
  <w:num w:numId="44" w16cid:durableId="1470781326">
    <w:abstractNumId w:val="36"/>
  </w:num>
  <w:num w:numId="45" w16cid:durableId="919945369">
    <w:abstractNumId w:val="19"/>
  </w:num>
  <w:num w:numId="46" w16cid:durableId="1467507673">
    <w:abstractNumId w:val="10"/>
  </w:num>
  <w:num w:numId="47" w16cid:durableId="1294291738">
    <w:abstractNumId w:val="34"/>
  </w:num>
  <w:num w:numId="48" w16cid:durableId="690298298">
    <w:abstractNumId w:val="38"/>
  </w:num>
  <w:num w:numId="49" w16cid:durableId="1918248860">
    <w:abstractNumId w:val="32"/>
  </w:num>
  <w:num w:numId="50" w16cid:durableId="213083244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0D48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82A8D"/>
    <w:rsid w:val="002850E5"/>
    <w:rsid w:val="00295D1E"/>
    <w:rsid w:val="00296938"/>
    <w:rsid w:val="002A3FB4"/>
    <w:rsid w:val="002A5152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B30A2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030B8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27A5"/>
    <w:rsid w:val="00B645AD"/>
    <w:rsid w:val="00B668DB"/>
    <w:rsid w:val="00B735EA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558CC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Kliknite sem za vnos datuma.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135F82"/>
    <w:rsid w:val="00415C06"/>
    <w:rsid w:val="00B25828"/>
    <w:rsid w:val="00C030C8"/>
    <w:rsid w:val="00D6266F"/>
    <w:rsid w:val="00E26C03"/>
    <w:rsid w:val="00E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828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2134-05A5-417F-B193-8B06C738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Predpisi Švedske agencije za hrano o prehranskih dopolnilih</dc:title>
  <dc:subject/>
  <dc:creator>Norlin Sofia SUS_JU</dc:creator>
  <cp:keywords>2022:xx</cp:keywords>
  <dc:description/>
  <cp:lastModifiedBy>Dimitris Dimitriadis</cp:lastModifiedBy>
  <cp:revision>9</cp:revision>
  <cp:lastPrinted>2014-01-09T15:33:00Z</cp:lastPrinted>
  <dcterms:created xsi:type="dcterms:W3CDTF">2022-04-05T07:48:00Z</dcterms:created>
  <dcterms:modified xsi:type="dcterms:W3CDTF">2022-04-28T15:05:00Z</dcterms:modified>
</cp:coreProperties>
</file>