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DF6A" w14:textId="231973C4" w:rsidR="00056AAB" w:rsidRDefault="00104411" w:rsidP="003667D0">
      <w:pPr>
        <w:tabs>
          <w:tab w:val="left" w:leader="dot" w:pos="3384"/>
          <w:tab w:val="left" w:leader="dot" w:pos="3888"/>
          <w:tab w:val="left" w:leader="dot" w:pos="4824"/>
        </w:tabs>
        <w:spacing w:line="276" w:lineRule="auto"/>
        <w:ind w:left="1296"/>
        <w:jc w:val="center"/>
        <w:textAlignment w:val="baseline"/>
        <w:rPr>
          <w:rFonts w:asciiTheme="minorHAnsi" w:eastAsia="Calibri" w:hAnsiTheme="minorHAnsi"/>
          <w:b/>
          <w:sz w:val="28"/>
        </w:rPr>
      </w:pPr>
      <w:r>
        <w:rPr>
          <w:rFonts w:asciiTheme="minorHAnsi" w:hAnsiTheme="minorHAnsi"/>
          <w:b/>
          <w:color w:val="000000"/>
          <w:sz w:val="28"/>
        </w:rPr>
        <w:t>KRALJEVSKA UREDBA</w:t>
      </w:r>
      <w:r>
        <w:rPr>
          <w:rFonts w:asciiTheme="minorHAnsi" w:hAnsiTheme="minorHAnsi"/>
          <w:b/>
          <w:color w:val="000000"/>
          <w:sz w:val="28"/>
        </w:rPr>
        <w:tab/>
        <w:t>/</w:t>
      </w:r>
      <w:r>
        <w:rPr>
          <w:rFonts w:asciiTheme="minorHAnsi" w:hAnsiTheme="minorHAnsi"/>
          <w:b/>
          <w:color w:val="000000"/>
          <w:sz w:val="28"/>
        </w:rPr>
        <w:tab/>
        <w:t>, o</w:t>
      </w:r>
      <w:r>
        <w:rPr>
          <w:rFonts w:asciiTheme="minorHAnsi" w:hAnsiTheme="minorHAnsi"/>
          <w:b/>
          <w:color w:val="000000"/>
          <w:sz w:val="28"/>
        </w:rPr>
        <w:tab/>
        <w:t>odobravanju Norme o gradnji otpornoj na potrese NCSR-</w:t>
      </w:r>
      <w:r>
        <w:rPr>
          <w:rFonts w:asciiTheme="minorHAnsi" w:hAnsiTheme="minorHAnsi"/>
          <w:b/>
          <w:sz w:val="28"/>
        </w:rPr>
        <w:t>23</w:t>
      </w:r>
    </w:p>
    <w:p w14:paraId="227AE49F" w14:textId="38A238C5" w:rsidR="003667D0" w:rsidRPr="000D0FC4" w:rsidRDefault="003667D0" w:rsidP="003667D0">
      <w:pPr>
        <w:tabs>
          <w:tab w:val="left" w:leader="dot" w:pos="3384"/>
          <w:tab w:val="left" w:leader="dot" w:pos="3888"/>
          <w:tab w:val="left" w:leader="dot" w:pos="4824"/>
        </w:tabs>
        <w:spacing w:line="276" w:lineRule="auto"/>
        <w:ind w:left="1296"/>
        <w:textAlignment w:val="baseline"/>
        <w:rPr>
          <w:rFonts w:asciiTheme="minorHAnsi" w:eastAsia="Calibri" w:hAnsiTheme="minorHAnsi"/>
          <w:b/>
          <w:sz w:val="28"/>
          <w:lang w:val="el-GR"/>
        </w:rPr>
      </w:pPr>
    </w:p>
    <w:p w14:paraId="418AC172" w14:textId="37EBFE33" w:rsidR="00A44FF2" w:rsidRDefault="00104411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Stalnom odboru za Norme o otpornosti na potrese, međuministarskom kolegijalnom tijelu osnovanom Uredbom 3209/1974 od 30. kolovoza, pridruženom Ministarstvu prometa, mobilnosti i plana za gradove i u okviru Glavne uprave Nacionalnog geografskog instituta, kako je utvrđeno Kraljevskom uredbom 645/2020 od 7. srpnja, o razvoju osnovne organizacijske strukture Ministarstva prometa, mobilnosti i plana za gradove, među njegovim funkcijama povjereno je ažuriranje Pravilnika o otpornosti na potrese, kako je predviđeno člankom 2. točkom (B) Kraljevske uredbe 518/1984 od 22. veljače, kojom se reorganizira njegov sastav.</w:t>
      </w:r>
    </w:p>
    <w:p w14:paraId="032C0763" w14:textId="4901726A" w:rsidR="00C25687" w:rsidRDefault="00757E5B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Trenutno su postojeći propisi uključeni u „Normu o gradnji otpornoj na potrese: Opći dio i zgrade (NCSE-02)” odobrenu Kraljevskom uredbom 997/2002 od 27. rujna i „Normu o gradnji otpornoj na potrese: Mostovi (NCSP-07)” odobrenu Kraljevskom uredbom 637/2007 od 18. svibnja. Vrijeme koje je proteklo od njihova odobrenja zahtijeva njihovu reviziju i ažuriranje, kako iz tehničkih tako i iz regulatornih razloga, kako bi se propisi prilagodili postojećim znanstvenim spoznajama u području seizmologije i seizmičkog inženjerstva, kao i regulatornom okviru u kojem moraju djelovati.</w:t>
      </w:r>
    </w:p>
    <w:p w14:paraId="00D9E943" w14:textId="08D48EDA" w:rsidR="0008161F" w:rsidRDefault="0008161F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Stalni odbor za Norme o otpornosti na potrese u obavljanju svojih funkcija izradio je novu Normu o granji otpornoj na potrese koja zamjenjuje navedene norme, obuhvaćajući najrelevantnije aspekte europskih propisa za izračun konstrukcija, u skladu s postupcima utvrđenima u Eurokodovima za konstrukcije i proširivši njihov sadržaj s više konstrukcijskih tipologija. Novom se normom utvrđuju tehnički uvjeti koje moraju ispuniti građevinske konstrukcije i građevinski radovi kako bi se njihovim ponašanjem, kada se suočavaju sa seizmičkim pojavama, izbjegle ozbiljne posljedice za zdravlje i sigurnost ljudi, izbjegli ekonomski gubici i promicalo održavanje osnovnih usluga za društvo u slučajevima potresa visokog intenziteta.</w:t>
      </w:r>
    </w:p>
    <w:p w14:paraId="6F2451EE" w14:textId="77777777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Ova je Kraljevska uredba u skladu s načelima nužnosti, djelotvornosti, proporcionalnosti, pravne sigurnosti, transparentnosti i učinkovitosti utvrđenima u članku 129. Zakona 39/2015 od 1. listopada o zajedničkom upravnom postupku javnih uprava. </w:t>
      </w:r>
    </w:p>
    <w:p w14:paraId="4A3F3D5F" w14:textId="0682A2D0" w:rsidR="001D206B" w:rsidRDefault="007F2FE2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U skladu je s načelima nužnosti i učinkovitosti, budući da primjena nove Norme o otpornosti na potrese, u odnosu na prethodne propise, predstavlja napredak u poznavanju i određivanju seizmičke aktivnosti te pojašnjenje u korištenju koncepata i zahtjeva otpornosti na potres i duktilnosti koje moraju ispuniti konstrukcije u seizmičkim zonama. Projektom se ne narušava tržišno natjecanje, već se daje prednost tržišnom natjecanju reguliranjem aspekata koji nisu obuhvaćeni postojećim propisima. Također je u skladu s načelom proporcionalnosti, s obzirom na to da norma sadržava pravila potrebna za zadovoljavanje prethodno opisane potrebe, a pritom ne postoje druge mjere koje manje ograničavaju prava ili nameću manje obveza obuhvaćenim stranama, kao i s načelom pravne sigurnosti s obzirom na njihovu integraciju u pravni poredak, te je potpuno u skladu s nacionalnim i europskim propisima koji su na snazi. Načelo transparentnosti zajamčeno je jer su poštovani svi postupci obavješćivanja navedeni u Vladinom Zakonu 50/1997 od 27. studenoga, a to je objavljeno na portalu za transparentnost španjolske vlade. Naposljetku, primjenom načela učinkovitosti ta norma ne podrazumijeva povećanje dodatnih administrativnih opterećenja ili povećanje javnih rashoda.</w:t>
      </w:r>
    </w:p>
    <w:p w14:paraId="53F4DA01" w14:textId="712176A3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 xml:space="preserve">Ova Kraljevska uredba izdana je na temelju odredbi </w:t>
      </w:r>
      <w:r>
        <w:rPr>
          <w:rFonts w:asciiTheme="minorHAnsi" w:hAnsiTheme="minorHAnsi"/>
        </w:rPr>
        <w:t xml:space="preserve">iz članka 149.1.13a španjolskog Ustava, </w:t>
      </w:r>
      <w:r>
        <w:rPr>
          <w:rFonts w:asciiTheme="minorHAnsi" w:hAnsiTheme="minorHAnsi"/>
          <w:color w:val="000000" w:themeColor="text1"/>
        </w:rPr>
        <w:t>kojim se državi dodjeljuje nadležnost u pitanjima osnova i koordinacije za opće planiranje gospodarske djelatnosti.</w:t>
      </w:r>
    </w:p>
    <w:p w14:paraId="343DD835" w14:textId="77777777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Postupkom izrade ove Kraljevske uredbe dovršen je postupak utvrđen u Vladinom Zakonu 50/1997 od 27. studenoga i u Direktivi (EU) 2015/1535 Europskog parlamenta i Vijeća od 9. rujna o utvrđivanju postupka pružanja informacija u području tehničkih propisa i pravila o uslugama informacijskog društva, kao i u Kraljevskoj uredbi 1337/1999 od 31. srpnja kojom se uređuje pružanje informacija u području tehničkih propisa i propisa koji se odnose na usluge informacijskog društva. </w:t>
      </w:r>
    </w:p>
    <w:p w14:paraId="288E1E12" w14:textId="6459E5E4" w:rsid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Ova je Kraljevska uredba donesena na inicijativu Stalnog odbora za norme o otpornosti na potrese.</w:t>
      </w:r>
    </w:p>
    <w:p w14:paraId="42144605" w14:textId="312B0DF6" w:rsidR="00056AAB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 w:themeColor="text1"/>
        </w:rPr>
        <w:t xml:space="preserve">Temeljem navedenog, na prijedlog ministra prometa, mobilnosti i plana za gradove </w:t>
      </w:r>
      <w:r>
        <w:rPr>
          <w:rFonts w:asciiTheme="minorHAnsi" w:hAnsiTheme="minorHAnsi"/>
          <w:color w:val="000000"/>
        </w:rPr>
        <w:t>i nakon rasprave u Vijeću ministara na dan...</w:t>
      </w:r>
    </w:p>
    <w:p w14:paraId="01FC4263" w14:textId="77777777" w:rsidR="004459F4" w:rsidRPr="000D3D97" w:rsidRDefault="004459F4" w:rsidP="004459F4">
      <w:pPr>
        <w:suppressAutoHyphens/>
        <w:ind w:firstLine="425"/>
        <w:jc w:val="both"/>
        <w:rPr>
          <w:rFonts w:asciiTheme="minorHAnsi" w:eastAsia="Times New Roman" w:hAnsiTheme="minorHAnsi" w:cstheme="minorHAnsi"/>
          <w:color w:val="000000"/>
          <w:lang w:val="pt-PT"/>
        </w:rPr>
      </w:pPr>
    </w:p>
    <w:p w14:paraId="1ECEFAB2" w14:textId="77777777" w:rsidR="00056AAB" w:rsidRPr="006D4B4B" w:rsidRDefault="00104411" w:rsidP="00AD035F">
      <w:pPr>
        <w:spacing w:after="240" w:line="276" w:lineRule="auto"/>
        <w:jc w:val="center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</w:rPr>
        <w:t>DONOSIM ODLUKU</w:t>
      </w:r>
    </w:p>
    <w:p w14:paraId="05744015" w14:textId="77777777" w:rsidR="00056AAB" w:rsidRPr="00D35EA2" w:rsidRDefault="00104411" w:rsidP="00AD035F">
      <w:pPr>
        <w:spacing w:after="240" w:line="276" w:lineRule="auto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Članak 1. Svrha</w:t>
      </w:r>
    </w:p>
    <w:p w14:paraId="721FFEF1" w14:textId="46A6063B" w:rsidR="0046432E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Odobrena je Norma o gradnji otpornoj na potrese, NCSR-23, kojom se utvrđuju osnovni koncepti i zahtjevi koje moraju ispuniti konstrukcije smještene u seizmičkim zonama, u Španjolskoj, uz usklađenost s ostalim posebnim propisima koji su na snazi u vezi s konstrukcijama. </w:t>
      </w:r>
    </w:p>
    <w:p w14:paraId="78734A0A" w14:textId="7654B8F0" w:rsidR="009C173C" w:rsidRPr="00870C22" w:rsidRDefault="009C173C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Konstrukcije i građevine koje mogu biti izložene aktivnosti potresa projektiraju se, izvode i dokumentiraju uzimajući u obzir seizmičke mjere u skladu s odredbama šest priloga koji čine sastavni dio ove Norme o gradnji otpornoj na potrese, a to su:</w:t>
      </w:r>
    </w:p>
    <w:p w14:paraId="79EC5159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Prilog 1.: Opća pravila, seizmičke aktivnosti i pravila o gradnji.</w:t>
      </w:r>
    </w:p>
    <w:p w14:paraId="79F9BCF0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Prilog 2.: Mostovi</w:t>
      </w:r>
    </w:p>
    <w:p w14:paraId="7CD23BE5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Prilog 3.: Procjena i seizmička prilagodba građevina.</w:t>
      </w:r>
    </w:p>
    <w:p w14:paraId="2850B202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Prilog 4.: Silosi, spremnici i cijevi.</w:t>
      </w:r>
    </w:p>
    <w:p w14:paraId="3AC9CD45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Prilog 5.: Temelji, zaštitne konstrukcije i geotehnički aspekti.</w:t>
      </w:r>
    </w:p>
    <w:p w14:paraId="6AD4A209" w14:textId="1CF81FB4" w:rsid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Prilog 6.: Tornjevi, stupovi i dimnjaci.</w:t>
      </w:r>
    </w:p>
    <w:p w14:paraId="75E4EE37" w14:textId="77777777" w:rsidR="00870C22" w:rsidRPr="000D3D97" w:rsidRDefault="00870C22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  <w:lang w:val="pt-PT"/>
        </w:rPr>
      </w:pPr>
    </w:p>
    <w:p w14:paraId="7A592887" w14:textId="3BD133CC" w:rsidR="009C173C" w:rsidRPr="00870C22" w:rsidRDefault="009C173C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Alternativno, autor i fakultativno vodstvo projekta mogu, koristeći svoje ovlasti, pod svojom odgovornošću i uz prethodnu suglasnost vlasnika, usvojiti druga rješenja koja djelomično ili potpuno odstupaju od postupaka navedenih u prethodnim prilozima (putem različitih sustava izračuna, konstrukcijskih rješenja itd.), pod uvjetom da je dokumentirano da je konstrukcija u skladu sa zahtjevima ove Norme o gradnji otpornoj na potrese, i ima karakteristike barem jednake onima koje bi se postigle primjenom postupaka iz ove norme.</w:t>
      </w:r>
    </w:p>
    <w:p w14:paraId="23196ECE" w14:textId="77777777" w:rsidR="00056AAB" w:rsidRPr="00D35EA2" w:rsidRDefault="00104411" w:rsidP="00AD035F">
      <w:pPr>
        <w:spacing w:after="240" w:line="276" w:lineRule="auto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Članak 2. Područje primjene</w:t>
      </w:r>
    </w:p>
    <w:p w14:paraId="1B40A98A" w14:textId="0DDD90E1" w:rsidR="00A623A2" w:rsidRPr="00870C22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Zahtjevi sadržaja o otpornosti na potrese ove norme primjenjuju se na sve projekte i građevinske konstrukcije novih zgrada, mostova, tornjeva, stupova, dimnjaka, silosa, spremnika, cijevi, nosivih konstrukcija i njihovih temelja, kao i na geotehnički projekt. </w:t>
      </w:r>
    </w:p>
    <w:p w14:paraId="7968B2C8" w14:textId="3FBBAE08" w:rsidR="00A623A2" w:rsidRPr="00870C22" w:rsidRDefault="00A623A2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>Isto tako, ova se norma primjenjuje na seizmičku procjenu postojećih zgrada, kao i, prema potrebi, na njihovu seizmičku prilagodbu, u slučajevima kada se provode dovoljno značajni radovi obnove ili konstrukcijske obnove ili kada je potrebna takva procjena ili prilagodba. Za potrebe ove Norme o gradnji otpornoj na potrese, seizmička prilagodba obuhvaća i jačanje neoštećenih konstrukcija i jačanje konstrukcija oštećenih potresom.</w:t>
      </w:r>
    </w:p>
    <w:p w14:paraId="3286098A" w14:textId="1B39F053" w:rsidR="00A623A2" w:rsidRPr="00870C22" w:rsidRDefault="00A623A2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Uvjeti koji mogu zahtijevati seizmičku procjenu pojedinih zgrada, što bi moglo dovesti do seizmičke adekvatnosti, nisu obuhvaćeni predmetom i područjem primjene ove norme.</w:t>
      </w:r>
    </w:p>
    <w:p w14:paraId="2602E605" w14:textId="25143B7E" w:rsidR="00A623A2" w:rsidRPr="00870C22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Prema potrebi, ova Norma o gradnji otpornoj na potrese može se primjenjivati i na druge vrste konstrukcija koje nisu izričito uključene u njezino područje primjene, ako za iste ne postoje posebna pravila ili odredbe i pod uvjetom da nisu izričito isključene iz njezina područja primjene.</w:t>
      </w:r>
    </w:p>
    <w:p w14:paraId="163A6949" w14:textId="735DB3B4" w:rsidR="00671CE6" w:rsidRPr="00D35EA2" w:rsidRDefault="00671CE6" w:rsidP="00AD035F">
      <w:pPr>
        <w:pStyle w:val="parrafo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Jedina prijelazna odredba. Primjena na projekt i radove.</w:t>
      </w:r>
    </w:p>
    <w:p w14:paraId="7E1DEF06" w14:textId="77777777" w:rsidR="006D4B4B" w:rsidRPr="00870C22" w:rsidRDefault="006D4B4B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Odredbe ove Kraljevske uredbe ne primjenjuju se na građevinske radove projekata kojima je izrada nacrta ili studije, u pogledu javnih tijela i službi, ili njihovo naručivanje, u drugim slučajevima, izvršeno prije stupanja na snagu ove Kraljevske uredbe, kao ni na radove izvršene tijekom njihove izrade, pod uvjetom da su pokrenuti u roku od najviše dvije godine od stupanja na snagu, osim ako nadležna javna uprava ili, prema potrebi, promotor ne pristane da je to obvezno. </w:t>
      </w:r>
    </w:p>
    <w:p w14:paraId="7A84DDAE" w14:textId="781A6671" w:rsidR="00870C22" w:rsidRPr="006D4B4B" w:rsidRDefault="006D4B4B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 xml:space="preserve">Odredbe ove Kraljevske uredbe ne primjenjuju se u području izgradnje na projekte za koje je zatražena dozvola za komunalne radove ili je zatražena u roku od devet mjeseci od stupanja na snagu ove Kraljevske uredbe, primjenjujući u ovom slučaju Kraljevsku uredbu 997/2002 od 27. rujna, kojom se odobrava Norma o gradnji otpornoj na potrese: Opći dio i zgrade (NCSE-02). Takvi radovi moraju započeti unutar maksimalnog razdoblja valjanosti navedene dozvole, u skladu s regulatornim propisima, i, ako to nije moguće, u roku od najviše šest mjeseci od dana izdavanja navedene dozvole. Projekti se inače moraju prilagoditi odredbama ove Kraljevske uredbe. </w:t>
      </w:r>
    </w:p>
    <w:p w14:paraId="620031EA" w14:textId="77777777" w:rsidR="008A1694" w:rsidRPr="00D35EA2" w:rsidRDefault="008A1694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Jedina odredba o stavljanju izvan snage. Stavljanje propisa izvan snage</w:t>
      </w:r>
    </w:p>
    <w:p w14:paraId="3C87D465" w14:textId="41A1036B" w:rsidR="002B1514" w:rsidRPr="00870C22" w:rsidRDefault="002B1514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Od stupanja na snagu ove Kraljevske uredbe, Kraljevska uredba 997/2002 od 27. rujna o odobrenju Norme o gradnji otpornoj na potrese: Opći dio i zgrade (NCSE-02) i Kraljevska uredba 637/2007 od 18. svibnja o odobrenju Norme o gradnji otpornoj na potrese: Mostovi (NCSP-07) stavljaju se izvan snage.</w:t>
      </w:r>
    </w:p>
    <w:p w14:paraId="590D095E" w14:textId="77777777" w:rsidR="00870C22" w:rsidRPr="000D3D97" w:rsidRDefault="00870C22" w:rsidP="00870C22">
      <w:pPr>
        <w:spacing w:after="120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p w14:paraId="41EC003B" w14:textId="24B0084C" w:rsidR="00EC6A57" w:rsidRPr="00D35EA2" w:rsidRDefault="00EC6A57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Prva završna odredba. Dodjela ovlasti</w:t>
      </w:r>
    </w:p>
    <w:p w14:paraId="15D1B399" w14:textId="52F39719" w:rsidR="00EC6A57" w:rsidRPr="00870C22" w:rsidRDefault="00EC6A57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Ova je Kraljevska uredba osnovne prirode i donesena je u skladu s odredbama članka 149.1.13a španjolskog Ustava, kojim se državi dodjeljuje isključiva nadležnost u pitanjima osnova i koordinacije za opće planiranje gospodarske djelatnosti. </w:t>
      </w:r>
    </w:p>
    <w:p w14:paraId="28E3B818" w14:textId="77777777" w:rsidR="00671CE6" w:rsidRPr="00AD035F" w:rsidRDefault="002B1514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Druga završna odredba. </w:t>
      </w:r>
      <w:r>
        <w:rPr>
          <w:rFonts w:asciiTheme="minorHAnsi" w:hAnsiTheme="minorHAnsi"/>
          <w:b/>
          <w:color w:val="333333"/>
        </w:rPr>
        <w:t>Provedbeno tijelo</w:t>
      </w:r>
    </w:p>
    <w:p w14:paraId="431A3D72" w14:textId="7CF39534" w:rsidR="00671CE6" w:rsidRPr="00870C22" w:rsidRDefault="00671CE6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Nositelj Ministarstva prometa, mobilnosti i plana za gradove ovlašten je za donošenje potrebnih odredbi za razvoj i primjenu odredbi ove Kraljevske uredbe.</w:t>
      </w:r>
    </w:p>
    <w:p w14:paraId="3568A83D" w14:textId="72D1D66B" w:rsidR="00391221" w:rsidRDefault="00391221" w:rsidP="00391221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lastRenderedPageBreak/>
        <w:t>Treća završna odredba. Odobrenje za ažuriranje dodataka E, F i G Prilogu 1. Normi o gradnji otpornoj na potrese.</w:t>
      </w:r>
    </w:p>
    <w:p w14:paraId="272F5E7E" w14:textId="319390A4" w:rsidR="00391221" w:rsidRPr="00870C22" w:rsidRDefault="0039122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Nositelj Ministarstva prometa, mobilnosti i plana za gradove ovlašten je ažurirati kartu opasnosti utvrđenu u dodacima E i F Prilogu 1. i popis normi iz Dodatka G Prilogu 1. ako je svrha tih ažuriranja uskladiti taj sadržaj s napretkom tehnike ili sa zakonodavstvom Zajednice.</w:t>
      </w:r>
    </w:p>
    <w:p w14:paraId="60B41840" w14:textId="4C5BA609" w:rsidR="002B1514" w:rsidRPr="00D35EA2" w:rsidRDefault="00671CE6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Četvrta završna odredba. Stupanje na snagu</w:t>
      </w:r>
    </w:p>
    <w:p w14:paraId="78134748" w14:textId="1DE96BDD" w:rsidR="00066186" w:rsidRPr="00D663C0" w:rsidRDefault="00066186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Ova Kraljevska uredba stupa na snagu </w:t>
      </w:r>
      <w:r>
        <w:rPr>
          <w:rFonts w:asciiTheme="minorHAnsi" w:hAnsiTheme="minorHAnsi"/>
          <w:color w:val="000000"/>
          <w:highlight w:val="yellow"/>
        </w:rPr>
        <w:t>1. srpnja 2023.</w:t>
      </w:r>
      <w:r w:rsidR="00D663C0" w:rsidRPr="00D663C0">
        <w:rPr>
          <w:rFonts w:asciiTheme="minorHAnsi" w:hAnsiTheme="minorHAnsi"/>
          <w:color w:val="000000"/>
        </w:rPr>
        <w:t xml:space="preserve"> </w:t>
      </w:r>
    </w:p>
    <w:p w14:paraId="16A294E9" w14:textId="77777777" w:rsidR="00056AAB" w:rsidRPr="000D3D97" w:rsidRDefault="00056AAB" w:rsidP="00870C22">
      <w:pPr>
        <w:spacing w:after="120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sectPr w:rsidR="00056AAB" w:rsidRPr="000D3D97" w:rsidSect="00AD035F">
      <w:pgSz w:w="11904" w:h="16843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4E5C"/>
    <w:multiLevelType w:val="hybridMultilevel"/>
    <w:tmpl w:val="8282418A"/>
    <w:lvl w:ilvl="0" w:tplc="9EE2D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5081E"/>
    <w:multiLevelType w:val="hybridMultilevel"/>
    <w:tmpl w:val="A1AA6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764CB"/>
    <w:multiLevelType w:val="hybridMultilevel"/>
    <w:tmpl w:val="648E0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3DD5"/>
    <w:multiLevelType w:val="hybridMultilevel"/>
    <w:tmpl w:val="7E6A3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F6DA7"/>
    <w:multiLevelType w:val="hybridMultilevel"/>
    <w:tmpl w:val="5952024C"/>
    <w:lvl w:ilvl="0" w:tplc="8BDE2D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24DB"/>
    <w:multiLevelType w:val="hybridMultilevel"/>
    <w:tmpl w:val="38A47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93A6A"/>
    <w:multiLevelType w:val="hybridMultilevel"/>
    <w:tmpl w:val="68D897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FEF88C">
      <w:numFmt w:val="bullet"/>
      <w:lvlText w:val="−"/>
      <w:lvlJc w:val="left"/>
      <w:pPr>
        <w:ind w:left="1800" w:hanging="360"/>
      </w:pPr>
      <w:rPr>
        <w:rFonts w:ascii="Symbol" w:eastAsia="Symbol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BE5E98"/>
    <w:multiLevelType w:val="multilevel"/>
    <w:tmpl w:val="6BF032CE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2145648">
    <w:abstractNumId w:val="7"/>
  </w:num>
  <w:num w:numId="2" w16cid:durableId="122771378">
    <w:abstractNumId w:val="6"/>
  </w:num>
  <w:num w:numId="3" w16cid:durableId="851191015">
    <w:abstractNumId w:val="1"/>
  </w:num>
  <w:num w:numId="4" w16cid:durableId="1200095656">
    <w:abstractNumId w:val="5"/>
  </w:num>
  <w:num w:numId="5" w16cid:durableId="781075475">
    <w:abstractNumId w:val="3"/>
  </w:num>
  <w:num w:numId="6" w16cid:durableId="1567036530">
    <w:abstractNumId w:val="2"/>
  </w:num>
  <w:num w:numId="7" w16cid:durableId="153647272">
    <w:abstractNumId w:val="0"/>
  </w:num>
  <w:num w:numId="8" w16cid:durableId="64239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AB"/>
    <w:rsid w:val="00002183"/>
    <w:rsid w:val="0003132D"/>
    <w:rsid w:val="0003636B"/>
    <w:rsid w:val="00056AAB"/>
    <w:rsid w:val="00066186"/>
    <w:rsid w:val="0008161F"/>
    <w:rsid w:val="000D0FC4"/>
    <w:rsid w:val="000D3D97"/>
    <w:rsid w:val="000E2974"/>
    <w:rsid w:val="00104411"/>
    <w:rsid w:val="00130D08"/>
    <w:rsid w:val="00136068"/>
    <w:rsid w:val="0013710F"/>
    <w:rsid w:val="00152A30"/>
    <w:rsid w:val="001C12F0"/>
    <w:rsid w:val="001C2399"/>
    <w:rsid w:val="001D206B"/>
    <w:rsid w:val="001F1C94"/>
    <w:rsid w:val="00210209"/>
    <w:rsid w:val="002A3B32"/>
    <w:rsid w:val="002B1514"/>
    <w:rsid w:val="002C6DA3"/>
    <w:rsid w:val="002D0987"/>
    <w:rsid w:val="002D2E92"/>
    <w:rsid w:val="002E7538"/>
    <w:rsid w:val="0030003E"/>
    <w:rsid w:val="00342738"/>
    <w:rsid w:val="00365BA2"/>
    <w:rsid w:val="003667D0"/>
    <w:rsid w:val="00391221"/>
    <w:rsid w:val="003D354D"/>
    <w:rsid w:val="003F52BD"/>
    <w:rsid w:val="00401E8F"/>
    <w:rsid w:val="00434546"/>
    <w:rsid w:val="004459F4"/>
    <w:rsid w:val="00455175"/>
    <w:rsid w:val="0046432E"/>
    <w:rsid w:val="004B0B49"/>
    <w:rsid w:val="004B543F"/>
    <w:rsid w:val="004B66B6"/>
    <w:rsid w:val="004C145B"/>
    <w:rsid w:val="004C422D"/>
    <w:rsid w:val="004D7B7B"/>
    <w:rsid w:val="004E3665"/>
    <w:rsid w:val="004F7A2A"/>
    <w:rsid w:val="004F7A3E"/>
    <w:rsid w:val="00503AEE"/>
    <w:rsid w:val="00520FBD"/>
    <w:rsid w:val="0056199D"/>
    <w:rsid w:val="00561DF5"/>
    <w:rsid w:val="005941F1"/>
    <w:rsid w:val="005B5A4A"/>
    <w:rsid w:val="006258F9"/>
    <w:rsid w:val="00627472"/>
    <w:rsid w:val="00635ED0"/>
    <w:rsid w:val="0066229B"/>
    <w:rsid w:val="00671CE6"/>
    <w:rsid w:val="00684B40"/>
    <w:rsid w:val="006D4B4B"/>
    <w:rsid w:val="006F452F"/>
    <w:rsid w:val="00751B2B"/>
    <w:rsid w:val="00757E5B"/>
    <w:rsid w:val="007759A4"/>
    <w:rsid w:val="007779ED"/>
    <w:rsid w:val="007C0BC6"/>
    <w:rsid w:val="007C1533"/>
    <w:rsid w:val="007D1EA2"/>
    <w:rsid w:val="007D4EDB"/>
    <w:rsid w:val="007E34EA"/>
    <w:rsid w:val="007E79FC"/>
    <w:rsid w:val="007F2FE2"/>
    <w:rsid w:val="00812799"/>
    <w:rsid w:val="00816242"/>
    <w:rsid w:val="0085711C"/>
    <w:rsid w:val="00870C22"/>
    <w:rsid w:val="0087216F"/>
    <w:rsid w:val="00875897"/>
    <w:rsid w:val="00875F75"/>
    <w:rsid w:val="008A1694"/>
    <w:rsid w:val="008A5EAC"/>
    <w:rsid w:val="008F3B9A"/>
    <w:rsid w:val="008F448A"/>
    <w:rsid w:val="0090284B"/>
    <w:rsid w:val="0092197D"/>
    <w:rsid w:val="00941C30"/>
    <w:rsid w:val="00961FB7"/>
    <w:rsid w:val="0099627E"/>
    <w:rsid w:val="009A14BF"/>
    <w:rsid w:val="009C173C"/>
    <w:rsid w:val="00A03734"/>
    <w:rsid w:val="00A11575"/>
    <w:rsid w:val="00A23F54"/>
    <w:rsid w:val="00A4123A"/>
    <w:rsid w:val="00A44FF2"/>
    <w:rsid w:val="00A623A2"/>
    <w:rsid w:val="00A65116"/>
    <w:rsid w:val="00A8506E"/>
    <w:rsid w:val="00A86943"/>
    <w:rsid w:val="00A953ED"/>
    <w:rsid w:val="00AA0AA7"/>
    <w:rsid w:val="00AB2735"/>
    <w:rsid w:val="00AB4370"/>
    <w:rsid w:val="00AC62C6"/>
    <w:rsid w:val="00AD035F"/>
    <w:rsid w:val="00AD4F83"/>
    <w:rsid w:val="00AE18FE"/>
    <w:rsid w:val="00AE64D3"/>
    <w:rsid w:val="00AF34DD"/>
    <w:rsid w:val="00B06375"/>
    <w:rsid w:val="00B15BD6"/>
    <w:rsid w:val="00B66C50"/>
    <w:rsid w:val="00B8158C"/>
    <w:rsid w:val="00B85F2E"/>
    <w:rsid w:val="00BC4DEC"/>
    <w:rsid w:val="00BF08C0"/>
    <w:rsid w:val="00C24625"/>
    <w:rsid w:val="00C25687"/>
    <w:rsid w:val="00C42C4C"/>
    <w:rsid w:val="00C56500"/>
    <w:rsid w:val="00C56E96"/>
    <w:rsid w:val="00C67310"/>
    <w:rsid w:val="00C67639"/>
    <w:rsid w:val="00C726AF"/>
    <w:rsid w:val="00C8179D"/>
    <w:rsid w:val="00CF1EDD"/>
    <w:rsid w:val="00D047F0"/>
    <w:rsid w:val="00D05ABE"/>
    <w:rsid w:val="00D06621"/>
    <w:rsid w:val="00D13113"/>
    <w:rsid w:val="00D32AC2"/>
    <w:rsid w:val="00D35EA2"/>
    <w:rsid w:val="00D3777E"/>
    <w:rsid w:val="00D42767"/>
    <w:rsid w:val="00D663C0"/>
    <w:rsid w:val="00D67613"/>
    <w:rsid w:val="00D85648"/>
    <w:rsid w:val="00DC7ED2"/>
    <w:rsid w:val="00DD25A7"/>
    <w:rsid w:val="00DF0C32"/>
    <w:rsid w:val="00E2216E"/>
    <w:rsid w:val="00E4356E"/>
    <w:rsid w:val="00E44A93"/>
    <w:rsid w:val="00E65D34"/>
    <w:rsid w:val="00E72C90"/>
    <w:rsid w:val="00E920E0"/>
    <w:rsid w:val="00EC6A57"/>
    <w:rsid w:val="00EE3876"/>
    <w:rsid w:val="00EE3B24"/>
    <w:rsid w:val="00EF3F4C"/>
    <w:rsid w:val="00F03832"/>
    <w:rsid w:val="00F04B63"/>
    <w:rsid w:val="00F25D2A"/>
    <w:rsid w:val="00F82079"/>
    <w:rsid w:val="00F95923"/>
    <w:rsid w:val="00FC3FDE"/>
    <w:rsid w:val="00FC7390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22A2"/>
  <w15:docId w15:val="{5A6698CD-469E-4174-8D24-404E854D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42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671CE6"/>
    <w:pPr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857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8A3F-B80B-403D-ADAD-BBAEBBAA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Groba López Mónica</dc:creator>
  <cp:lastModifiedBy>Anastasia Stavroulaki</cp:lastModifiedBy>
  <cp:revision>17</cp:revision>
  <cp:lastPrinted>2021-08-26T09:18:00Z</cp:lastPrinted>
  <dcterms:created xsi:type="dcterms:W3CDTF">2022-09-20T11:25:00Z</dcterms:created>
  <dcterms:modified xsi:type="dcterms:W3CDTF">2023-03-31T12:47:00Z</dcterms:modified>
</cp:coreProperties>
</file>