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7DE0A" w14:textId="77777777" w:rsidR="006D6021" w:rsidRPr="008E5B84" w:rsidRDefault="00311339">
      <w:pPr>
        <w:pStyle w:val="Ttulo4"/>
        <w:widowControl w:val="0"/>
        <w:spacing w:after="120" w:line="360" w:lineRule="auto"/>
        <w:ind w:firstLine="0"/>
        <w:jc w:val="both"/>
        <w:outlineLvl w:val="9"/>
        <w:rPr>
          <w:sz w:val="24"/>
          <w:szCs w:val="24"/>
          <w:rFonts w:ascii="Garamond" w:hAnsi="Garamond"/>
        </w:rPr>
      </w:pPr>
      <w:r>
        <w:rPr>
          <w:sz w:val="24"/>
          <w:rFonts w:ascii="Garamond" w:hAnsi="Garamond"/>
        </w:rPr>
        <w:t xml:space="preserve">Legislativní nařízení č. XX/2020</w:t>
      </w:r>
      <w:r>
        <w:rPr>
          <w:sz w:val="24"/>
          <w:rFonts w:ascii="Garamond" w:hAnsi="Garamond"/>
        </w:rPr>
        <w:t xml:space="preserve"> </w:t>
      </w:r>
    </w:p>
    <w:p w14:paraId="5D0DF49B" w14:textId="77777777" w:rsidR="006D6021" w:rsidRPr="008E5B84" w:rsidRDefault="00311339">
      <w:pPr>
        <w:pStyle w:val="Ttulo4"/>
        <w:widowControl w:val="0"/>
        <w:spacing w:after="120" w:line="360" w:lineRule="auto"/>
        <w:ind w:firstLine="0"/>
        <w:jc w:val="both"/>
        <w:outlineLvl w:val="9"/>
        <w:rPr>
          <w:sz w:val="24"/>
          <w:szCs w:val="24"/>
          <w:rFonts w:ascii="Garamond" w:hAnsi="Garamond"/>
        </w:rPr>
      </w:pPr>
      <w:bookmarkStart w:id="0" w:name="_Hlk61623095"/>
      <w:r>
        <w:t xml:space="preserve">Legislativní nařízení č. 102-D/2020 ze dne 10. prosince</w:t>
      </w:r>
      <w:bookmarkEnd w:id="0"/>
      <w:r>
        <w:t xml:space="preserve"> aktualizovala </w:t>
      </w:r>
      <w:hyperlink r:id="rId8" w:tooltip="Legislativní nařízení č. 152-D/2017" w:history="1">
        <w:r>
          <w:rPr>
            <w:sz w:val="24"/>
            <w:rFonts w:ascii="Garamond" w:hAnsi="Garamond"/>
          </w:rPr>
          <w:t xml:space="preserve">legislativní nařízení č. 152-D/2017</w:t>
        </w:r>
      </w:hyperlink>
      <w:r>
        <w:t xml:space="preserve"> ze dne 11. prosince 2017, kterým se do vnitrostátního práva provádí </w:t>
      </w:r>
      <w:hyperlink r:id="rId9" w:tooltip="Odkaz na směrnici Evropské unie" w:history="1">
        <w:r>
          <w:rPr>
            <w:sz w:val="24"/>
            <w:rFonts w:ascii="Garamond" w:hAnsi="Garamond"/>
          </w:rPr>
          <w:t xml:space="preserve">směrnice Evropského parlamentu a Rady 94/62/ES</w:t>
        </w:r>
      </w:hyperlink>
      <w:r>
        <w:t xml:space="preserve"> ze dne 20. prosince 1994 o obalech a obalových odpadech, ve znění </w:t>
      </w:r>
      <w:hyperlink r:id="rId10" w:tooltip="Odkaz na směrnici Evropské unie" w:history="1">
        <w:r>
          <w:rPr>
            <w:sz w:val="24"/>
            <w:rFonts w:ascii="Garamond" w:hAnsi="Garamond"/>
          </w:rPr>
          <w:t xml:space="preserve">směrnice Evropského parlamentu a Rady 2018/852</w:t>
        </w:r>
      </w:hyperlink>
      <w:r>
        <w:t xml:space="preserve"> ze dne 30. května 2018 o obalech a obalových odpadech a směrnice </w:t>
      </w:r>
      <w:hyperlink r:id="rId12" w:tooltip="Odkaz na směrnici Evropské unie" w:history="1">
        <w:r>
          <w:rPr>
            <w:sz w:val="24"/>
            <w:rFonts w:ascii="Garamond" w:hAnsi="Garamond"/>
          </w:rPr>
          <w:t xml:space="preserve">2000/53/ES</w:t>
        </w:r>
      </w:hyperlink>
      <w:r>
        <w:t xml:space="preserve"> o vozidlech s ukončenou životností, </w:t>
      </w:r>
      <w:hyperlink r:id="rId13" w:tooltip="Odkaz na směrnici Evropské unie" w:history="1">
        <w:r>
          <w:rPr>
            <w:sz w:val="24"/>
            <w:rFonts w:ascii="Garamond" w:hAnsi="Garamond"/>
          </w:rPr>
          <w:t xml:space="preserve">2006/66/ES</w:t>
        </w:r>
      </w:hyperlink>
      <w:r>
        <w:t xml:space="preserve"> o bateriích a akumulátorech a jejich odpadech, a </w:t>
      </w:r>
      <w:hyperlink r:id="rId11" w:tooltip="Odkaz na směrnici Evropské unie" w:history="1">
        <w:r>
          <w:rPr>
            <w:sz w:val="24"/>
            <w:rFonts w:ascii="Garamond" w:hAnsi="Garamond"/>
          </w:rPr>
          <w:t xml:space="preserve">2012/19/EU</w:t>
        </w:r>
      </w:hyperlink>
      <w:r>
        <w:t xml:space="preserve"> o odpadu z elektrických a elektronických zařízení, ve znění směrnice Evropského parlamentu a Rady </w:t>
      </w:r>
      <w:hyperlink r:id="rId14" w:tooltip="Odkaz na směrnici Evropské unie" w:history="1">
        <w:r>
          <w:rPr>
            <w:sz w:val="24"/>
            <w:rFonts w:ascii="Garamond" w:hAnsi="Garamond"/>
          </w:rPr>
          <w:t xml:space="preserve">2018/849</w:t>
        </w:r>
      </w:hyperlink>
      <w:r>
        <w:t xml:space="preserve"> ze dne 30. května 2018.</w:t>
      </w:r>
    </w:p>
    <w:p w14:paraId="7B6DC961" w14:textId="7C6704AB" w:rsidR="006D6021" w:rsidRPr="008E5B84" w:rsidRDefault="00311339">
      <w:pPr>
        <w:spacing w:after="120" w:line="360" w:lineRule="auto"/>
        <w:jc w:val="both"/>
        <w:rPr>
          <w:sz w:val="24"/>
          <w:szCs w:val="24"/>
          <w:rFonts w:ascii="Garamond" w:hAnsi="Garamond"/>
        </w:rPr>
      </w:pPr>
      <w:r>
        <w:t xml:space="preserve">Za účelem rychlého provedení těchto směrnic a souladu s informačním postupem v oblasti technických předpisů a pravidel pro služby informační společnosti podle směrnice Evropského parlamentu a Rady </w:t>
      </w:r>
      <w:hyperlink r:id="rId15" w:tooltip="Odkaz na směrnici Evropské unie" w:history="1">
        <w:r>
          <w:rPr>
            <w:sz w:val="24"/>
            <w:rFonts w:ascii="Garamond" w:hAnsi="Garamond"/>
          </w:rPr>
          <w:t xml:space="preserve">2015/1535/EU</w:t>
        </w:r>
      </w:hyperlink>
      <w:r>
        <w:t xml:space="preserve"> ze dne 9. září 2015 byly ke schválení předloženy další nezbytné změny </w:t>
      </w:r>
      <w:hyperlink r:id="rId16" w:tooltip="Legislativní nařízení č. 152-D/2017" w:history="1">
        <w:r>
          <w:rPr>
            <w:sz w:val="24"/>
            <w:rFonts w:ascii="Garamond" w:hAnsi="Garamond"/>
          </w:rPr>
          <w:t xml:space="preserve">legislativního nařízení č. 152-D/2017</w:t>
        </w:r>
      </w:hyperlink>
      <w:r>
        <w:t xml:space="preserve"> ze dne 11. Prosince.</w:t>
      </w:r>
      <w:r>
        <w:rPr>
          <w:sz w:val="24"/>
          <w:rFonts w:ascii="Garamond" w:hAnsi="Garamond"/>
        </w:rPr>
        <w:t xml:space="preserve"> </w:t>
      </w:r>
    </w:p>
    <w:p w14:paraId="3DD37DBB" w14:textId="6C301508" w:rsidR="006D6021" w:rsidRPr="008E5B84" w:rsidRDefault="00311339">
      <w:pPr>
        <w:spacing w:after="120" w:line="360" w:lineRule="auto"/>
        <w:jc w:val="both"/>
        <w:rPr>
          <w:sz w:val="24"/>
          <w:szCs w:val="24"/>
          <w:rFonts w:ascii="Garamond" w:hAnsi="Garamond"/>
        </w:rPr>
      </w:pPr>
      <w:r>
        <w:rPr>
          <w:sz w:val="24"/>
          <w:rFonts w:ascii="Garamond" w:hAnsi="Garamond"/>
        </w:rPr>
        <w:t xml:space="preserve">Toto legislativní nařízení proto schvaluje výše uvedené aktualizace, zejména zavedení označování opakovaně použitelných obalů a obalů na zálohu a označování recyklovatelných obalů s příslušnými pokyny k třídění.</w:t>
      </w:r>
      <w:r>
        <w:rPr>
          <w:sz w:val="24"/>
          <w:rFonts w:ascii="Garamond" w:hAnsi="Garamond"/>
        </w:rPr>
        <w:t xml:space="preserve"> </w:t>
      </w:r>
      <w:r>
        <w:rPr>
          <w:sz w:val="24"/>
          <w:rFonts w:ascii="Garamond" w:hAnsi="Garamond"/>
        </w:rPr>
        <w:t xml:space="preserve">Rovněž stanoví povinnost provozovatelů nakládání s odpady každoročně prokázat poskytovateli licence, že požadavky na kvalifikaci a příslušné normy jsou splněny dokumentem vydaným kvalifikovanými ověřovateli.</w:t>
      </w:r>
      <w:r>
        <w:rPr>
          <w:sz w:val="24"/>
          <w:rFonts w:ascii="Garamond" w:hAnsi="Garamond"/>
        </w:rPr>
        <w:t xml:space="preserve"> </w:t>
      </w:r>
    </w:p>
    <w:p w14:paraId="758B538F" w14:textId="77777777" w:rsidR="006D6021" w:rsidRPr="008E5B84" w:rsidRDefault="00311339">
      <w:pPr>
        <w:pStyle w:val="Ttulo4"/>
        <w:widowControl w:val="0"/>
        <w:spacing w:after="120" w:line="360" w:lineRule="auto"/>
        <w:ind w:firstLine="0"/>
        <w:jc w:val="left"/>
        <w:outlineLvl w:val="9"/>
        <w:rPr>
          <w:sz w:val="24"/>
          <w:szCs w:val="24"/>
          <w:rFonts w:ascii="Garamond" w:hAnsi="Garamond"/>
        </w:rPr>
      </w:pPr>
      <w:r>
        <w:rPr>
          <w:sz w:val="24"/>
          <w:rFonts w:ascii="Garamond" w:hAnsi="Garamond"/>
        </w:rPr>
        <w:t xml:space="preserve">Byly vyslyšeny správní orgány autonomních oblastí.</w:t>
      </w:r>
    </w:p>
    <w:p w14:paraId="7D1192FA" w14:textId="77777777" w:rsidR="006D6021" w:rsidRPr="008E5B84" w:rsidRDefault="00311339">
      <w:pPr>
        <w:pStyle w:val="NormalWeb"/>
        <w:shd w:val="clear" w:color="auto" w:fill="FFFFFF"/>
        <w:spacing w:before="0" w:after="225" w:line="390" w:lineRule="atLeast"/>
        <w:jc w:val="both"/>
        <w:rPr>
          <w:rFonts w:ascii="Garamond" w:eastAsia="Calibri" w:hAnsi="Garamond"/>
        </w:rPr>
      </w:pPr>
      <w:r>
        <w:rPr>
          <w:rFonts w:ascii="Garamond" w:hAnsi="Garamond"/>
        </w:rPr>
        <w:t xml:space="preserve">Z tohoto důvodu:</w:t>
      </w:r>
    </w:p>
    <w:p w14:paraId="26406EBE" w14:textId="77777777" w:rsidR="006D6021" w:rsidRPr="008E5B84" w:rsidRDefault="00311339">
      <w:pPr>
        <w:pStyle w:val="NormalWeb"/>
        <w:shd w:val="clear" w:color="auto" w:fill="FFFFFF"/>
        <w:spacing w:before="0" w:after="225" w:line="390" w:lineRule="atLeast"/>
        <w:jc w:val="both"/>
        <w:rPr>
          <w:rFonts w:ascii="Garamond" w:eastAsia="Calibri" w:hAnsi="Garamond"/>
        </w:rPr>
      </w:pPr>
      <w:r>
        <w:rPr>
          <w:rFonts w:ascii="Garamond" w:hAnsi="Garamond"/>
        </w:rPr>
        <w:t xml:space="preserve">Podle čl. 198 odst. 1 písm. a) Ústavy vláda nařizuje:</w:t>
      </w:r>
    </w:p>
    <w:p w14:paraId="10E5347C" w14:textId="77777777" w:rsidR="006D6021" w:rsidRPr="008E5B84" w:rsidRDefault="006D6021">
      <w:pPr>
        <w:pStyle w:val="NormalWeb"/>
        <w:shd w:val="clear" w:color="auto" w:fill="FFFFFF"/>
        <w:spacing w:before="0" w:after="225" w:line="390" w:lineRule="atLeast"/>
        <w:jc w:val="both"/>
        <w:rPr>
          <w:rFonts w:ascii="Garamond" w:hAnsi="Garamond"/>
          <w:color w:val="333333"/>
        </w:rPr>
      </w:pPr>
    </w:p>
    <w:p w14:paraId="4D7E55DE" w14:textId="02B10543" w:rsidR="006D6021" w:rsidRPr="008E5B84" w:rsidRDefault="00BC4ADA" w:rsidP="00BC4ADA">
      <w:pPr>
        <w:suppressAutoHyphens w:val="0"/>
        <w:rPr>
          <w:color w:val="333333"/>
          <w:sz w:val="24"/>
          <w:szCs w:val="24"/>
          <w:rFonts w:ascii="Garamond" w:eastAsia="Times New Roman" w:hAnsi="Garamond"/>
        </w:rPr>
      </w:pPr>
      <w:r>
        <w:br w:type="page"/>
      </w:r>
    </w:p>
    <w:p w14:paraId="34A618C4" w14:textId="77777777" w:rsidR="006D6021" w:rsidRPr="008E5B84" w:rsidRDefault="00311339">
      <w:pPr>
        <w:pStyle w:val="Ttulo4"/>
        <w:widowControl w:val="0"/>
        <w:spacing w:after="120" w:line="360" w:lineRule="auto"/>
        <w:outlineLvl w:val="9"/>
        <w:rPr>
          <w:sz w:val="24"/>
          <w:szCs w:val="24"/>
          <w:rFonts w:ascii="Garamond" w:hAnsi="Garamond"/>
        </w:rPr>
      </w:pPr>
      <w:r>
        <w:rPr>
          <w:sz w:val="24"/>
          <w:rFonts w:ascii="Garamond" w:hAnsi="Garamond"/>
        </w:rPr>
        <w:t xml:space="preserve">Článek 1</w:t>
      </w:r>
    </w:p>
    <w:p w14:paraId="6310E1C1" w14:textId="77777777" w:rsidR="006D6021" w:rsidRPr="008E5B84" w:rsidRDefault="00311339">
      <w:pPr>
        <w:pStyle w:val="Ttulo4"/>
        <w:widowControl w:val="0"/>
        <w:spacing w:after="120" w:line="360" w:lineRule="auto"/>
        <w:outlineLvl w:val="9"/>
        <w:rPr>
          <w:sz w:val="24"/>
          <w:szCs w:val="24"/>
          <w:rFonts w:ascii="Garamond" w:hAnsi="Garamond"/>
        </w:rPr>
      </w:pPr>
      <w:r>
        <w:rPr>
          <w:sz w:val="24"/>
          <w:rFonts w:ascii="Garamond" w:hAnsi="Garamond"/>
        </w:rPr>
        <w:t xml:space="preserve">Objekt</w:t>
      </w:r>
    </w:p>
    <w:p w14:paraId="19B19F0E" w14:textId="3AE3B598" w:rsidR="006D6021" w:rsidRPr="008E5B84" w:rsidRDefault="00311339">
      <w:pPr>
        <w:pStyle w:val="Ttulo4"/>
        <w:widowControl w:val="0"/>
        <w:spacing w:after="120" w:line="360" w:lineRule="auto"/>
        <w:ind w:firstLine="0"/>
        <w:jc w:val="both"/>
        <w:outlineLvl w:val="9"/>
        <w:rPr>
          <w:sz w:val="24"/>
          <w:szCs w:val="24"/>
          <w:rFonts w:ascii="Garamond" w:hAnsi="Garamond"/>
        </w:rPr>
      </w:pPr>
      <w:r>
        <w:t xml:space="preserve">Toto legislativní nařízení je pátou změnou </w:t>
      </w:r>
      <w:hyperlink r:id="rId17" w:tooltip="Legislativní nařízení č. 152-D/2017" w:history="1">
        <w:r>
          <w:rPr>
            <w:sz w:val="24"/>
            <w:rFonts w:ascii="Garamond" w:hAnsi="Garamond"/>
          </w:rPr>
          <w:t xml:space="preserve">legislativního nařízení č. 152-D/2017</w:t>
        </w:r>
      </w:hyperlink>
      <w:r>
        <w:t xml:space="preserve"> ze dne 11. prosince, ve znění zákona č. </w:t>
      </w:r>
      <w:hyperlink r:id="rId18" w:tooltip="Zákon č. 69/2018" w:history="1">
        <w:r>
          <w:rPr>
            <w:sz w:val="24"/>
            <w:rFonts w:ascii="Garamond" w:hAnsi="Garamond"/>
          </w:rPr>
          <w:t xml:space="preserve">69/2018</w:t>
        </w:r>
      </w:hyperlink>
      <w:r>
        <w:t xml:space="preserve"> ze dne 26. prosince a </w:t>
      </w:r>
      <w:hyperlink r:id="rId19" w:tooltip="Zákon č. 41/2019" w:history="1">
        <w:r>
          <w:rPr>
            <w:sz w:val="24"/>
            <w:rFonts w:ascii="Garamond" w:hAnsi="Garamond"/>
          </w:rPr>
          <w:t xml:space="preserve">41/2019</w:t>
        </w:r>
      </w:hyperlink>
      <w:r>
        <w:t xml:space="preserve"> ze dne 21. června, </w:t>
      </w:r>
      <w:hyperlink r:id="rId20" w:tooltip="Legislativní nařízení č. 86/2020" w:history="1">
        <w:r>
          <w:rPr>
            <w:sz w:val="24"/>
            <w:rFonts w:ascii="Garamond" w:hAnsi="Garamond"/>
          </w:rPr>
          <w:t xml:space="preserve">legislativním nařízením č. 86/2020</w:t>
        </w:r>
      </w:hyperlink>
      <w:r>
        <w:t xml:space="preserve"> ze dne 14. října a pozměněnou a znovu zveřejněnou legislativním nařízením č. 102-D/2020 ze dne 10. prosince.</w:t>
      </w:r>
      <w:r>
        <w:rPr>
          <w:sz w:val="24"/>
          <w:rFonts w:ascii="Garamond" w:hAnsi="Garamond"/>
        </w:rPr>
        <w:t xml:space="preserve"> </w:t>
      </w:r>
    </w:p>
    <w:p w14:paraId="11139F74" w14:textId="77777777" w:rsidR="006D6021" w:rsidRPr="008E5B84" w:rsidRDefault="00311339">
      <w:pPr>
        <w:jc w:val="center"/>
        <w:rPr>
          <w:sz w:val="24"/>
          <w:szCs w:val="24"/>
          <w:rFonts w:ascii="Garamond" w:hAnsi="Garamond"/>
        </w:rPr>
      </w:pPr>
      <w:r>
        <w:rPr>
          <w:sz w:val="24"/>
          <w:rFonts w:ascii="Garamond" w:hAnsi="Garamond"/>
        </w:rPr>
        <w:t xml:space="preserve">Článek 2</w:t>
      </w:r>
    </w:p>
    <w:p w14:paraId="38D8E667" w14:textId="77777777" w:rsidR="006D6021" w:rsidRPr="008E5B84" w:rsidRDefault="00311339">
      <w:pPr>
        <w:jc w:val="center"/>
        <w:rPr>
          <w:sz w:val="24"/>
          <w:szCs w:val="24"/>
          <w:rFonts w:ascii="Garamond" w:hAnsi="Garamond"/>
        </w:rPr>
      </w:pPr>
      <w:r>
        <w:rPr>
          <w:sz w:val="24"/>
          <w:rFonts w:ascii="Garamond" w:hAnsi="Garamond"/>
        </w:rPr>
        <w:t xml:space="preserve">Změna legislativního nařízení č. 152-D/2017 ze dne 11. prosince</w:t>
      </w:r>
    </w:p>
    <w:p w14:paraId="740BDF45" w14:textId="1C138E32" w:rsidR="006D6021" w:rsidRPr="008E5B84" w:rsidRDefault="00311339">
      <w:pPr>
        <w:pStyle w:val="NormalWeb"/>
        <w:shd w:val="clear" w:color="auto" w:fill="FFFFFF"/>
        <w:spacing w:before="0" w:after="225" w:line="390" w:lineRule="atLeast"/>
        <w:jc w:val="both"/>
        <w:rPr>
          <w:rFonts w:ascii="Garamond" w:hAnsi="Garamond"/>
        </w:rPr>
      </w:pPr>
      <w:r>
        <w:t xml:space="preserve">Články 8, 23, 28 a 90 </w:t>
      </w:r>
      <w:hyperlink r:id="rId21" w:tooltip="Legislativní nařízení č. 152-D/2017" w:history="1">
        <w:r>
          <w:rPr>
            <w:rFonts w:ascii="Garamond" w:hAnsi="Garamond"/>
          </w:rPr>
          <w:t xml:space="preserve">legislativního nařízení č. 152-D/2017</w:t>
        </w:r>
      </w:hyperlink>
      <w:r>
        <w:t xml:space="preserve"> ze dne 11. prosince se nahrazují tímto zněním:</w:t>
      </w:r>
    </w:p>
    <w:p w14:paraId="2CB88C12" w14:textId="77777777" w:rsidR="006D6021" w:rsidRPr="008E5B84" w:rsidRDefault="00311339">
      <w:pPr>
        <w:shd w:val="clear" w:color="auto" w:fill="FFFFFF"/>
        <w:suppressAutoHyphens w:val="0"/>
        <w:spacing w:after="225" w:line="390" w:lineRule="atLeast"/>
        <w:jc w:val="center"/>
        <w:textAlignment w:val="auto"/>
        <w:rPr>
          <w:sz w:val="24"/>
          <w:szCs w:val="24"/>
          <w:rFonts w:ascii="Garamond" w:hAnsi="Garamond"/>
        </w:rPr>
      </w:pPr>
      <w:r>
        <w:rPr>
          <w:sz w:val="24"/>
          <w:rFonts w:ascii="Garamond" w:hAnsi="Garamond"/>
        </w:rPr>
        <w:t xml:space="preserve">„Článek 8</w:t>
      </w:r>
    </w:p>
    <w:p w14:paraId="3EE26575" w14:textId="77777777" w:rsidR="006D6021" w:rsidRPr="008E5B84" w:rsidRDefault="00311339">
      <w:pPr>
        <w:pStyle w:val="Ttulo4"/>
        <w:widowControl w:val="0"/>
        <w:spacing w:after="120" w:line="360" w:lineRule="auto"/>
        <w:outlineLvl w:val="9"/>
        <w:rPr>
          <w:sz w:val="24"/>
          <w:szCs w:val="24"/>
          <w:rFonts w:ascii="Garamond" w:hAnsi="Garamond"/>
        </w:rPr>
      </w:pPr>
      <w:r>
        <w:rPr>
          <w:sz w:val="24"/>
          <w:rFonts w:ascii="Garamond" w:hAnsi="Garamond"/>
        </w:rPr>
        <w:t xml:space="preserve">Kvalifikace provozovatelů zpracování odpadů, včetně skladování</w:t>
      </w:r>
    </w:p>
    <w:p w14:paraId="0E5B07F5" w14:textId="4679E0F2" w:rsidR="006D6021" w:rsidRPr="008E5B84" w:rsidRDefault="00311339">
      <w:pPr>
        <w:pStyle w:val="ListParagraph"/>
        <w:widowControl w:val="0"/>
        <w:numPr>
          <w:ilvl w:val="0"/>
          <w:numId w:val="1"/>
        </w:numPr>
        <w:spacing w:after="120" w:line="360" w:lineRule="auto"/>
        <w:ind w:left="993" w:right="567" w:hanging="426"/>
        <w:jc w:val="both"/>
        <w:rPr>
          <w:sz w:val="24"/>
          <w:szCs w:val="24"/>
          <w:rFonts w:ascii="Garamond" w:hAnsi="Garamond"/>
        </w:rPr>
      </w:pPr>
      <w:r>
        <w:rPr>
          <w:sz w:val="24"/>
          <w:rFonts w:ascii="Garamond" w:hAnsi="Garamond"/>
        </w:rPr>
        <w:t xml:space="preserve">Aniž jsou dotčeny odstavce 5 a 6, podléhají provozovatelé zpracování odpadů, včetně skladování, působící v rámci konkrétních toků odpadů, požadavkům na kvalifikaci pro účinnou kontrolu a sledovatelnost ošetřeného odpadu v souladu se záměry a cíli stanovenými v tomto legislativním nařízení.</w:t>
      </w:r>
      <w:r>
        <w:rPr>
          <w:sz w:val="24"/>
          <w:rFonts w:ascii="Garamond" w:hAnsi="Garamond"/>
        </w:rPr>
        <w:t xml:space="preserve"> </w:t>
      </w:r>
    </w:p>
    <w:p w14:paraId="554CFC4C" w14:textId="400163F5" w:rsidR="006D6021" w:rsidRPr="008E5B84" w:rsidRDefault="00311339">
      <w:pPr>
        <w:pStyle w:val="ListParagraph"/>
        <w:widowControl w:val="0"/>
        <w:numPr>
          <w:ilvl w:val="0"/>
          <w:numId w:val="1"/>
        </w:numPr>
        <w:spacing w:after="120" w:line="360" w:lineRule="auto"/>
        <w:ind w:left="993" w:right="567" w:hanging="426"/>
        <w:jc w:val="both"/>
        <w:rPr>
          <w:sz w:val="24"/>
          <w:szCs w:val="24"/>
          <w:rFonts w:ascii="Garamond" w:hAnsi="Garamond"/>
        </w:rPr>
      </w:pPr>
      <w:r>
        <w:rPr>
          <w:sz w:val="24"/>
          <w:rFonts w:ascii="Garamond" w:hAnsi="Garamond"/>
        </w:rPr>
        <w:t xml:space="preserve">Požadavky uvedené v předchozím odstavci a jejich rozsah stanoví </w:t>
      </w:r>
      <w:r>
        <w:rPr>
          <w:sz w:val="24"/>
          <w:shd w:val="clear" w:color="auto" w:fill="FFFFFF"/>
          <w:rFonts w:ascii="Garamond" w:hAnsi="Garamond"/>
        </w:rPr>
        <w:t xml:space="preserve">Portugalská agentura pro životní prostředí, I.P.</w:t>
      </w:r>
      <w:r>
        <w:rPr>
          <w:sz w:val="24"/>
          <w:shd w:val="clear" w:color="auto" w:fill="FFFFFF"/>
          <w:rFonts w:ascii="Garamond" w:hAnsi="Garamond"/>
        </w:rPr>
        <w:t xml:space="preserve"> </w:t>
      </w:r>
      <w:r>
        <w:rPr>
          <w:sz w:val="24"/>
          <w:shd w:val="clear" w:color="auto" w:fill="FFFFFF"/>
          <w:rFonts w:ascii="Garamond" w:hAnsi="Garamond"/>
        </w:rPr>
        <w:t xml:space="preserve">(</w:t>
      </w:r>
      <w:r>
        <w:rPr>
          <w:sz w:val="24"/>
          <w:rFonts w:ascii="Garamond" w:hAnsi="Garamond"/>
        </w:rPr>
        <w:t xml:space="preserve">APA, I.P.) po vyslechnutí reprezentativních sdružení provozovatelů zpracování odpadů, orgánů vydávajících licence, subjektů odpovědných za nakládání s integrovanými odpadovými systémy a dalších subjektů, které považuje za důležité konzultovat s ohledem na kritéria technické kvality a účinnosti a zveřejněných na svých internetových stránkách.</w:t>
      </w:r>
      <w:r>
        <w:rPr>
          <w:sz w:val="24"/>
          <w:rFonts w:ascii="Garamond" w:hAnsi="Garamond"/>
        </w:rPr>
        <w:t xml:space="preserve"> </w:t>
      </w:r>
    </w:p>
    <w:p w14:paraId="0577D597" w14:textId="77777777" w:rsidR="006D6021" w:rsidRPr="008E5B84" w:rsidRDefault="00311339">
      <w:pPr>
        <w:pStyle w:val="ListParagraph"/>
        <w:widowControl w:val="0"/>
        <w:numPr>
          <w:ilvl w:val="0"/>
          <w:numId w:val="1"/>
        </w:numPr>
        <w:spacing w:after="120" w:line="360" w:lineRule="auto"/>
        <w:ind w:left="993" w:right="567" w:hanging="426"/>
        <w:jc w:val="both"/>
        <w:rPr>
          <w:sz w:val="24"/>
          <w:szCs w:val="24"/>
          <w:rFonts w:ascii="Garamond" w:hAnsi="Garamond"/>
        </w:rPr>
      </w:pPr>
      <w:r>
        <w:rPr>
          <w:sz w:val="24"/>
          <w:rFonts w:ascii="Garamond" w:hAnsi="Garamond"/>
        </w:rPr>
        <w:t xml:space="preserve">[…].</w:t>
      </w:r>
      <w:r>
        <w:rPr>
          <w:sz w:val="24"/>
          <w:rFonts w:ascii="Garamond" w:hAnsi="Garamond"/>
        </w:rPr>
        <w:t xml:space="preserve">  </w:t>
      </w:r>
    </w:p>
    <w:p w14:paraId="6149BD7F" w14:textId="77777777" w:rsidR="006D6021" w:rsidRPr="008E5B84" w:rsidRDefault="00311339">
      <w:pPr>
        <w:pStyle w:val="ListParagraph"/>
        <w:widowControl w:val="0"/>
        <w:numPr>
          <w:ilvl w:val="0"/>
          <w:numId w:val="1"/>
        </w:numPr>
        <w:spacing w:after="120" w:line="360" w:lineRule="auto"/>
        <w:ind w:left="993" w:right="567" w:hanging="426"/>
        <w:jc w:val="both"/>
        <w:rPr>
          <w:sz w:val="24"/>
          <w:szCs w:val="24"/>
          <w:rFonts w:ascii="Garamond" w:hAnsi="Garamond"/>
        </w:rPr>
      </w:pPr>
      <w:r>
        <w:rPr>
          <w:sz w:val="24"/>
          <w:rFonts w:ascii="Garamond" w:hAnsi="Garamond"/>
        </w:rPr>
        <w:t xml:space="preserve">Požadavky uvedené v předchozích odstavcích jsou stanoveny v povoleních provozovatelů  zpracování odpadů a jejich soulad se prokazuje v souladu s odstavci 8 a 10.</w:t>
      </w:r>
      <w:r>
        <w:rPr>
          <w:sz w:val="24"/>
          <w:rFonts w:ascii="Garamond" w:hAnsi="Garamond"/>
        </w:rPr>
        <w:t xml:space="preserve"> </w:t>
      </w:r>
    </w:p>
    <w:p w14:paraId="64F7A174" w14:textId="77777777" w:rsidR="006D6021" w:rsidRPr="008E5B84" w:rsidRDefault="00311339">
      <w:pPr>
        <w:pStyle w:val="ListParagraph"/>
        <w:widowControl w:val="0"/>
        <w:numPr>
          <w:ilvl w:val="0"/>
          <w:numId w:val="1"/>
        </w:numPr>
        <w:spacing w:after="120" w:line="360" w:lineRule="auto"/>
        <w:ind w:left="993" w:right="567" w:hanging="426"/>
        <w:jc w:val="both"/>
        <w:rPr>
          <w:sz w:val="24"/>
          <w:szCs w:val="24"/>
          <w:rFonts w:ascii="Garamond" w:hAnsi="Garamond"/>
        </w:rPr>
      </w:pPr>
      <w:r>
        <w:rPr>
          <w:sz w:val="24"/>
          <w:rFonts w:ascii="Garamond" w:hAnsi="Garamond"/>
        </w:rPr>
        <w:t xml:space="preserve">Provozovatelé zpracování odpadů, včetně skladování, pracující v rámci specifického toku OEEZ, musí být certifikováni podle normy NP EN 50625-1:2014 „Požadavky na sběr, přepravu a zpracování OEEZ - část 1:</w:t>
      </w:r>
      <w:r>
        <w:rPr>
          <w:sz w:val="24"/>
          <w:rFonts w:ascii="Garamond" w:hAnsi="Garamond"/>
        </w:rPr>
        <w:t xml:space="preserve"> </w:t>
      </w:r>
      <w:r>
        <w:rPr>
          <w:sz w:val="24"/>
          <w:rFonts w:ascii="Garamond" w:hAnsi="Garamond"/>
        </w:rPr>
        <w:t xml:space="preserve">Obecné požadavky a zpracování“ s jeho aktualizovaným zněním a standardním nahrazením.</w:t>
      </w:r>
    </w:p>
    <w:p w14:paraId="0AF9C3B3" w14:textId="77777777" w:rsidR="006D6021" w:rsidRPr="008E5B84" w:rsidRDefault="00311339">
      <w:pPr>
        <w:pStyle w:val="ListParagraph"/>
        <w:widowControl w:val="0"/>
        <w:numPr>
          <w:ilvl w:val="0"/>
          <w:numId w:val="2"/>
        </w:numPr>
        <w:spacing w:after="120" w:line="360" w:lineRule="auto"/>
        <w:ind w:right="567"/>
        <w:jc w:val="both"/>
        <w:rPr>
          <w:sz w:val="24"/>
          <w:szCs w:val="24"/>
          <w:rFonts w:ascii="Garamond" w:hAnsi="Garamond"/>
        </w:rPr>
      </w:pPr>
      <w:r>
        <w:rPr>
          <w:sz w:val="24"/>
          <w:rFonts w:ascii="Garamond" w:hAnsi="Garamond"/>
        </w:rPr>
        <w:t xml:space="preserve">Provozovatelé zpracování OEEZ klasifikovaných jako nebezpečná musí být kromě certifikace stanovené v předchozím odstavci osvědčeni příslušnou normou normy EN 50625, jmenovitě u svítilen (NP EN 50625-2-1:2014), displejů a monitorů (NP EN 50625-2-2:2015) a zařízení pro regulaci teploty (EN 50625-2-3:2017), s jejich aktualizovanou formulací a normami, které je nahrazují.</w:t>
      </w:r>
      <w:r>
        <w:rPr>
          <w:sz w:val="24"/>
          <w:rFonts w:ascii="Garamond" w:hAnsi="Garamond"/>
        </w:rPr>
        <w:t xml:space="preserve"> </w:t>
      </w:r>
    </w:p>
    <w:p w14:paraId="2AD5545D" w14:textId="1D2B1236" w:rsidR="006D6021" w:rsidRPr="008E5B84" w:rsidRDefault="00311339">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Odstavec 1 se nevztahuje na provozovatele, kteří provádějí zpracování odpadů v průmyslovém zařízení v rámci Odpovědného průmyslového systému (SIR), s výjimkou zařízení na zpracování odpadu mimo průmyslovou činnost.</w:t>
      </w:r>
    </w:p>
    <w:p w14:paraId="55123F50" w14:textId="5AFC3F8E" w:rsidR="006D6021" w:rsidRPr="008E5B84" w:rsidRDefault="00311339">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Provozovatelé zpracování odpadů uvedení v odstavcích 1, 5 a 6 do 31. března každého roku prokáží, že byly splněny požadavky a normy platné pro koordinační orgán vydávající licence v předchozím roce, s výhradou úplného nebo částečného pozastavení licence v souladu s článkem 81 obecného režimu nakládání s odpady.</w:t>
      </w:r>
      <w:r>
        <w:rPr>
          <w:sz w:val="24"/>
          <w:rFonts w:ascii="Garamond" w:hAnsi="Garamond"/>
        </w:rPr>
        <w:t xml:space="preserve"> </w:t>
      </w:r>
    </w:p>
    <w:p w14:paraId="3813BD80" w14:textId="77777777" w:rsidR="006D6021" w:rsidRPr="008E5B84" w:rsidRDefault="00311339">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Ustanovení předchozího odstavce se použijí pouze v případě, že hospodářskému subjektu dne 31. března bylo uděleno povolení ke zpracování po dobu nejméně šesti měsíců.</w:t>
      </w:r>
    </w:p>
    <w:p w14:paraId="68599E61" w14:textId="44D5CD63" w:rsidR="006D6021" w:rsidRPr="008E5B84" w:rsidRDefault="00311339">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Doklad o shodě s kvalifikačními požadavky uvedenými v odstavci 1 se předloží prostřednictvím dokumentu vydaného kvalifikovanými ověřovateli.</w:t>
      </w:r>
      <w:bookmarkStart w:id="1" w:name="_Hlk52723080"/>
    </w:p>
    <w:bookmarkEnd w:id="1"/>
    <w:p w14:paraId="511DE8FF" w14:textId="77777777" w:rsidR="006D6021" w:rsidRPr="008E5B84" w:rsidRDefault="00311339">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Kritéria a metodiku uznávání subjektů příslušných pro certifikaci a kvalifikovaných ověřovatelů stanoví nařízení člena vlády odpovědného za otázky životního prostředí.</w:t>
      </w:r>
    </w:p>
    <w:p w14:paraId="03805ED9" w14:textId="59353803" w:rsidR="006D6021" w:rsidRPr="008E5B84" w:rsidRDefault="00BC4ADA">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Osvědčení podle odstavců 5 a 6 provádí akreditovaná třetí strana.</w:t>
      </w:r>
      <w:r>
        <w:rPr>
          <w:sz w:val="24"/>
          <w:rFonts w:ascii="Garamond" w:hAnsi="Garamond"/>
        </w:rPr>
        <w:t xml:space="preserve"> </w:t>
      </w:r>
    </w:p>
    <w:p w14:paraId="6EC366FF" w14:textId="77777777" w:rsidR="006D6021" w:rsidRPr="008E5B84" w:rsidRDefault="00311339">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Nedodržení příslušných kvalifikačních požadavků nebo norem stanovených v tomto článku je důvodem pro úplné nebo částečné odebrání jejich licence v souladu s článkem 81 obecného režimu nakládání s odpady.</w:t>
      </w:r>
      <w:r>
        <w:rPr>
          <w:sz w:val="24"/>
          <w:rFonts w:ascii="Garamond" w:hAnsi="Garamond"/>
        </w:rPr>
        <w:t xml:space="preserve"> </w:t>
      </w:r>
    </w:p>
    <w:p w14:paraId="69B2E75E" w14:textId="77777777" w:rsidR="006D6021" w:rsidRPr="008E5B84" w:rsidRDefault="00311339">
      <w:pPr>
        <w:widowControl w:val="0"/>
        <w:spacing w:after="120" w:line="360" w:lineRule="auto"/>
        <w:ind w:firstLine="284"/>
        <w:jc w:val="center"/>
        <w:rPr>
          <w:sz w:val="24"/>
          <w:szCs w:val="24"/>
          <w:rFonts w:ascii="Garamond" w:hAnsi="Garamond"/>
        </w:rPr>
      </w:pPr>
      <w:bookmarkStart w:id="2" w:name="_Hlk58518925"/>
      <w:r>
        <w:rPr>
          <w:sz w:val="24"/>
          <w:rFonts w:ascii="Garamond" w:hAnsi="Garamond"/>
        </w:rPr>
        <w:t xml:space="preserve">Článek 23</w:t>
      </w:r>
    </w:p>
    <w:p w14:paraId="0F62E269" w14:textId="34428259" w:rsidR="006D6021" w:rsidRPr="008E5B84" w:rsidRDefault="008B3D7C">
      <w:pPr>
        <w:widowControl w:val="0"/>
        <w:spacing w:after="120" w:line="360" w:lineRule="auto"/>
        <w:ind w:firstLine="284"/>
        <w:jc w:val="center"/>
        <w:rPr>
          <w:sz w:val="24"/>
          <w:szCs w:val="24"/>
          <w:rFonts w:ascii="Garamond" w:hAnsi="Garamond"/>
        </w:rPr>
      </w:pPr>
      <w:r>
        <w:rPr>
          <w:sz w:val="24"/>
          <w:rFonts w:ascii="Garamond" w:hAnsi="Garamond"/>
        </w:rPr>
        <w:t xml:space="preserve">[…]</w:t>
      </w:r>
    </w:p>
    <w:p w14:paraId="5F9480C7" w14:textId="454DC417"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5F1D39B1" w14:textId="77777777"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r>
        <w:rPr>
          <w:sz w:val="24"/>
          <w:rFonts w:ascii="Garamond" w:hAnsi="Garamond"/>
        </w:rPr>
        <w:t xml:space="preserve"> </w:t>
      </w:r>
    </w:p>
    <w:p w14:paraId="7F3B2E9D" w14:textId="53686E70"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1C782BC8" w14:textId="68618E7C"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49345D1D" w14:textId="77777777"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r>
        <w:rPr>
          <w:sz w:val="24"/>
          <w:i/>
          <w:rFonts w:ascii="Garamond" w:hAnsi="Garamond"/>
        </w:rPr>
        <w:t xml:space="preserve">Zrušeno</w:t>
      </w:r>
      <w:r>
        <w:rPr>
          <w:sz w:val="24"/>
          <w:rFonts w:ascii="Garamond" w:hAnsi="Garamond"/>
        </w:rPr>
        <w:t xml:space="preserve">];</w:t>
      </w:r>
    </w:p>
    <w:p w14:paraId="78E509FB" w14:textId="77777777"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r>
        <w:rPr>
          <w:sz w:val="24"/>
          <w:rFonts w:ascii="Garamond" w:hAnsi="Garamond"/>
        </w:rPr>
        <w:t xml:space="preserve"> </w:t>
      </w:r>
    </w:p>
    <w:p w14:paraId="05BCEA55" w14:textId="01A4160C"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3B767401" w14:textId="7091B311" w:rsidR="006D6021" w:rsidRPr="008E5B84" w:rsidRDefault="008600E0">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4A4D1BE3" w14:textId="4898503B"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0B339EEC" w14:textId="208F75F9"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566473D6" w14:textId="164AC433"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bookmarkStart w:id="3" w:name="_Hlk61626903"/>
      <w:r>
        <w:rPr>
          <w:sz w:val="24"/>
          <w:rFonts w:ascii="Garamond" w:hAnsi="Garamond"/>
        </w:rPr>
        <w:t xml:space="preserve">[…].</w:t>
      </w:r>
    </w:p>
    <w:p w14:paraId="66BCCA1B" w14:textId="4D55870F"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73A26731" w14:textId="652B1C92"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bookmarkStart w:id="4" w:name="_Hlk61626654"/>
      <w:bookmarkEnd w:id="3"/>
      <w:r>
        <w:rPr>
          <w:sz w:val="24"/>
          <w:rFonts w:ascii="Garamond" w:hAnsi="Garamond"/>
        </w:rPr>
        <w:t xml:space="preserve">[…].</w:t>
      </w:r>
    </w:p>
    <w:bookmarkEnd w:id="4"/>
    <w:p w14:paraId="385DA688" w14:textId="0D95D9A5"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7BCA8040" w14:textId="4560123D"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bookmarkStart w:id="5" w:name="_Hlk52724639"/>
      <w:r>
        <w:rPr>
          <w:sz w:val="24"/>
          <w:rFonts w:ascii="Garamond" w:hAnsi="Garamond"/>
        </w:rPr>
        <w:t xml:space="preserve">[…].</w:t>
      </w:r>
    </w:p>
    <w:p w14:paraId="22A71714" w14:textId="11A87C2A"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bookmarkStart w:id="6" w:name="_Hlk52724601"/>
      <w:bookmarkEnd w:id="5"/>
      <w:r>
        <w:rPr>
          <w:sz w:val="24"/>
          <w:rFonts w:ascii="Garamond" w:hAnsi="Garamond"/>
        </w:rPr>
        <w:t xml:space="preserve">[…].</w:t>
      </w:r>
    </w:p>
    <w:p w14:paraId="7F2D2F9B" w14:textId="47B01B05" w:rsidR="006D6021" w:rsidRPr="008E5B84" w:rsidRDefault="00311339" w:rsidP="007E1034">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Opakované použití obalů podléhá označení, symbolu a pravidlům pro označování, které stanoví nařízení členů vlády odpovědných za hospodářské a environmentální záležitosti po konzultaci se sdruženími zastupujícími dotčená odvětví.</w:t>
      </w:r>
    </w:p>
    <w:p w14:paraId="0388493E" w14:textId="282251FD" w:rsidR="006D6021" w:rsidRPr="008E5B84" w:rsidRDefault="00311339" w:rsidP="007E1034">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Nařízení uvedené v předchozím odstavci se zveřejní do 31. prosince 2022, přičemž se stanoví přechodné období pro splnění povinnosti označování nejméně jeden rok.</w:t>
      </w:r>
      <w:r>
        <w:rPr>
          <w:sz w:val="24"/>
          <w:rFonts w:ascii="Garamond" w:hAnsi="Garamond"/>
        </w:rPr>
        <w:t xml:space="preserve"> </w:t>
      </w:r>
    </w:p>
    <w:bookmarkEnd w:id="2"/>
    <w:bookmarkEnd w:id="6"/>
    <w:p w14:paraId="2073F806" w14:textId="77777777" w:rsidR="006D6021" w:rsidRPr="008E5B84" w:rsidRDefault="00311339">
      <w:pPr>
        <w:widowControl w:val="0"/>
        <w:spacing w:after="120" w:line="360" w:lineRule="auto"/>
        <w:ind w:left="851" w:right="567" w:hanging="284"/>
        <w:jc w:val="center"/>
        <w:rPr>
          <w:sz w:val="24"/>
          <w:szCs w:val="24"/>
          <w:rFonts w:ascii="Garamond" w:hAnsi="Garamond"/>
        </w:rPr>
      </w:pPr>
      <w:r>
        <w:rPr>
          <w:sz w:val="24"/>
          <w:rFonts w:ascii="Garamond" w:hAnsi="Garamond"/>
        </w:rPr>
        <w:t xml:space="preserve">Článek 28</w:t>
      </w:r>
    </w:p>
    <w:p w14:paraId="1BFEB45B" w14:textId="255D8B70" w:rsidR="006D6021" w:rsidRPr="008E5B84" w:rsidRDefault="00311339">
      <w:pPr>
        <w:widowControl w:val="0"/>
        <w:spacing w:after="120" w:line="360" w:lineRule="auto"/>
        <w:ind w:left="851" w:right="567" w:hanging="284"/>
        <w:jc w:val="center"/>
        <w:rPr>
          <w:sz w:val="24"/>
          <w:szCs w:val="24"/>
          <w:rFonts w:ascii="Garamond" w:hAnsi="Garamond"/>
        </w:rPr>
      </w:pPr>
      <w:r>
        <w:rPr>
          <w:sz w:val="24"/>
          <w:rFonts w:ascii="Garamond" w:hAnsi="Garamond"/>
        </w:rPr>
        <w:t xml:space="preserve">Označení obalů</w:t>
      </w:r>
    </w:p>
    <w:p w14:paraId="1559C70D"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w:t>
      </w:r>
      <w:r>
        <w:rPr>
          <w:sz w:val="24"/>
          <w:i/>
          <w:rFonts w:ascii="Garamond" w:hAnsi="Garamond"/>
        </w:rPr>
        <w:t xml:space="preserve">Zrušeno</w:t>
      </w:r>
      <w:r>
        <w:rPr>
          <w:sz w:val="24"/>
          <w:rFonts w:ascii="Garamond" w:hAnsi="Garamond"/>
        </w:rPr>
        <w:t xml:space="preserve">].</w:t>
      </w:r>
      <w:r>
        <w:rPr>
          <w:sz w:val="24"/>
          <w:rFonts w:ascii="Garamond" w:hAnsi="Garamond"/>
        </w:rPr>
        <w:t xml:space="preserve"> </w:t>
      </w:r>
    </w:p>
    <w:p w14:paraId="3035F5D8"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Aniž je dotčen odstavec 9, mohou být s tímto symbolem uvedeny na trh jednorázové primární obaly z jiných členských států Evropské unie nebo třetích zemí, které byly označeny zvláštním symbolem v místě původu.</w:t>
      </w:r>
      <w:r>
        <w:rPr>
          <w:sz w:val="24"/>
          <w:rFonts w:ascii="Garamond" w:hAnsi="Garamond"/>
        </w:rPr>
        <w:t xml:space="preserve"> </w:t>
      </w:r>
    </w:p>
    <w:p w14:paraId="21253B2F"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Obaly, které jsou spravovány v systému záloh podle článku 23-C, musí být označeny symbolem definovaným ve vyhlášce, která má být schválena členy vlády odpovědnými za hospodářské a environmentální záležitosti.</w:t>
      </w:r>
    </w:p>
    <w:p w14:paraId="2C5C3A24"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Pro usnadnění sběru, opětovného použití a využití, včetně recyklace, musí obaly uvádět povahu používaného obalového materiálu (používaných obalových materiálů) pro účely identifikace a klasifikace jejich odvětví v souladu s identifikačním systémem zavedeným rozhodnutím Komise č. 97/129/ES ze dne 28. ledna 1997, jehož systém je uveden v příloze IX tohoto legislativního nařízení a jehož je nedílnou součástí.</w:t>
      </w:r>
    </w:p>
    <w:p w14:paraId="692F362A"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t xml:space="preserve">Za účelem podpory správného třídění odpadů a zvýšení úrovně a kvality recyklace musí být </w:t>
      </w:r>
      <w:bookmarkStart w:id="7" w:name="_Hlk61624722"/>
      <w:r>
        <w:t xml:space="preserve">recyklovatelné obaly uváděné na trh označeny příslušnými pokyny k třídění</w:t>
      </w:r>
      <w:bookmarkEnd w:id="7"/>
      <w:r>
        <w:t xml:space="preserve">, zejména barvou recyklačního koše, do kterého by měly být umístěny, v souladu s podmínkami, které stanoví nařízení vlády odpovědných za hospodářské a environmentální záležitosti.</w:t>
      </w:r>
    </w:p>
    <w:p w14:paraId="533DE736"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Označení uvedené v předchozím odstavci musí splňovat tyto požadavky:</w:t>
      </w:r>
    </w:p>
    <w:p w14:paraId="08DBE96C" w14:textId="77777777" w:rsidR="006D6021" w:rsidRPr="008E5B84" w:rsidRDefault="00311339">
      <w:pPr>
        <w:widowControl w:val="0"/>
        <w:numPr>
          <w:ilvl w:val="0"/>
          <w:numId w:val="5"/>
        </w:numPr>
        <w:spacing w:after="120" w:line="360" w:lineRule="auto"/>
        <w:ind w:left="1418" w:right="567" w:hanging="284"/>
        <w:jc w:val="both"/>
        <w:rPr>
          <w:sz w:val="24"/>
          <w:szCs w:val="24"/>
          <w:rFonts w:ascii="Garamond" w:hAnsi="Garamond"/>
        </w:rPr>
      </w:pPr>
      <w:r>
        <w:rPr>
          <w:sz w:val="24"/>
          <w:rFonts w:ascii="Garamond" w:hAnsi="Garamond"/>
        </w:rPr>
        <w:t xml:space="preserve">Může být prezentováno ikonografií nebo písemným textem nebo obojím;</w:t>
      </w:r>
    </w:p>
    <w:p w14:paraId="77968FCD" w14:textId="77777777" w:rsidR="006D6021" w:rsidRPr="008E5B84" w:rsidRDefault="00311339">
      <w:pPr>
        <w:widowControl w:val="0"/>
        <w:numPr>
          <w:ilvl w:val="0"/>
          <w:numId w:val="5"/>
        </w:numPr>
        <w:spacing w:after="120" w:line="360" w:lineRule="auto"/>
        <w:ind w:left="1418" w:right="567" w:hanging="284"/>
        <w:jc w:val="both"/>
        <w:rPr>
          <w:sz w:val="24"/>
          <w:szCs w:val="24"/>
          <w:rFonts w:ascii="Garamond" w:hAnsi="Garamond"/>
        </w:rPr>
      </w:pPr>
      <w:r>
        <w:rPr>
          <w:sz w:val="24"/>
          <w:rFonts w:ascii="Garamond" w:hAnsi="Garamond"/>
        </w:rPr>
        <w:t xml:space="preserve">Musí být vytištěno ve viditelné, čitelné a nesmazatelné formě.</w:t>
      </w:r>
    </w:p>
    <w:p w14:paraId="661794D2"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Na primární obaly a druhotné obaly určené pro spotřebitele se vztahuje povinnost označování podle odstavce 5.</w:t>
      </w:r>
    </w:p>
    <w:p w14:paraId="31B5251D"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Obal, jehož velikost neumožňuje označení podle odstavce 6, je osvobozen od povinnosti uvedené v odstavci 5.</w:t>
      </w:r>
    </w:p>
    <w:p w14:paraId="0D5DA7CC" w14:textId="07B00E1C" w:rsidR="006D6021" w:rsidRPr="008B3D7C"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Za účelem objasnění informací spotřebitelům a pro podporu správné přepravy obalových odpadů je ode dne vstupu v platnost povinnosti stanovené v odstavci 5 zakázáno uvádět na trh recyklovatelné a opakovaně použitelné obaly označené symbolem „uklízeče“.</w:t>
      </w:r>
    </w:p>
    <w:p w14:paraId="5CFB03EA" w14:textId="77777777" w:rsidR="006D6021" w:rsidRPr="008E5B84" w:rsidRDefault="00311339">
      <w:pPr>
        <w:widowControl w:val="0"/>
        <w:numPr>
          <w:ilvl w:val="0"/>
          <w:numId w:val="4"/>
        </w:numPr>
        <w:spacing w:after="120" w:line="360" w:lineRule="auto"/>
        <w:ind w:right="567"/>
        <w:jc w:val="both"/>
        <w:rPr>
          <w:sz w:val="24"/>
          <w:szCs w:val="24"/>
          <w:rFonts w:ascii="Garamond" w:hAnsi="Garamond"/>
        </w:rPr>
      </w:pPr>
      <w:r>
        <w:rPr>
          <w:sz w:val="24"/>
          <w:rFonts w:ascii="Garamond" w:hAnsi="Garamond"/>
        </w:rPr>
        <w:t xml:space="preserve">Nařízení uvedené v odstavci 5 se zveřejní do 31. prosince 2022, přičemž se stanoví přechodné období pro splnění povinnosti označování nejméně jeden rok.</w:t>
      </w:r>
      <w:r>
        <w:rPr>
          <w:sz w:val="24"/>
          <w:rFonts w:ascii="Garamond" w:hAnsi="Garamond"/>
        </w:rPr>
        <w:t xml:space="preserve"> </w:t>
      </w:r>
    </w:p>
    <w:p w14:paraId="2B5AE871" w14:textId="77777777" w:rsidR="006D6021" w:rsidRPr="008E5B84" w:rsidRDefault="00311339">
      <w:pPr>
        <w:pStyle w:val="ListParagraph"/>
        <w:widowControl w:val="0"/>
        <w:tabs>
          <w:tab w:val="left" w:pos="567"/>
        </w:tabs>
        <w:spacing w:after="120" w:line="360" w:lineRule="auto"/>
        <w:ind w:left="426"/>
        <w:jc w:val="center"/>
        <w:rPr>
          <w:sz w:val="24"/>
          <w:szCs w:val="24"/>
          <w:rFonts w:ascii="Garamond" w:hAnsi="Garamond"/>
        </w:rPr>
      </w:pPr>
      <w:r>
        <w:rPr>
          <w:sz w:val="24"/>
          <w:rFonts w:ascii="Garamond" w:hAnsi="Garamond"/>
        </w:rPr>
        <w:t xml:space="preserve">Článek 90</w:t>
      </w:r>
    </w:p>
    <w:p w14:paraId="5993F2D8" w14:textId="679E6390" w:rsidR="006D6021" w:rsidRPr="008E5B84" w:rsidRDefault="00BB1999">
      <w:pPr>
        <w:pStyle w:val="ListParagraph"/>
        <w:widowControl w:val="0"/>
        <w:tabs>
          <w:tab w:val="left" w:pos="567"/>
        </w:tabs>
        <w:spacing w:after="120" w:line="360" w:lineRule="auto"/>
        <w:ind w:left="426"/>
        <w:jc w:val="center"/>
        <w:rPr>
          <w:sz w:val="24"/>
          <w:szCs w:val="24"/>
          <w:rFonts w:ascii="Garamond" w:hAnsi="Garamond"/>
        </w:rPr>
      </w:pPr>
      <w:r>
        <w:rPr>
          <w:sz w:val="24"/>
          <w:rFonts w:ascii="Garamond" w:hAnsi="Garamond"/>
        </w:rPr>
        <w:t xml:space="preserve">[…]</w:t>
      </w:r>
    </w:p>
    <w:p w14:paraId="1BD8205D" w14:textId="1A72943D" w:rsidR="006D6021" w:rsidRPr="008E5B84" w:rsidRDefault="00311339">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1 - [...].</w:t>
      </w:r>
    </w:p>
    <w:p w14:paraId="4D5E45BC" w14:textId="264AD440" w:rsidR="006D6021" w:rsidRPr="008E5B84" w:rsidRDefault="00311339">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2 - Provedení následujících činností představuje závažný správní přestupek, za který lze uložit pokutu v souladu s právními předpisy o správních přestupcích:</w:t>
      </w:r>
    </w:p>
    <w:p w14:paraId="34A60EBF" w14:textId="26983D8A" w:rsidR="006D6021" w:rsidRDefault="00311339"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91F789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76331E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C058247"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A63D560"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2FDC02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BC28BB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177A222"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593CF5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2286000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9BC6BC2"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C7EA91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2290F3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C38F470"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0064F84"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D256B32"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F8E3AE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E766C4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025FBF9"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C40613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2CDF3C9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B239DF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06F8F9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2E3F6D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E82248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1BFF0E9"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B8A0F7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A7FDC2A"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62DF6D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C64AB0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D01A8C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23B4721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C8ADFF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6BEABE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BD54DA0"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10FE05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91F700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61AB74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9F70C98"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5AAF438"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A67C961"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AA5818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A67ED0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FFD8B59"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CD7B2B0"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9EF169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442035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387A0E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535D9BA"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DEE736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FCF525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F97F9A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45242A7"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2D3F49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85AD1E4"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2F3308E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3E916B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018C53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153AACC"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1CC34B1"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20E494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91F41D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F2D2B99"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2EE4E4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B3E788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6A382E1"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9E0BA6C"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D5C7C0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00FEF1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E55170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162670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7174398"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19079DF" w14:textId="3E22BD35" w:rsidR="006D6021" w:rsidRPr="008E5B84" w:rsidRDefault="00311339"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Vykonávání činnosti na zpracování odpadů provozovateli, kteří nesplňují požadavky nebo normy kvalifikace v souladu s čl. 8 odst. 1, 5 a 6;</w:t>
      </w:r>
      <w:r>
        <w:rPr>
          <w:sz w:val="24"/>
          <w:rFonts w:ascii="Garamond" w:hAnsi="Garamond"/>
        </w:rPr>
        <w:t xml:space="preserve"> </w:t>
      </w:r>
    </w:p>
    <w:p w14:paraId="7EA03A99" w14:textId="76D22DF1" w:rsidR="006D6021" w:rsidRPr="008E5B84" w:rsidRDefault="00311339"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Nesplnění povinnosti označit obaly v souladu s čl. 23 odst. 11 a čl. 28 odst. 3.</w:t>
      </w:r>
    </w:p>
    <w:p w14:paraId="63F4F092" w14:textId="77777777" w:rsidR="006D6021" w:rsidRPr="008E5B84" w:rsidRDefault="00311339" w:rsidP="008E5B84">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3 - Provedení následujících činností představuje lehký správní přestupek v oblasti životního prostředí, který lze trestat v souladu s rámcovým zákonem o správních přestupcích v oblasti životního prostředí:</w:t>
      </w:r>
    </w:p>
    <w:p w14:paraId="717D1B1F" w14:textId="6632C3C4" w:rsidR="00AE3FD7" w:rsidRDefault="00311339"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7866387"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6DAF0A6"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84EE665"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5E9A59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F82066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A3C0C2F"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CAC497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88AD3EF"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0F16E2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91B075C"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2CF63BAD"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D5C265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3372D1F"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6CAD88E"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2EE26E58"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FAFE6A2"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A2FA55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0E63E2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BEAAE8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535C3B7"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AA1FB1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329FF90"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D3E144C"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19D916A"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4E02EE8"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93628B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429CEE4" w14:textId="7C04ACFC" w:rsidR="006D6021" w:rsidRPr="008E5B84" w:rsidRDefault="00311339"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Nesplnění povinnosti určit na obalu obalový materiál nebo materiály použité v souladu s čl. 28 odst. 4;</w:t>
      </w:r>
    </w:p>
    <w:p w14:paraId="52F2A95D" w14:textId="5A6D3D93" w:rsidR="006D6021" w:rsidRPr="008E5B84" w:rsidRDefault="00311339"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Nedodržení povinnosti určit místo určení obalu, je-li recyklovatelný v souladu s čl. 28 odst. 5 a 6;</w:t>
      </w:r>
    </w:p>
    <w:p w14:paraId="6D3571B6" w14:textId="2BE01E53" w:rsidR="007C12A7" w:rsidRDefault="00311339"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Použití symbolu uklízeče na recyklovatelném a opakovaném obalu v rozporu s čl. 28 odst. 9.</w:t>
      </w:r>
      <w:r>
        <w:rPr>
          <w:sz w:val="24"/>
          <w:rFonts w:ascii="Garamond" w:hAnsi="Garamond"/>
        </w:rPr>
        <w:t xml:space="preserve"> </w:t>
      </w:r>
    </w:p>
    <w:p w14:paraId="7C8C6BB9" w14:textId="1CA7F2E5" w:rsidR="007C12A7" w:rsidRPr="007C12A7" w:rsidRDefault="007C12A7" w:rsidP="007C12A7">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4 - [...].</w:t>
      </w:r>
    </w:p>
    <w:p w14:paraId="320DA334" w14:textId="78F12E10" w:rsidR="007C12A7" w:rsidRPr="007C12A7" w:rsidRDefault="007C12A7" w:rsidP="007C12A7">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5 - [...].</w:t>
      </w:r>
    </w:p>
    <w:p w14:paraId="503ACA32" w14:textId="77777777" w:rsidR="007C12A7" w:rsidRPr="007C12A7" w:rsidRDefault="007C12A7" w:rsidP="007C12A7">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6 - [...].</w:t>
      </w:r>
      <w:r>
        <w:rPr>
          <w:sz w:val="24"/>
          <w:rFonts w:ascii="Garamond" w:hAnsi="Garamond"/>
        </w:rPr>
        <w:t xml:space="preserve"> </w:t>
      </w:r>
    </w:p>
    <w:p w14:paraId="425838E4" w14:textId="5781235B" w:rsidR="006D6021" w:rsidRPr="008E5B84" w:rsidRDefault="007C12A7" w:rsidP="007C12A7">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7 - [...].“</w:t>
      </w:r>
    </w:p>
    <w:p w14:paraId="4D8B5014" w14:textId="77777777" w:rsidR="006D6021" w:rsidRPr="008E5B84" w:rsidRDefault="00311339">
      <w:pPr>
        <w:shd w:val="clear" w:color="auto" w:fill="FFFFFF"/>
        <w:suppressAutoHyphens w:val="0"/>
        <w:spacing w:after="225" w:line="390" w:lineRule="atLeast"/>
        <w:jc w:val="center"/>
        <w:textAlignment w:val="auto"/>
        <w:rPr>
          <w:sz w:val="24"/>
          <w:szCs w:val="24"/>
          <w:rFonts w:ascii="Garamond" w:hAnsi="Garamond"/>
        </w:rPr>
      </w:pPr>
      <w:r>
        <w:rPr>
          <w:sz w:val="24"/>
          <w:rFonts w:ascii="Garamond" w:hAnsi="Garamond"/>
        </w:rPr>
        <w:t xml:space="preserve">Článek 3</w:t>
      </w:r>
    </w:p>
    <w:p w14:paraId="748BF384" w14:textId="77777777" w:rsidR="006D6021" w:rsidRPr="008E5B84" w:rsidRDefault="00311339">
      <w:pPr>
        <w:shd w:val="clear" w:color="auto" w:fill="FFFFFF"/>
        <w:suppressAutoHyphens w:val="0"/>
        <w:spacing w:after="225" w:line="390" w:lineRule="atLeast"/>
        <w:jc w:val="center"/>
        <w:textAlignment w:val="auto"/>
        <w:rPr>
          <w:sz w:val="24"/>
          <w:szCs w:val="24"/>
          <w:rFonts w:ascii="Garamond" w:hAnsi="Garamond"/>
        </w:rPr>
      </w:pPr>
      <w:r>
        <w:t xml:space="preserve">Doplnění </w:t>
      </w:r>
      <w:hyperlink r:id="rId22" w:tooltip="Legislativní nařízení č. 152-D/2017" w:history="1">
        <w:r>
          <w:rPr>
            <w:sz w:val="24"/>
            <w:rFonts w:ascii="Garamond" w:hAnsi="Garamond"/>
          </w:rPr>
          <w:t xml:space="preserve">legislativního nařízení č. 152-D/2017</w:t>
        </w:r>
      </w:hyperlink>
      <w:r>
        <w:t xml:space="preserve"> ze dne 11. Prosince</w:t>
      </w:r>
    </w:p>
    <w:p w14:paraId="380A1081" w14:textId="6C021E2E" w:rsidR="006D6021" w:rsidRPr="008E5B84" w:rsidRDefault="00311339">
      <w:pPr>
        <w:shd w:val="clear" w:color="auto" w:fill="FFFFFF"/>
        <w:suppressAutoHyphens w:val="0"/>
        <w:spacing w:after="225" w:line="390" w:lineRule="atLeast"/>
        <w:jc w:val="both"/>
        <w:textAlignment w:val="auto"/>
        <w:rPr>
          <w:sz w:val="24"/>
          <w:szCs w:val="24"/>
          <w:rFonts w:ascii="Garamond" w:hAnsi="Garamond"/>
        </w:rPr>
      </w:pPr>
      <w:r>
        <w:t xml:space="preserve">Do </w:t>
      </w:r>
      <w:hyperlink r:id="rId23" w:tooltip="Legislativní nařízení č. 152-D/2017" w:history="1">
        <w:r>
          <w:rPr>
            <w:sz w:val="24"/>
            <w:rFonts w:ascii="Garamond" w:hAnsi="Garamond"/>
          </w:rPr>
          <w:t xml:space="preserve">legislativního nařízení č. 152-D/2017</w:t>
        </w:r>
      </w:hyperlink>
      <w:r>
        <w:t xml:space="preserve"> ze dne 11. prosince se v současném znění doplňuje článek 20-A, který zní:</w:t>
      </w:r>
    </w:p>
    <w:p w14:paraId="752800F2" w14:textId="77777777" w:rsidR="006D6021" w:rsidRPr="008E5B84" w:rsidRDefault="00311339">
      <w:pPr>
        <w:widowControl w:val="0"/>
        <w:spacing w:after="120" w:line="360" w:lineRule="auto"/>
        <w:jc w:val="center"/>
        <w:rPr>
          <w:sz w:val="24"/>
          <w:szCs w:val="24"/>
          <w:rFonts w:ascii="Garamond" w:hAnsi="Garamond"/>
        </w:rPr>
      </w:pPr>
      <w:r>
        <w:rPr>
          <w:sz w:val="24"/>
          <w:rFonts w:ascii="Garamond" w:hAnsi="Garamond"/>
        </w:rPr>
        <w:t xml:space="preserve">„Článek 20-A</w:t>
      </w:r>
    </w:p>
    <w:p w14:paraId="1AB94D2F" w14:textId="77777777" w:rsidR="006D6021" w:rsidRPr="008E5B84" w:rsidRDefault="00311339">
      <w:pPr>
        <w:widowControl w:val="0"/>
        <w:spacing w:after="120" w:line="360" w:lineRule="auto"/>
        <w:jc w:val="center"/>
        <w:rPr>
          <w:sz w:val="24"/>
          <w:szCs w:val="24"/>
          <w:rFonts w:ascii="Garamond" w:hAnsi="Garamond"/>
        </w:rPr>
      </w:pPr>
      <w:r>
        <w:rPr>
          <w:sz w:val="24"/>
          <w:rFonts w:ascii="Garamond" w:hAnsi="Garamond"/>
        </w:rPr>
        <w:t xml:space="preserve">Odpovědnost zprostředkujícího poskytovatele síťových služeb</w:t>
      </w:r>
      <w:r>
        <w:rPr>
          <w:sz w:val="24"/>
          <w:rFonts w:ascii="Garamond" w:hAnsi="Garamond"/>
        </w:rPr>
        <w:t xml:space="preserve"> </w:t>
      </w:r>
    </w:p>
    <w:p w14:paraId="51D2D4EC" w14:textId="77777777" w:rsidR="006D6021" w:rsidRPr="008E5B84" w:rsidRDefault="00311339">
      <w:pPr>
        <w:numPr>
          <w:ilvl w:val="0"/>
          <w:numId w:val="6"/>
        </w:numPr>
        <w:spacing w:after="0" w:line="360" w:lineRule="auto"/>
        <w:ind w:left="993"/>
        <w:jc w:val="both"/>
        <w:rPr>
          <w:sz w:val="24"/>
          <w:szCs w:val="24"/>
          <w:rFonts w:ascii="Garamond" w:hAnsi="Garamond"/>
        </w:rPr>
      </w:pPr>
      <w:r>
        <w:rPr>
          <w:sz w:val="24"/>
          <w:rFonts w:ascii="Garamond" w:hAnsi="Garamond"/>
        </w:rPr>
        <w:t xml:space="preserve">Zprostředkující poskytovatel počítačově zprostředkovaných komunikačních služeb, který není pro účely tohoto legislativního nařízení považován za výrobce, ale který usnadňuje prostřednictvím elektronického rozhraní, jako je trh, platforma, portál nebo podobné zařízení, prodej na dálku nebo dodávku výrobků, na něž se vztahuje zásada rozšířené odpovědnosti výrobce jménem třetí strany, požádá o tyto informace, aby prokázal splnění povinností týkajících se:</w:t>
      </w:r>
    </w:p>
    <w:p w14:paraId="203F3B33" w14:textId="77777777" w:rsidR="006D6021" w:rsidRPr="008E5B84" w:rsidRDefault="00311339">
      <w:pPr>
        <w:numPr>
          <w:ilvl w:val="1"/>
          <w:numId w:val="6"/>
        </w:numPr>
        <w:spacing w:after="120" w:line="360" w:lineRule="auto"/>
        <w:ind w:left="1560" w:hanging="284"/>
        <w:jc w:val="both"/>
        <w:rPr>
          <w:sz w:val="24"/>
          <w:szCs w:val="24"/>
          <w:rFonts w:ascii="Garamond" w:hAnsi="Garamond"/>
        </w:rPr>
      </w:pPr>
      <w:r>
        <w:rPr>
          <w:sz w:val="24"/>
          <w:rFonts w:ascii="Garamond" w:hAnsi="Garamond"/>
        </w:rPr>
        <w:t xml:space="preserve">Zadávání a každoročního předkládání údajů SIRER v souladu s čl. 19 odst. 1;</w:t>
      </w:r>
    </w:p>
    <w:p w14:paraId="34CEE8B9" w14:textId="77777777" w:rsidR="006D6021" w:rsidRPr="008E5B84" w:rsidRDefault="00311339">
      <w:pPr>
        <w:numPr>
          <w:ilvl w:val="1"/>
          <w:numId w:val="6"/>
        </w:numPr>
        <w:spacing w:after="120" w:line="360" w:lineRule="auto"/>
        <w:ind w:left="1560" w:hanging="284"/>
        <w:jc w:val="both"/>
        <w:rPr>
          <w:sz w:val="24"/>
          <w:szCs w:val="24"/>
          <w:rFonts w:ascii="Garamond" w:hAnsi="Garamond"/>
        </w:rPr>
      </w:pPr>
      <w:r>
        <w:rPr>
          <w:sz w:val="24"/>
          <w:rFonts w:ascii="Garamond" w:hAnsi="Garamond"/>
        </w:rPr>
        <w:t xml:space="preserve">Přijetí jednoho ze systémů stanovených v čl. 7 odst. 1 pro typ nebo kategorii výrobků dostupných na platformě.</w:t>
      </w:r>
    </w:p>
    <w:p w14:paraId="00C2C8D8" w14:textId="77777777" w:rsidR="006D6021" w:rsidRPr="008E5B84" w:rsidRDefault="00311339">
      <w:pPr>
        <w:numPr>
          <w:ilvl w:val="0"/>
          <w:numId w:val="6"/>
        </w:numPr>
        <w:spacing w:after="0" w:line="360" w:lineRule="auto"/>
        <w:ind w:left="993"/>
        <w:jc w:val="both"/>
        <w:rPr>
          <w:sz w:val="24"/>
          <w:szCs w:val="24"/>
          <w:rFonts w:ascii="Garamond" w:hAnsi="Garamond"/>
        </w:rPr>
      </w:pPr>
      <w:r>
        <w:rPr>
          <w:sz w:val="24"/>
          <w:rFonts w:ascii="Garamond" w:hAnsi="Garamond"/>
        </w:rPr>
        <w:t xml:space="preserve">Pro účely předchozího odstavce vyžaduje zprostředkovatel počítačově zprostředkovaných komunikačních služeb dotčené informace jako předpoklad pro registraci na platformě a pro účely smluvního řízení a následně každoročně aktualizuje tyto informace.</w:t>
      </w:r>
    </w:p>
    <w:p w14:paraId="4B9FAC75" w14:textId="77777777" w:rsidR="006D6021" w:rsidRDefault="00311339">
      <w:pPr>
        <w:numPr>
          <w:ilvl w:val="0"/>
          <w:numId w:val="6"/>
        </w:numPr>
        <w:spacing w:after="0" w:line="360" w:lineRule="auto"/>
        <w:ind w:left="993"/>
        <w:jc w:val="both"/>
        <w:rPr>
          <w:sz w:val="24"/>
          <w:szCs w:val="24"/>
          <w:rFonts w:ascii="Garamond" w:hAnsi="Garamond"/>
        </w:rPr>
      </w:pPr>
      <w:r>
        <w:rPr>
          <w:sz w:val="24"/>
          <w:rFonts w:ascii="Garamond" w:hAnsi="Garamond"/>
        </w:rPr>
        <w:t xml:space="preserve">Zprostředkující poskytovatel počítačově zprostředkovaných komunikačních služeb, který usnadňuje používání elektronického rozhraní, jako je trh, platforma, portál nebo podobné zařízení, prodej na dálku nebo dodávka použitých částí OEEZ a VFV k opětovnému použití, požádá prodejce o informace prokazující splnění povinnosti zajistit, aby použité části pocházely od provozovatelů, kteří mají licenci na demontáž, a mimo jiné požaduje informace o číslu nabyvatele licence, které provozovatel vyřazení z provozu uveřejnil na platformě.“</w:t>
      </w:r>
    </w:p>
    <w:p w14:paraId="41D1684A" w14:textId="77777777" w:rsidR="00E262CE" w:rsidRPr="008E5B84" w:rsidRDefault="00E262CE" w:rsidP="002E3B2F">
      <w:pPr>
        <w:spacing w:after="0" w:line="360" w:lineRule="auto"/>
        <w:ind w:left="993"/>
        <w:jc w:val="both"/>
        <w:rPr>
          <w:rFonts w:ascii="Garamond" w:hAnsi="Garamond"/>
          <w:sz w:val="24"/>
          <w:szCs w:val="24"/>
        </w:rPr>
      </w:pPr>
    </w:p>
    <w:p w14:paraId="6416550A" w14:textId="77777777" w:rsidR="006D6021" w:rsidRPr="008E5B84" w:rsidRDefault="00311339">
      <w:pPr>
        <w:widowControl w:val="0"/>
        <w:tabs>
          <w:tab w:val="left" w:pos="142"/>
        </w:tabs>
        <w:spacing w:after="120" w:line="360" w:lineRule="auto"/>
        <w:jc w:val="center"/>
        <w:rPr>
          <w:sz w:val="24"/>
          <w:szCs w:val="24"/>
          <w:rFonts w:ascii="Garamond" w:eastAsia="Times New Roman" w:hAnsi="Garamond" w:cs="Calibri Light"/>
        </w:rPr>
      </w:pPr>
      <w:r>
        <w:rPr>
          <w:sz w:val="24"/>
          <w:rFonts w:ascii="Garamond" w:hAnsi="Garamond"/>
        </w:rPr>
        <w:t xml:space="preserve">Článek 4</w:t>
      </w:r>
    </w:p>
    <w:p w14:paraId="47C9561F" w14:textId="77777777" w:rsidR="006D6021" w:rsidRPr="008E5B84" w:rsidRDefault="00311339">
      <w:pPr>
        <w:widowControl w:val="0"/>
        <w:tabs>
          <w:tab w:val="left" w:pos="142"/>
        </w:tabs>
        <w:spacing w:after="120" w:line="360" w:lineRule="auto"/>
        <w:jc w:val="center"/>
        <w:rPr>
          <w:sz w:val="24"/>
          <w:szCs w:val="24"/>
          <w:rFonts w:ascii="Garamond" w:eastAsia="Times New Roman" w:hAnsi="Garamond" w:cs="Calibri Light"/>
        </w:rPr>
      </w:pPr>
      <w:r>
        <w:rPr>
          <w:sz w:val="24"/>
          <w:rFonts w:ascii="Garamond" w:hAnsi="Garamond"/>
        </w:rPr>
        <w:t xml:space="preserve">Přechodná opatření</w:t>
      </w:r>
      <w:r>
        <w:rPr>
          <w:sz w:val="24"/>
          <w:rFonts w:ascii="Garamond" w:hAnsi="Garamond"/>
        </w:rPr>
        <w:t xml:space="preserve"> </w:t>
      </w:r>
    </w:p>
    <w:p w14:paraId="11F9B5E9" w14:textId="77777777" w:rsidR="006D6021" w:rsidRPr="008E5B84" w:rsidRDefault="00311339" w:rsidP="008E5B84">
      <w:pPr>
        <w:pStyle w:val="ListParagraph"/>
        <w:widowControl w:val="0"/>
        <w:numPr>
          <w:ilvl w:val="0"/>
          <w:numId w:val="7"/>
        </w:numPr>
        <w:spacing w:after="120" w:line="360" w:lineRule="auto"/>
        <w:ind w:left="993" w:hanging="709"/>
        <w:jc w:val="both"/>
        <w:rPr>
          <w:sz w:val="24"/>
          <w:szCs w:val="24"/>
          <w:rFonts w:ascii="Garamond" w:hAnsi="Garamond"/>
        </w:rPr>
      </w:pPr>
      <w:r>
        <w:rPr>
          <w:sz w:val="24"/>
          <w:rFonts w:ascii="Garamond" w:hAnsi="Garamond"/>
        </w:rPr>
        <w:t xml:space="preserve">Ustanovení čl. 8 odst. 5 legislativního nařízení č. 152-D/2017 ze dne 11. prosince ve znění tohoto legislativního nařízení budou platit jeden rok po vstupu tohoto legislativního nařízení v platnost.</w:t>
      </w:r>
      <w:r>
        <w:rPr>
          <w:sz w:val="24"/>
          <w:rFonts w:ascii="Garamond" w:hAnsi="Garamond"/>
        </w:rPr>
        <w:t xml:space="preserve"> </w:t>
      </w:r>
    </w:p>
    <w:p w14:paraId="33C46C89" w14:textId="77777777" w:rsidR="006D6021" w:rsidRPr="008E5B84" w:rsidRDefault="00311339" w:rsidP="008E5B84">
      <w:pPr>
        <w:pStyle w:val="ListParagraph"/>
        <w:widowControl w:val="0"/>
        <w:numPr>
          <w:ilvl w:val="0"/>
          <w:numId w:val="7"/>
        </w:numPr>
        <w:spacing w:after="120" w:line="360" w:lineRule="auto"/>
        <w:ind w:left="993" w:hanging="710"/>
        <w:jc w:val="both"/>
        <w:rPr>
          <w:sz w:val="24"/>
          <w:szCs w:val="24"/>
          <w:rFonts w:ascii="Garamond" w:hAnsi="Garamond"/>
        </w:rPr>
      </w:pPr>
      <w:r>
        <w:rPr>
          <w:sz w:val="24"/>
          <w:rFonts w:ascii="Garamond" w:hAnsi="Garamond"/>
        </w:rPr>
        <w:t xml:space="preserve">Ustanovení čl. 8 odst. 6 legislativního nařízení č. 152-D/2017 ze dne 11. prosince ve znění tohoto legislativního nařízení budou platit dva roky po vstupu tohoto legislativního nařízení v platnost.</w:t>
      </w:r>
    </w:p>
    <w:p w14:paraId="118482CA" w14:textId="77777777" w:rsidR="006D6021" w:rsidRPr="008E5B84" w:rsidRDefault="00311339" w:rsidP="008E5B84">
      <w:pPr>
        <w:pStyle w:val="ListParagraph"/>
        <w:widowControl w:val="0"/>
        <w:numPr>
          <w:ilvl w:val="0"/>
          <w:numId w:val="7"/>
        </w:numPr>
        <w:spacing w:after="120" w:line="360" w:lineRule="auto"/>
        <w:ind w:left="993" w:hanging="710"/>
        <w:jc w:val="both"/>
        <w:rPr>
          <w:sz w:val="24"/>
          <w:szCs w:val="24"/>
          <w:rFonts w:ascii="Garamond" w:hAnsi="Garamond"/>
        </w:rPr>
      </w:pPr>
      <w:r>
        <w:rPr>
          <w:sz w:val="24"/>
          <w:rFonts w:ascii="Garamond" w:hAnsi="Garamond"/>
        </w:rPr>
        <w:t xml:space="preserve">Prvním rokem plnění povinnosti stanovené v čl. 8 odst. 8 legislativního nařízení č. 152-D/2017 ze dne 11. prosince, ve znění tohoto legislativního nařízení, je rok 2022, s ohledem na rok 2021, aniž je dotčen odstavec 9 uvedeného článku, a za předpokladu, že k tomuto dni existují kvalifikovaní ověřovatelé.</w:t>
      </w:r>
    </w:p>
    <w:p w14:paraId="239A29A5" w14:textId="77777777" w:rsidR="006D6021" w:rsidRPr="008E5B84" w:rsidRDefault="00311339" w:rsidP="008E5B84">
      <w:pPr>
        <w:pStyle w:val="ListParagraph"/>
        <w:widowControl w:val="0"/>
        <w:numPr>
          <w:ilvl w:val="0"/>
          <w:numId w:val="7"/>
        </w:numPr>
        <w:spacing w:after="120" w:line="360" w:lineRule="auto"/>
        <w:ind w:left="993" w:hanging="710"/>
        <w:jc w:val="both"/>
        <w:rPr>
          <w:sz w:val="24"/>
          <w:szCs w:val="24"/>
          <w:rFonts w:ascii="Garamond" w:hAnsi="Garamond"/>
        </w:rPr>
      </w:pPr>
      <w:r>
        <w:rPr>
          <w:sz w:val="24"/>
          <w:rFonts w:ascii="Garamond" w:hAnsi="Garamond"/>
        </w:rPr>
        <w:t xml:space="preserve">Ustanovení čl. 28 odst. 4 legislativního nařízení č. 152-D/2017 ze dne 11. prosince ve znění tohoto legislativního nařízení budou platit dva roky po vstupu tohoto legislativního nařízení v platnost.</w:t>
      </w:r>
    </w:p>
    <w:p w14:paraId="561C5A3C" w14:textId="77777777" w:rsidR="00FA19BE" w:rsidRDefault="00FA19BE">
      <w:pPr>
        <w:jc w:val="center"/>
        <w:rPr>
          <w:rFonts w:ascii="Garamond" w:hAnsi="Garamond"/>
          <w:sz w:val="24"/>
          <w:szCs w:val="24"/>
        </w:rPr>
      </w:pPr>
    </w:p>
    <w:p w14:paraId="3AA09853" w14:textId="77777777" w:rsidR="00FA19BE" w:rsidRPr="008E5B84" w:rsidRDefault="00FA19BE" w:rsidP="00FA19BE">
      <w:pPr>
        <w:jc w:val="center"/>
        <w:rPr>
          <w:sz w:val="24"/>
          <w:szCs w:val="24"/>
          <w:rFonts w:ascii="Garamond" w:hAnsi="Garamond"/>
        </w:rPr>
      </w:pPr>
      <w:r>
        <w:rPr>
          <w:sz w:val="24"/>
          <w:rFonts w:ascii="Garamond" w:hAnsi="Garamond"/>
        </w:rPr>
        <w:t xml:space="preserve">Článek 5</w:t>
      </w:r>
    </w:p>
    <w:p w14:paraId="3E008870" w14:textId="2B7749B8" w:rsidR="00FA19BE" w:rsidRPr="008E5B84" w:rsidRDefault="00FA19BE" w:rsidP="00FA19BE">
      <w:pPr>
        <w:jc w:val="center"/>
        <w:rPr>
          <w:sz w:val="24"/>
          <w:szCs w:val="24"/>
          <w:rFonts w:ascii="Garamond" w:hAnsi="Garamond"/>
        </w:rPr>
      </w:pPr>
      <w:r>
        <w:rPr>
          <w:sz w:val="24"/>
          <w:rFonts w:ascii="Garamond" w:hAnsi="Garamond"/>
        </w:rPr>
        <w:t xml:space="preserve">Zrušení</w:t>
      </w:r>
    </w:p>
    <w:p w14:paraId="357EF3D3" w14:textId="36BD9C91" w:rsidR="00FA19BE" w:rsidRPr="008E5B84" w:rsidRDefault="00FA19BE" w:rsidP="00FA19BE">
      <w:pPr>
        <w:shd w:val="clear" w:color="auto" w:fill="FFFFFF"/>
        <w:suppressAutoHyphens w:val="0"/>
        <w:spacing w:after="225" w:line="390" w:lineRule="atLeast"/>
        <w:jc w:val="both"/>
        <w:textAlignment w:val="auto"/>
        <w:rPr>
          <w:sz w:val="24"/>
          <w:szCs w:val="24"/>
          <w:rFonts w:ascii="Garamond" w:hAnsi="Garamond"/>
        </w:rPr>
      </w:pPr>
      <w:r>
        <w:rPr>
          <w:sz w:val="24"/>
          <w:rFonts w:ascii="Garamond" w:hAnsi="Garamond"/>
        </w:rPr>
        <w:t xml:space="preserve">Článek 28 odst. 1 legislativního nařízení 152-D/2017 ze dne 11. prosince, ve znění zákona č. 69/2018 ze dne 26. prosince a 41/2019 ze dne 21. června, legislativním nařízením č. 86/2020 ze dne 14. října a pozměněným a znovu zveřejněným legislativním nařízením č. 102-D/2020 ze dne 10. prosince.</w:t>
      </w:r>
      <w:r>
        <w:rPr>
          <w:sz w:val="24"/>
          <w:rFonts w:ascii="Garamond" w:hAnsi="Garamond"/>
        </w:rPr>
        <w:t xml:space="preserve"> </w:t>
      </w:r>
    </w:p>
    <w:p w14:paraId="18BEA12B" w14:textId="77777777" w:rsidR="00FA19BE" w:rsidRDefault="00FA19BE">
      <w:pPr>
        <w:jc w:val="center"/>
        <w:rPr>
          <w:rFonts w:ascii="Garamond" w:hAnsi="Garamond"/>
          <w:sz w:val="24"/>
          <w:szCs w:val="24"/>
        </w:rPr>
      </w:pPr>
    </w:p>
    <w:p w14:paraId="2595911C" w14:textId="07A0F7C4" w:rsidR="006D6021" w:rsidRPr="008E5B84" w:rsidRDefault="00311339">
      <w:pPr>
        <w:jc w:val="center"/>
        <w:rPr>
          <w:sz w:val="24"/>
          <w:szCs w:val="24"/>
          <w:rFonts w:ascii="Garamond" w:hAnsi="Garamond"/>
        </w:rPr>
      </w:pPr>
      <w:r>
        <w:rPr>
          <w:sz w:val="24"/>
          <w:rFonts w:ascii="Garamond" w:hAnsi="Garamond"/>
        </w:rPr>
        <w:t xml:space="preserve">Článek 6</w:t>
      </w:r>
    </w:p>
    <w:p w14:paraId="75EC9DA9" w14:textId="77777777" w:rsidR="006D6021" w:rsidRPr="008E5B84" w:rsidRDefault="00311339">
      <w:pPr>
        <w:jc w:val="center"/>
        <w:rPr>
          <w:sz w:val="24"/>
          <w:szCs w:val="24"/>
          <w:rFonts w:ascii="Garamond" w:hAnsi="Garamond"/>
        </w:rPr>
      </w:pPr>
      <w:r>
        <w:rPr>
          <w:sz w:val="24"/>
          <w:rFonts w:ascii="Garamond" w:hAnsi="Garamond"/>
        </w:rPr>
        <w:t xml:space="preserve">Nabytí účinnosti</w:t>
      </w:r>
    </w:p>
    <w:p w14:paraId="116948F8" w14:textId="77777777" w:rsidR="006D6021" w:rsidRPr="008E5B84" w:rsidRDefault="00311339" w:rsidP="008E5B84">
      <w:pPr>
        <w:shd w:val="clear" w:color="auto" w:fill="FFFFFF"/>
        <w:suppressAutoHyphens w:val="0"/>
        <w:spacing w:after="225" w:line="390" w:lineRule="atLeast"/>
        <w:jc w:val="both"/>
        <w:textAlignment w:val="auto"/>
        <w:rPr>
          <w:sz w:val="24"/>
          <w:szCs w:val="24"/>
          <w:rFonts w:ascii="Garamond" w:hAnsi="Garamond"/>
        </w:rPr>
      </w:pPr>
      <w:r>
        <w:rPr>
          <w:sz w:val="24"/>
          <w:rFonts w:ascii="Garamond" w:hAnsi="Garamond"/>
        </w:rPr>
        <w:t xml:space="preserve">Toto legislativní nařízení vstupuje v platnost prvním dnem po jeho zveřejnění.</w:t>
      </w:r>
      <w:r>
        <w:rPr>
          <w:sz w:val="24"/>
          <w:rFonts w:ascii="Garamond" w:hAnsi="Garamond"/>
        </w:rPr>
        <w:t xml:space="preserve"> </w:t>
      </w:r>
    </w:p>
    <w:sectPr w:rsidR="006D6021" w:rsidRPr="008E5B84">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5514C" w14:textId="77777777" w:rsidR="00071555" w:rsidRDefault="00071555">
      <w:pPr>
        <w:spacing w:after="0"/>
      </w:pPr>
      <w:r>
        <w:separator/>
      </w:r>
    </w:p>
  </w:endnote>
  <w:endnote w:type="continuationSeparator" w:id="0">
    <w:p w14:paraId="3A09787D" w14:textId="77777777" w:rsidR="00071555" w:rsidRDefault="000715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3DC03" w14:textId="77777777" w:rsidR="00071555" w:rsidRDefault="00071555">
      <w:pPr>
        <w:spacing w:after="0"/>
      </w:pPr>
      <w:r>
        <w:rPr>
          <w:color w:val="000000"/>
        </w:rPr>
        <w:separator/>
      </w:r>
    </w:p>
  </w:footnote>
  <w:footnote w:type="continuationSeparator" w:id="0">
    <w:p w14:paraId="66F4E6EC" w14:textId="77777777" w:rsidR="00071555" w:rsidRDefault="000715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13657"/>
    <w:multiLevelType w:val="multilevel"/>
    <w:tmpl w:val="D05AC05A"/>
    <w:lvl w:ilvl="0">
      <w:start w:val="6"/>
      <w:numFmt w:val="decimal"/>
      <w:lvlText w:val="%1 -"/>
      <w:lvlJc w:val="left"/>
      <w:pPr>
        <w:ind w:left="100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97B0D"/>
    <w:multiLevelType w:val="hybridMultilevel"/>
    <w:tmpl w:val="80DE6CC4"/>
    <w:lvl w:ilvl="0" w:tplc="1800124C">
      <w:start w:val="1"/>
      <w:numFmt w:val="lowerLetter"/>
      <w:lvlText w:val="%1)"/>
      <w:lvlJc w:val="left"/>
      <w:pPr>
        <w:ind w:left="786" w:hanging="360"/>
      </w:pPr>
      <w:rPr>
        <w:rFonts w:hint="default"/>
        <w:i/>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2" w15:restartNumberingAfterBreak="0">
    <w:nsid w:val="0F392368"/>
    <w:multiLevelType w:val="multilevel"/>
    <w:tmpl w:val="F1BEC4E6"/>
    <w:lvl w:ilvl="0">
      <w:start w:val="1"/>
      <w:numFmt w:val="lowerLetter"/>
      <w:lvlText w:val="%1)"/>
      <w:lvlJc w:val="left"/>
      <w:pPr>
        <w:ind w:left="644" w:hanging="360"/>
      </w:pPr>
      <w:rPr>
        <w:i/>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33CE25F0"/>
    <w:multiLevelType w:val="multilevel"/>
    <w:tmpl w:val="45E6EE42"/>
    <w:lvl w:ilvl="0">
      <w:start w:val="1"/>
      <w:numFmt w:val="decimal"/>
      <w:lvlText w:val="%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41AC33B5"/>
    <w:multiLevelType w:val="multilevel"/>
    <w:tmpl w:val="D7103C30"/>
    <w:lvl w:ilvl="0">
      <w:start w:val="1"/>
      <w:numFmt w:val="decimal"/>
      <w:lvlText w:val="%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42DF1C07"/>
    <w:multiLevelType w:val="multilevel"/>
    <w:tmpl w:val="E982D0B8"/>
    <w:lvl w:ilvl="0">
      <w:start w:val="1"/>
      <w:numFmt w:val="decimal"/>
      <w:lvlText w:val="%1 - "/>
      <w:lvlJc w:val="right"/>
      <w:pPr>
        <w:ind w:left="720" w:hanging="360"/>
      </w:pPr>
    </w:lvl>
    <w:lvl w:ilvl="1">
      <w:start w:val="1"/>
      <w:numFmt w:val="lowerLetter"/>
      <w:lvlText w:val="%2)"/>
      <w:lvlJc w:val="left"/>
      <w:pPr>
        <w:ind w:left="1440" w:hanging="360"/>
      </w:pPr>
      <w:rPr>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7E471E"/>
    <w:multiLevelType w:val="multilevel"/>
    <w:tmpl w:val="30E8A17C"/>
    <w:lvl w:ilvl="0">
      <w:start w:val="1"/>
      <w:numFmt w:val="decimal"/>
      <w:lvlText w:val="%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75F63389"/>
    <w:multiLevelType w:val="multilevel"/>
    <w:tmpl w:val="BC00FD0C"/>
    <w:lvl w:ilvl="0">
      <w:start w:val="1"/>
      <w:numFmt w:val="decimal"/>
      <w:lvlText w:val="%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7DC659A2"/>
    <w:multiLevelType w:val="hybridMultilevel"/>
    <w:tmpl w:val="80DE6CC4"/>
    <w:lvl w:ilvl="0" w:tplc="1800124C">
      <w:start w:val="1"/>
      <w:numFmt w:val="lowerLetter"/>
      <w:lvlText w:val="%1)"/>
      <w:lvlJc w:val="left"/>
      <w:pPr>
        <w:ind w:left="786" w:hanging="360"/>
      </w:pPr>
      <w:rPr>
        <w:rFonts w:hint="default"/>
        <w:i/>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num w:numId="1">
    <w:abstractNumId w:val="4"/>
  </w:num>
  <w:num w:numId="2">
    <w:abstractNumId w:val="0"/>
  </w:num>
  <w:num w:numId="3">
    <w:abstractNumId w:val="3"/>
  </w:num>
  <w:num w:numId="4">
    <w:abstractNumId w:val="6"/>
  </w:num>
  <w:num w:numId="5">
    <w:abstractNumId w:val="2"/>
  </w:num>
  <w:num w:numId="6">
    <w:abstractNumId w:val="5"/>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dirty" w:grammar="dirty"/>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021"/>
    <w:rsid w:val="00071555"/>
    <w:rsid w:val="00166DDB"/>
    <w:rsid w:val="001C005C"/>
    <w:rsid w:val="00221984"/>
    <w:rsid w:val="002E3B2F"/>
    <w:rsid w:val="00311339"/>
    <w:rsid w:val="00381105"/>
    <w:rsid w:val="00401FF0"/>
    <w:rsid w:val="005370FE"/>
    <w:rsid w:val="00595413"/>
    <w:rsid w:val="005E437A"/>
    <w:rsid w:val="006D6021"/>
    <w:rsid w:val="00774954"/>
    <w:rsid w:val="007C12A7"/>
    <w:rsid w:val="007E1034"/>
    <w:rsid w:val="00815E10"/>
    <w:rsid w:val="008518A0"/>
    <w:rsid w:val="008600E0"/>
    <w:rsid w:val="008B3D7C"/>
    <w:rsid w:val="008E5B84"/>
    <w:rsid w:val="00913675"/>
    <w:rsid w:val="009207B5"/>
    <w:rsid w:val="009C3B2B"/>
    <w:rsid w:val="00A14A5D"/>
    <w:rsid w:val="00AB6977"/>
    <w:rsid w:val="00AC1D9E"/>
    <w:rsid w:val="00AE3FD7"/>
    <w:rsid w:val="00BB1999"/>
    <w:rsid w:val="00BC4ADA"/>
    <w:rsid w:val="00BD1E18"/>
    <w:rsid w:val="00C57444"/>
    <w:rsid w:val="00CD351B"/>
    <w:rsid w:val="00DB12E4"/>
    <w:rsid w:val="00E262CE"/>
    <w:rsid w:val="00E94D66"/>
    <w:rsid w:val="00FA19BE"/>
    <w:rsid w:val="00FB0FBD"/>
    <w:rsid w:val="00FB3CFA"/>
    <w:rsid w:val="00FD444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FEA0"/>
  <w15:docId w15:val="{CB9A8596-23B0-4A3D-8DE0-4AA2AE326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cs-CZ"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4">
    <w:name w:val="Título 4"/>
    <w:basedOn w:val="Normal"/>
    <w:next w:val="Normal"/>
    <w:pPr>
      <w:ind w:firstLine="284"/>
      <w:jc w:val="center"/>
      <w:outlineLvl w:val="3"/>
    </w:pPr>
    <w:rPr>
      <w:rFonts w:ascii="Times New Roman" w:hAnsi="Times New Roman"/>
      <w:sz w:val="20"/>
    </w:rPr>
  </w:style>
  <w:style w:type="character" w:customStyle="1" w:styleId="Ttulo4Carter">
    <w:name w:val="Título 4 Caráter"/>
    <w:basedOn w:val="DefaultParagraphFont"/>
    <w:rPr>
      <w:rFonts w:ascii="Times New Roman" w:hAnsi="Times New Roman" w:cs="Times New Roman"/>
      <w:sz w:val="20"/>
    </w:rPr>
  </w:style>
  <w:style w:type="paragraph" w:styleId="ListParagraph">
    <w:name w:val="List Paragraph"/>
    <w:basedOn w:val="Normal"/>
    <w:pPr>
      <w:ind w:left="720"/>
    </w:pPr>
  </w:style>
  <w:style w:type="character" w:customStyle="1" w:styleId="PargrafodaListaCarter">
    <w:name w:val="Parágrafo da Lista Caráter"/>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TextodebaloCarter">
    <w:name w:val="Texto de balão Caráter"/>
    <w:basedOn w:val="DefaultParagraphFont"/>
    <w:rPr>
      <w:rFonts w:ascii="Segoe UI" w:hAnsi="Segoe UI" w:cs="Segoe UI"/>
      <w:sz w:val="18"/>
      <w:szCs w:val="18"/>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TextodecomentrioCarter">
    <w:name w:val="Texto de comentário Caráter"/>
    <w:basedOn w:val="DefaultParagraphFont"/>
    <w:rPr>
      <w:sz w:val="20"/>
      <w:szCs w:val="20"/>
    </w:rPr>
  </w:style>
  <w:style w:type="paragraph" w:styleId="CommentSubject">
    <w:name w:val="annotation subject"/>
    <w:basedOn w:val="CommentText"/>
    <w:next w:val="CommentText"/>
    <w:rPr>
      <w:b/>
      <w:bCs/>
    </w:rPr>
  </w:style>
  <w:style w:type="character" w:customStyle="1" w:styleId="AssuntodecomentrioCarter">
    <w:name w:val="Assunto de comentário Caráter"/>
    <w:basedOn w:val="TextodecomentrioCarter"/>
    <w:rPr>
      <w:b/>
      <w:bCs/>
      <w:sz w:val="20"/>
      <w:szCs w:val="20"/>
    </w:rPr>
  </w:style>
  <w:style w:type="character" w:styleId="Hyperlink">
    <w:name w:val="Hyperlink"/>
    <w:basedOn w:val="DefaultParagraphFont"/>
    <w:rPr>
      <w:color w:val="0563C1"/>
      <w:u w:val="single"/>
    </w:rPr>
  </w:style>
  <w:style w:type="character" w:customStyle="1" w:styleId="MenoNoResolvida">
    <w:name w:val="Menção Não Resolvida"/>
    <w:basedOn w:val="DefaultParagraphFont"/>
    <w:rPr>
      <w:color w:val="605E5C"/>
      <w:shd w:val="clear" w:color="auto" w:fill="E1DFDD"/>
    </w:rPr>
  </w:style>
  <w:style w:type="paragraph" w:customStyle="1" w:styleId="Default">
    <w:name w:val="Default"/>
    <w:pPr>
      <w:autoSpaceDE w:val="0"/>
      <w:spacing w:after="0"/>
      <w:textAlignment w:val="auto"/>
    </w:pPr>
    <w:rPr>
      <w:rFonts w:cs="Calibri"/>
      <w:color w:val="000000"/>
      <w:sz w:val="24"/>
      <w:szCs w:val="24"/>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 standalone="yes"?>
<Relationships xmlns="http://schemas.openxmlformats.org/package/2006/relationships"><Relationship Id="rId8" Type="http://schemas.openxmlformats.org/officeDocument/2006/relationships/hyperlink" Target="https://dre.pt/web/guest/pesquisa/-/search/114337042/details/normal?l=1" TargetMode="External"/><Relationship Id="rId13" Type="http://schemas.openxmlformats.org/officeDocument/2006/relationships/hyperlink" Target="https://dre.pt/application/external/eurolex?12L0019" TargetMode="External"/><Relationship Id="rId18" Type="http://schemas.openxmlformats.org/officeDocument/2006/relationships/hyperlink" Target="https://dre.pt/web/guest/pesquisa/-/search/117484671/details/normal?l=1" TargetMode="External"/><Relationship Id="rId3" Type="http://schemas.openxmlformats.org/officeDocument/2006/relationships/styles" Target="styles.xml"/><Relationship Id="rId21" Type="http://schemas.openxmlformats.org/officeDocument/2006/relationships/hyperlink" Target="https://dre.pt/web/guest/pesquisa/-/search/114337042/details/normal?l=1" TargetMode="External"/><Relationship Id="rId7" Type="http://schemas.openxmlformats.org/officeDocument/2006/relationships/endnotes" Target="endnotes.xml"/><Relationship Id="rId12" Type="http://schemas.openxmlformats.org/officeDocument/2006/relationships/hyperlink" Target="https://dre.pt/application/external/eurolex?06L0066" TargetMode="External"/><Relationship Id="rId17" Type="http://schemas.openxmlformats.org/officeDocument/2006/relationships/hyperlink" Target="https://dre.pt/web/guest/pesquisa/-/search/114337042/details/normal?l=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re.pt/web/guest/pesquisa/-/search/114337042/details/normal?l=1" TargetMode="External"/><Relationship Id="rId20" Type="http://schemas.openxmlformats.org/officeDocument/2006/relationships/hyperlink" Target="https://dre.pt/web/guest/pesquisa/-/search/145359680/details/normal?l=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e.pt/application/external/eurolex?00L005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re.pt/application/external/eurolex?15L1535" TargetMode="External"/><Relationship Id="rId23" Type="http://schemas.openxmlformats.org/officeDocument/2006/relationships/hyperlink" Target="https://dre.pt/web/guest/pesquisa/-/search/114337042/details/normal?l=1" TargetMode="External"/><Relationship Id="rId10" Type="http://schemas.openxmlformats.org/officeDocument/2006/relationships/hyperlink" Target="https://dre.pt/application/external/eurolex?18L0852" TargetMode="External"/><Relationship Id="rId19" Type="http://schemas.openxmlformats.org/officeDocument/2006/relationships/hyperlink" Target="https://dre.pt/web/guest/pesquisa/-/search/122627506/details/normal?l=1" TargetMode="External"/><Relationship Id="rId4" Type="http://schemas.openxmlformats.org/officeDocument/2006/relationships/settings" Target="settings.xml"/><Relationship Id="rId9" Type="http://schemas.openxmlformats.org/officeDocument/2006/relationships/hyperlink" Target="https://dre.pt/application/external/eurolex?94L0062" TargetMode="External"/><Relationship Id="rId14" Type="http://schemas.openxmlformats.org/officeDocument/2006/relationships/hyperlink" Target="https://dre.pt/application/external/eurolex?18L0849" TargetMode="External"/><Relationship Id="rId22" Type="http://schemas.openxmlformats.org/officeDocument/2006/relationships/hyperlink" Target="https://dre.pt/web/guest/pesquisa/-/search/114337042/details/normal?l=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50415-889B-4084-922C-B491886F8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12</Pages>
  <Words>2233</Words>
  <Characters>12730</Characters>
  <Application>Microsoft Office Word</Application>
  <DocSecurity>0</DocSecurity>
  <Lines>106</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GSEAMB</dc:creator>
  <dc:description/>
  <cp:lastModifiedBy>Dimitris</cp:lastModifiedBy>
  <cp:revision>10</cp:revision>
  <dcterms:created xsi:type="dcterms:W3CDTF">2021-02-18T16:42:00Z</dcterms:created>
  <dcterms:modified xsi:type="dcterms:W3CDTF">2021-03-01T14:11:00Z</dcterms:modified>
</cp:coreProperties>
</file>