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7DE0A" w14:textId="77777777" w:rsidR="006D6021" w:rsidRPr="008E5B84" w:rsidRDefault="00311339">
      <w:pPr>
        <w:pStyle w:val="Ttulo4"/>
        <w:widowControl w:val="0"/>
        <w:spacing w:after="120" w:line="360" w:lineRule="auto"/>
        <w:ind w:firstLine="0"/>
        <w:jc w:val="both"/>
        <w:outlineLvl w:val="9"/>
        <w:rPr>
          <w:rFonts w:ascii="Garamond" w:hAnsi="Garamond"/>
          <w:sz w:val="24"/>
          <w:szCs w:val="24"/>
        </w:rPr>
      </w:pPr>
      <w:r>
        <w:rPr>
          <w:rFonts w:ascii="Garamond" w:hAnsi="Garamond"/>
          <w:sz w:val="24"/>
        </w:rPr>
        <w:t xml:space="preserve">DL No XX/2020 </w:t>
      </w:r>
    </w:p>
    <w:p w14:paraId="5D0DF49B" w14:textId="77777777" w:rsidR="006D6021" w:rsidRPr="008E5B84" w:rsidRDefault="00311339">
      <w:pPr>
        <w:pStyle w:val="Ttulo4"/>
        <w:widowControl w:val="0"/>
        <w:spacing w:after="120" w:line="360" w:lineRule="auto"/>
        <w:ind w:firstLine="0"/>
        <w:jc w:val="both"/>
        <w:outlineLvl w:val="9"/>
        <w:rPr>
          <w:rFonts w:ascii="Garamond" w:hAnsi="Garamond"/>
          <w:sz w:val="24"/>
          <w:szCs w:val="24"/>
        </w:rPr>
      </w:pPr>
      <w:bookmarkStart w:id="0" w:name="_Hlk61623095"/>
      <w:r>
        <w:t>Lovdekret nr. 102-D / 2020 af 10. december</w:t>
      </w:r>
      <w:bookmarkEnd w:id="0"/>
      <w:r>
        <w:t xml:space="preserve"> opdateret </w:t>
      </w:r>
      <w:hyperlink r:id="rId8" w:tooltip="Lovdekret nr. 152-D / 2017" w:history="1">
        <w:r>
          <w:rPr>
            <w:rFonts w:ascii="Garamond" w:hAnsi="Garamond"/>
            <w:sz w:val="24"/>
          </w:rPr>
          <w:t>lovdekret nr. 152-D / 2017</w:t>
        </w:r>
      </w:hyperlink>
      <w:r>
        <w:t xml:space="preserve"> af 11. december, der gennemfører </w:t>
      </w:r>
      <w:hyperlink r:id="rId9" w:tooltip="Link til EU-direktivet" w:history="1">
        <w:r>
          <w:rPr>
            <w:rFonts w:ascii="Garamond" w:hAnsi="Garamond"/>
            <w:sz w:val="24"/>
          </w:rPr>
          <w:t>Europa-Parlamentets</w:t>
        </w:r>
      </w:hyperlink>
      <w:r>
        <w:t xml:space="preserve"> og Rådets direktiv 94/62 / EF af 20. december 1994 om emballering til intern lovgivning og emballageaffald, som ændret ved Europa-Parlamentets og Rådets direktiv (EU) </w:t>
      </w:r>
      <w:hyperlink r:id="rId10" w:tooltip="Link til EU-direktivet" w:history="1">
        <w:r>
          <w:rPr>
            <w:rFonts w:ascii="Garamond" w:hAnsi="Garamond"/>
            <w:sz w:val="24"/>
          </w:rPr>
          <w:t>2018/852</w:t>
        </w:r>
      </w:hyperlink>
      <w:r>
        <w:t xml:space="preserve"> af 30. maj 2018 og direktiv </w:t>
      </w:r>
      <w:hyperlink r:id="rId11" w:tooltip="Link til EU-direktivet" w:history="1">
        <w:r>
          <w:rPr>
            <w:rFonts w:ascii="Garamond" w:hAnsi="Garamond"/>
            <w:sz w:val="24"/>
          </w:rPr>
          <w:t>2000/53/EF</w:t>
        </w:r>
      </w:hyperlink>
      <w:r>
        <w:t xml:space="preserve"> om udrangerede køretøjer, </w:t>
      </w:r>
      <w:hyperlink r:id="rId12" w:tooltip="Link til EU-direktivet" w:history="1">
        <w:r>
          <w:rPr>
            <w:rFonts w:ascii="Garamond" w:hAnsi="Garamond"/>
            <w:sz w:val="24"/>
          </w:rPr>
          <w:t>2006/66/Ef</w:t>
        </w:r>
      </w:hyperlink>
      <w:r>
        <w:t xml:space="preserve"> oom batterier og akkumulatorer og affald heraf og </w:t>
      </w:r>
      <w:hyperlink r:id="rId13" w:tooltip="Link til EU-direktivet" w:history="1">
        <w:r>
          <w:rPr>
            <w:rFonts w:ascii="Garamond" w:hAnsi="Garamond"/>
            <w:sz w:val="24"/>
          </w:rPr>
          <w:t>2012/19/EU</w:t>
        </w:r>
      </w:hyperlink>
      <w:r>
        <w:t xml:space="preserve"> om affald af elektrisk og elektronisk udstyr, som ændret ved Europa-Parlamentets og Rådets direktiv  (EU) </w:t>
      </w:r>
      <w:hyperlink r:id="rId14" w:tooltip="Link til EU-direktivet" w:history="1">
        <w:r>
          <w:rPr>
            <w:rFonts w:ascii="Garamond" w:hAnsi="Garamond"/>
            <w:sz w:val="24"/>
          </w:rPr>
          <w:t>2018/849</w:t>
        </w:r>
      </w:hyperlink>
      <w:r>
        <w:t xml:space="preserve"> af 30. maj 2018.</w:t>
      </w:r>
    </w:p>
    <w:p w14:paraId="7B6DC961" w14:textId="7C6704AB" w:rsidR="006D6021" w:rsidRPr="008E5B84" w:rsidRDefault="00311339">
      <w:pPr>
        <w:spacing w:after="120" w:line="360" w:lineRule="auto"/>
        <w:jc w:val="both"/>
        <w:rPr>
          <w:rFonts w:ascii="Garamond" w:hAnsi="Garamond"/>
          <w:sz w:val="24"/>
          <w:szCs w:val="24"/>
        </w:rPr>
      </w:pPr>
      <w:r>
        <w:t xml:space="preserve">For hurtigt at gennemføre disse direktiver og overholde informationsproceduren inden for tekniske forskrifter og regler for informationssamfundstjenester, der er fastsat i Europa-Parlamentets og Rådets  </w:t>
      </w:r>
      <w:hyperlink r:id="rId15" w:tooltip="Link til EU-direktivet" w:history="1">
        <w:r>
          <w:rPr>
            <w:rFonts w:ascii="Garamond" w:hAnsi="Garamond"/>
            <w:sz w:val="24"/>
          </w:rPr>
          <w:t>Direktiv 2015/1535/EU</w:t>
        </w:r>
      </w:hyperlink>
      <w:r>
        <w:t xml:space="preserve"> af 9. september 2015, yderligere nødvendigt ændringer til </w:t>
      </w:r>
      <w:hyperlink r:id="rId16" w:tooltip="Lovdekret nr. 152-D / 2017" w:history="1">
        <w:r>
          <w:rPr>
            <w:rFonts w:ascii="Garamond" w:hAnsi="Garamond"/>
            <w:sz w:val="24"/>
          </w:rPr>
          <w:t>lovdekret nr. 152-D / 2017</w:t>
        </w:r>
      </w:hyperlink>
      <w:r>
        <w:t xml:space="preserve"> af 11. december er indsendt til godkendelse på et senere tidspunkt.</w:t>
      </w:r>
      <w:r>
        <w:rPr>
          <w:rFonts w:ascii="Garamond" w:hAnsi="Garamond"/>
          <w:sz w:val="24"/>
        </w:rPr>
        <w:t xml:space="preserve"> </w:t>
      </w:r>
    </w:p>
    <w:p w14:paraId="3DD37DBB" w14:textId="6C301508" w:rsidR="006D6021" w:rsidRPr="008E5B84" w:rsidRDefault="00311339">
      <w:pPr>
        <w:spacing w:after="120" w:line="360" w:lineRule="auto"/>
        <w:jc w:val="both"/>
        <w:rPr>
          <w:rFonts w:ascii="Garamond" w:hAnsi="Garamond"/>
          <w:sz w:val="24"/>
          <w:szCs w:val="24"/>
        </w:rPr>
      </w:pPr>
      <w:r>
        <w:rPr>
          <w:rFonts w:ascii="Garamond" w:hAnsi="Garamond"/>
          <w:sz w:val="24"/>
        </w:rPr>
        <w:t xml:space="preserve">Denne lovdekret godkender således de ovennævnte opdateringer, især indførelse af mærkning af genanvendelig emballage og emballage, der administreres under deponeringssystemet, og mærkning af genanvendelig emballage med passende sorteringsinstruktioner. Den indeholder også en forpligtelse for operatører af affaldsbehandling til årligt at bevise over for licensgiveren, at kvalifikationskravene og gældende standarder er opfyldt af et dokument udstedt af kvalificerede verifikatorer. </w:t>
      </w:r>
    </w:p>
    <w:p w14:paraId="758B538F" w14:textId="77777777" w:rsidR="006D6021" w:rsidRPr="008E5B84" w:rsidRDefault="00311339">
      <w:pPr>
        <w:pStyle w:val="Ttulo4"/>
        <w:widowControl w:val="0"/>
        <w:spacing w:after="120" w:line="360" w:lineRule="auto"/>
        <w:ind w:firstLine="0"/>
        <w:jc w:val="left"/>
        <w:outlineLvl w:val="9"/>
        <w:rPr>
          <w:rFonts w:ascii="Garamond" w:hAnsi="Garamond"/>
          <w:sz w:val="24"/>
          <w:szCs w:val="24"/>
        </w:rPr>
      </w:pPr>
      <w:r>
        <w:rPr>
          <w:rFonts w:ascii="Garamond" w:hAnsi="Garamond"/>
          <w:sz w:val="24"/>
        </w:rPr>
        <w:t>De selvstyrende organer i de selvstyrende regioner er blevet hørt.</w:t>
      </w:r>
    </w:p>
    <w:p w14:paraId="7D1192FA"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Derfor:</w:t>
      </w:r>
    </w:p>
    <w:p w14:paraId="26406EBE"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I henhold til artikel 198, stk. 1, litra a), i grundloven bekendtgør regeringen hermed følgende:</w:t>
      </w:r>
    </w:p>
    <w:p w14:paraId="10E5347C" w14:textId="77777777" w:rsidR="006D6021" w:rsidRPr="008E5B84" w:rsidRDefault="006D6021">
      <w:pPr>
        <w:pStyle w:val="NormalWeb"/>
        <w:shd w:val="clear" w:color="auto" w:fill="FFFFFF"/>
        <w:spacing w:before="0" w:after="225" w:line="390" w:lineRule="atLeast"/>
        <w:jc w:val="both"/>
        <w:rPr>
          <w:rFonts w:ascii="Garamond" w:hAnsi="Garamond"/>
          <w:color w:val="333333"/>
        </w:rPr>
      </w:pPr>
    </w:p>
    <w:p w14:paraId="4D7E55DE" w14:textId="02B10543" w:rsidR="006D6021" w:rsidRPr="008E5B84" w:rsidRDefault="00BC4ADA" w:rsidP="00BC4ADA">
      <w:pPr>
        <w:suppressAutoHyphens w:val="0"/>
        <w:rPr>
          <w:rFonts w:ascii="Garamond" w:eastAsia="Times New Roman" w:hAnsi="Garamond"/>
          <w:color w:val="333333"/>
          <w:sz w:val="24"/>
          <w:szCs w:val="24"/>
        </w:rPr>
      </w:pPr>
      <w:r>
        <w:br w:type="page"/>
      </w:r>
    </w:p>
    <w:p w14:paraId="34A618C4" w14:textId="77777777" w:rsidR="006D6021" w:rsidRPr="008E5B84" w:rsidRDefault="00311339">
      <w:pPr>
        <w:pStyle w:val="Ttulo4"/>
        <w:widowControl w:val="0"/>
        <w:spacing w:after="120" w:line="360" w:lineRule="auto"/>
        <w:outlineLvl w:val="9"/>
        <w:rPr>
          <w:rFonts w:ascii="Garamond" w:hAnsi="Garamond"/>
          <w:sz w:val="24"/>
          <w:szCs w:val="24"/>
        </w:rPr>
      </w:pPr>
      <w:r>
        <w:rPr>
          <w:rFonts w:ascii="Garamond" w:hAnsi="Garamond"/>
          <w:sz w:val="24"/>
        </w:rPr>
        <w:lastRenderedPageBreak/>
        <w:t>Artikel 1</w:t>
      </w:r>
    </w:p>
    <w:p w14:paraId="6310E1C1" w14:textId="77777777" w:rsidR="006D6021" w:rsidRPr="008E5B84" w:rsidRDefault="00311339">
      <w:pPr>
        <w:pStyle w:val="Ttulo4"/>
        <w:widowControl w:val="0"/>
        <w:spacing w:after="120" w:line="360" w:lineRule="auto"/>
        <w:outlineLvl w:val="9"/>
        <w:rPr>
          <w:rFonts w:ascii="Garamond" w:hAnsi="Garamond"/>
          <w:sz w:val="24"/>
          <w:szCs w:val="24"/>
        </w:rPr>
      </w:pPr>
      <w:r>
        <w:rPr>
          <w:rFonts w:ascii="Garamond" w:hAnsi="Garamond"/>
          <w:sz w:val="24"/>
        </w:rPr>
        <w:t>Genstand</w:t>
      </w:r>
    </w:p>
    <w:p w14:paraId="19B19F0E" w14:textId="3AE3B598" w:rsidR="006D6021" w:rsidRPr="008E5B84" w:rsidRDefault="00311339">
      <w:pPr>
        <w:pStyle w:val="Ttulo4"/>
        <w:widowControl w:val="0"/>
        <w:spacing w:after="120" w:line="360" w:lineRule="auto"/>
        <w:ind w:firstLine="0"/>
        <w:jc w:val="both"/>
        <w:outlineLvl w:val="9"/>
        <w:rPr>
          <w:rFonts w:ascii="Garamond" w:hAnsi="Garamond"/>
          <w:sz w:val="24"/>
          <w:szCs w:val="24"/>
        </w:rPr>
      </w:pPr>
      <w:r>
        <w:t xml:space="preserve">Denne lovdekret foretager den femte ændring af </w:t>
      </w:r>
      <w:hyperlink r:id="rId17" w:tooltip="Lovdekret nr. 152-D / 2017" w:history="1">
        <w:r>
          <w:rPr>
            <w:rFonts w:ascii="Garamond" w:hAnsi="Garamond"/>
            <w:sz w:val="24"/>
          </w:rPr>
          <w:t>lovdekret nr. 152-D/2017</w:t>
        </w:r>
      </w:hyperlink>
      <w:r>
        <w:t xml:space="preserve"> af 11. december, som ændret ved lov nr. </w:t>
      </w:r>
      <w:hyperlink r:id="rId18" w:tooltip="Lov nr. 69/2018" w:history="1">
        <w:r>
          <w:rPr>
            <w:rFonts w:ascii="Garamond" w:hAnsi="Garamond"/>
            <w:sz w:val="24"/>
          </w:rPr>
          <w:t>69/2018</w:t>
        </w:r>
      </w:hyperlink>
      <w:r>
        <w:t xml:space="preserve"> af 26. december og </w:t>
      </w:r>
      <w:hyperlink r:id="rId19" w:tooltip="Lov nr. 41/2019" w:history="1">
        <w:r>
          <w:rPr>
            <w:rFonts w:ascii="Garamond" w:hAnsi="Garamond"/>
            <w:sz w:val="24"/>
          </w:rPr>
          <w:t>41/2019</w:t>
        </w:r>
      </w:hyperlink>
      <w:r>
        <w:t xml:space="preserve"> af 21. Juni, ved  </w:t>
      </w:r>
      <w:hyperlink r:id="rId20" w:tooltip="Lovdekret nr. 86/2020" w:history="1">
        <w:r>
          <w:rPr>
            <w:rFonts w:ascii="Garamond" w:hAnsi="Garamond"/>
            <w:sz w:val="24"/>
          </w:rPr>
          <w:t>lovdekret nr. 86/2020</w:t>
        </w:r>
      </w:hyperlink>
      <w:r>
        <w:t xml:space="preserve"> af 14. oktober og ændret og genudgivet ved lovdekret nr. 102-D / 2020 af 10. december.</w:t>
      </w:r>
      <w:r>
        <w:rPr>
          <w:rFonts w:ascii="Garamond" w:hAnsi="Garamond"/>
          <w:sz w:val="24"/>
        </w:rPr>
        <w:t xml:space="preserve"> </w:t>
      </w:r>
    </w:p>
    <w:p w14:paraId="11139F74" w14:textId="77777777" w:rsidR="006D6021" w:rsidRPr="008E5B84" w:rsidRDefault="00311339">
      <w:pPr>
        <w:jc w:val="center"/>
        <w:rPr>
          <w:rFonts w:ascii="Garamond" w:hAnsi="Garamond"/>
          <w:sz w:val="24"/>
          <w:szCs w:val="24"/>
        </w:rPr>
      </w:pPr>
      <w:r>
        <w:rPr>
          <w:rFonts w:ascii="Garamond" w:hAnsi="Garamond"/>
          <w:sz w:val="24"/>
        </w:rPr>
        <w:t>Artikel 2</w:t>
      </w:r>
    </w:p>
    <w:p w14:paraId="38D8E667" w14:textId="77777777" w:rsidR="006D6021" w:rsidRPr="008E5B84" w:rsidRDefault="00311339">
      <w:pPr>
        <w:jc w:val="center"/>
        <w:rPr>
          <w:rFonts w:ascii="Garamond" w:hAnsi="Garamond"/>
          <w:sz w:val="24"/>
          <w:szCs w:val="24"/>
        </w:rPr>
      </w:pPr>
      <w:r>
        <w:rPr>
          <w:rFonts w:ascii="Garamond" w:hAnsi="Garamond"/>
          <w:sz w:val="24"/>
        </w:rPr>
        <w:t>Ændring af lovdekret nr. 152-D / 2017 af 11. december</w:t>
      </w:r>
    </w:p>
    <w:p w14:paraId="740BDF45" w14:textId="1C138E32" w:rsidR="006D6021" w:rsidRPr="008E5B84" w:rsidRDefault="00311339">
      <w:pPr>
        <w:pStyle w:val="NormalWeb"/>
        <w:shd w:val="clear" w:color="auto" w:fill="FFFFFF"/>
        <w:spacing w:before="0" w:after="225" w:line="390" w:lineRule="atLeast"/>
        <w:jc w:val="both"/>
        <w:rPr>
          <w:rFonts w:ascii="Garamond" w:hAnsi="Garamond"/>
        </w:rPr>
      </w:pPr>
      <w:r>
        <w:t xml:space="preserve">Artikel 8, 23, 28 og 90 i </w:t>
      </w:r>
      <w:hyperlink r:id="rId21" w:tooltip="Lovdekret nr. 152-D / 2017" w:history="1">
        <w:r>
          <w:rPr>
            <w:rFonts w:ascii="Garamond" w:hAnsi="Garamond"/>
          </w:rPr>
          <w:t>lovdekret nr. 152-D/2017</w:t>
        </w:r>
      </w:hyperlink>
      <w:r>
        <w:t xml:space="preserve"> af 11. december erstattes i deres nuværende ordlyd af følgende:</w:t>
      </w:r>
    </w:p>
    <w:p w14:paraId="2CB88C12" w14:textId="77777777" w:rsidR="006D6021" w:rsidRPr="008E5B84" w:rsidRDefault="00311339">
      <w:pPr>
        <w:shd w:val="clear" w:color="auto" w:fill="FFFFFF"/>
        <w:suppressAutoHyphens w:val="0"/>
        <w:spacing w:after="225" w:line="390" w:lineRule="atLeast"/>
        <w:jc w:val="center"/>
        <w:textAlignment w:val="auto"/>
        <w:rPr>
          <w:rFonts w:ascii="Garamond" w:hAnsi="Garamond"/>
          <w:sz w:val="24"/>
          <w:szCs w:val="24"/>
        </w:rPr>
      </w:pPr>
      <w:r>
        <w:rPr>
          <w:rFonts w:ascii="Garamond" w:hAnsi="Garamond"/>
          <w:sz w:val="24"/>
        </w:rPr>
        <w:t>"Artikel 8</w:t>
      </w:r>
    </w:p>
    <w:p w14:paraId="3EE26575" w14:textId="77777777" w:rsidR="006D6021" w:rsidRPr="008E5B84" w:rsidRDefault="00311339">
      <w:pPr>
        <w:pStyle w:val="Ttulo4"/>
        <w:widowControl w:val="0"/>
        <w:spacing w:after="120" w:line="360" w:lineRule="auto"/>
        <w:outlineLvl w:val="9"/>
        <w:rPr>
          <w:rFonts w:ascii="Garamond" w:hAnsi="Garamond"/>
          <w:sz w:val="24"/>
          <w:szCs w:val="24"/>
        </w:rPr>
      </w:pPr>
      <w:r>
        <w:rPr>
          <w:rFonts w:ascii="Garamond" w:hAnsi="Garamond"/>
          <w:sz w:val="24"/>
        </w:rPr>
        <w:t>Kvalifikation af operatører til affaldsbehandling, herunder opbevaring</w:t>
      </w:r>
    </w:p>
    <w:p w14:paraId="0E5B07F5" w14:textId="4679E0F2"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Uden at det berører stk. 5 og 6, skal affaldsbehandlingsoperatører, herunder opbevaring, der opererer inden for de specifikke affaldsstrømme, være underlagt kvalifikationskrav til effektiv kontrol og sporbarhed af behandlet affald i overensstemmelse med målene og målene i denne lovdekret . </w:t>
      </w:r>
    </w:p>
    <w:p w14:paraId="554CFC4C" w14:textId="400163F5"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Kravene, der er nævnt i foregående afsnit, samt deres anvendelsesområde er fastlagt af det </w:t>
      </w:r>
      <w:r>
        <w:rPr>
          <w:rFonts w:ascii="Garamond" w:hAnsi="Garamond"/>
          <w:sz w:val="24"/>
          <w:shd w:val="clear" w:color="auto" w:fill="FFFFFF"/>
        </w:rPr>
        <w:t>portugisiske miljøagentur, I.P. (</w:t>
      </w:r>
      <w:r>
        <w:rPr>
          <w:rFonts w:ascii="Garamond" w:hAnsi="Garamond"/>
          <w:sz w:val="24"/>
        </w:rPr>
        <w:t xml:space="preserve">APA, I.P.), efter at have hørt de repræsentative sammenslutninger af affaldshåndteringsoperatører, licensmyndigheder, enheder med ansvar for forvaltning af integrerede affaldssystemer og andre enheder, som det finder relevante at høre under hensyntagen til tekniske kvalitet og effektivitetskriterier og annonceret på deres hjemmeside. </w:t>
      </w:r>
    </w:p>
    <w:p w14:paraId="0577D597"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  </w:t>
      </w:r>
    </w:p>
    <w:p w14:paraId="6149BD7F"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Kravene i de foregående afsnit er anført i tilladelser til affaldsbehandlingsoperatører, og deres overholdelse skal påvises i overensstemmelse med stk. 8 og 10. </w:t>
      </w:r>
    </w:p>
    <w:p w14:paraId="64F7A174"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Operatører af affaldsbehandling, herunder opbevaring, der opererer under den specifikke WEEE-strøm, skal certificeres af NP EN 50625-1: 2014 "Krav til indsamling, transport og behandling af WEEE - Del 1: Generelle krav og behandlinger ”med den opdaterede ordlyd og med den standard, der erstatter den.</w:t>
      </w:r>
    </w:p>
    <w:p w14:paraId="0AF9C3B3" w14:textId="77777777" w:rsidR="006D6021" w:rsidRPr="008E5B84" w:rsidRDefault="00311339">
      <w:pPr>
        <w:pStyle w:val="ListParagraph"/>
        <w:widowControl w:val="0"/>
        <w:numPr>
          <w:ilvl w:val="0"/>
          <w:numId w:val="2"/>
        </w:numPr>
        <w:spacing w:after="120" w:line="360" w:lineRule="auto"/>
        <w:ind w:right="567"/>
        <w:jc w:val="both"/>
        <w:rPr>
          <w:rFonts w:ascii="Garamond" w:hAnsi="Garamond"/>
          <w:sz w:val="24"/>
          <w:szCs w:val="24"/>
        </w:rPr>
      </w:pPr>
      <w:r>
        <w:rPr>
          <w:rFonts w:ascii="Garamond" w:hAnsi="Garamond"/>
          <w:sz w:val="24"/>
        </w:rPr>
        <w:lastRenderedPageBreak/>
        <w:t xml:space="preserve">Behandlingsoperatører af WEEE, der er klassificeret som farlige, skal ud over den certificering, der er omhandlet i foregående afsnit, certificeres efter den respektive standard i EN 50625-serien af standarder, nemlig for lamper (NP EN 50625-2-1: 2014) skærme og skærme (NP EN 50625-2-2: 2015) og temperaturreguleringsudstyr (EN 50625-2-3: 2017) med deres opdaterede ordlyd og efter de standarder, der erstatter dem. </w:t>
      </w:r>
    </w:p>
    <w:p w14:paraId="2AD5545D" w14:textId="1D2B1236"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Stk. 1 finder ikke anvendelse på operatører, der udfører affaldsbehandling i en industriel virksomhed inden for rammerne af det ansvarlige industrisystem (SIR), undtagen i tilfælde af et affaldsbehandlingsanlæg, der er uden for industriel aktivitet.</w:t>
      </w:r>
    </w:p>
    <w:p w14:paraId="55123F50" w14:textId="5AFC3F8E"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 xml:space="preserve">De affaldsbehandlingsoperatører, der er omhandlet i stk. 1, 5 og 6, skal inden den 31. marts hvert år bevise, at de kvalifikationskrav og standarder, der var gældende for det foregående år på det licensgivende koordinerende organ, er blevet overholdt, med forbehold af det samlede eller delvise suspension af licensen i overensstemmelse med artikel 81 i den generelle affaldshåndteringsordning. </w:t>
      </w:r>
    </w:p>
    <w:p w14:paraId="3813BD80"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Bestemmelserne i foregående afsnit finder kun anvendelse, hvis operatøren den 31. marts har fået tilladelse til behandling i mindst seks måneder.</w:t>
      </w:r>
    </w:p>
    <w:p w14:paraId="68599E61" w14:textId="44D5CD63"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Bevis for overholdelse af kvalifikationskravene i stk. 1 skal tilvejebringes ved hjælp af et dokument udstedt af kvalificerede verifikatorer.</w:t>
      </w:r>
      <w:bookmarkStart w:id="1" w:name="_Hlk52723080"/>
    </w:p>
    <w:bookmarkEnd w:id="1"/>
    <w:p w14:paraId="511DE8FF"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Kriterierne og metoden til anerkendelse af enheder, der er kompetente til certificering og kvalificerede verifikatorer, er fastlagt ved bekendtgørelsen fra det medlem af regeringen, der er ansvarlig for miljøspørgsmål.</w:t>
      </w:r>
    </w:p>
    <w:p w14:paraId="03805ED9" w14:textId="59353803" w:rsidR="006D6021" w:rsidRPr="008E5B84" w:rsidRDefault="00BC4ADA">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 xml:space="preserve">Den i stk. 5 og 6 omhandlede certificering skal udføres af en akkrediteret tredjepart. </w:t>
      </w:r>
    </w:p>
    <w:p w14:paraId="6EC366FF"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 xml:space="preserve">Manglende overholdelse af kvalifikationskravene eller -standarderne, som det er relevant, fastsat i denne artikel, udgør grunde til tilbagekaldelse af deres licens helt eller delvist i overensstemmelse med artikel 81 i den generelle affaldshåndteringsordning. </w:t>
      </w:r>
    </w:p>
    <w:p w14:paraId="69B2E75E" w14:textId="77777777" w:rsidR="006D6021" w:rsidRPr="008E5B84" w:rsidRDefault="00311339">
      <w:pPr>
        <w:widowControl w:val="0"/>
        <w:spacing w:after="120" w:line="360" w:lineRule="auto"/>
        <w:ind w:firstLine="284"/>
        <w:jc w:val="center"/>
        <w:rPr>
          <w:rFonts w:ascii="Garamond" w:hAnsi="Garamond"/>
          <w:sz w:val="24"/>
          <w:szCs w:val="24"/>
        </w:rPr>
      </w:pPr>
      <w:bookmarkStart w:id="2" w:name="_Hlk58518925"/>
      <w:r>
        <w:rPr>
          <w:rFonts w:ascii="Garamond" w:hAnsi="Garamond"/>
          <w:sz w:val="24"/>
        </w:rPr>
        <w:t>Artikel 23</w:t>
      </w:r>
    </w:p>
    <w:p w14:paraId="0F62E269" w14:textId="34428259" w:rsidR="006D6021" w:rsidRPr="008E5B84" w:rsidRDefault="008B3D7C">
      <w:pPr>
        <w:widowControl w:val="0"/>
        <w:spacing w:after="120" w:line="360" w:lineRule="auto"/>
        <w:ind w:firstLine="284"/>
        <w:jc w:val="center"/>
        <w:rPr>
          <w:rFonts w:ascii="Garamond" w:hAnsi="Garamond"/>
          <w:sz w:val="24"/>
          <w:szCs w:val="24"/>
        </w:rPr>
      </w:pPr>
      <w:r>
        <w:rPr>
          <w:rFonts w:ascii="Garamond" w:hAnsi="Garamond"/>
          <w:sz w:val="24"/>
        </w:rPr>
        <w:t>[…]</w:t>
      </w:r>
    </w:p>
    <w:p w14:paraId="5F9480C7" w14:textId="454DC41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lastRenderedPageBreak/>
        <w:t>[…].</w:t>
      </w:r>
    </w:p>
    <w:p w14:paraId="5F1D39B1"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 xml:space="preserve">[…]. </w:t>
      </w:r>
    </w:p>
    <w:p w14:paraId="7F3B2E9D" w14:textId="53686E70"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1C782BC8" w14:textId="68618E7C"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49345D1D"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r>
        <w:rPr>
          <w:rFonts w:ascii="Garamond" w:hAnsi="Garamond"/>
          <w:i/>
          <w:sz w:val="24"/>
        </w:rPr>
        <w:t>Ophævet</w:t>
      </w:r>
      <w:r>
        <w:rPr>
          <w:rFonts w:ascii="Garamond" w:hAnsi="Garamond"/>
          <w:sz w:val="24"/>
        </w:rPr>
        <w:t>];</w:t>
      </w:r>
    </w:p>
    <w:p w14:paraId="78E509FB"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 xml:space="preserve">[…]. </w:t>
      </w:r>
    </w:p>
    <w:p w14:paraId="05BCEA55" w14:textId="01A4160C"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3B767401" w14:textId="7091B311" w:rsidR="006D6021" w:rsidRPr="008E5B84" w:rsidRDefault="008600E0">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4A4D1BE3" w14:textId="4898503B"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0B339EEC" w14:textId="208F75F9"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566473D6" w14:textId="164AC433"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3" w:name="_Hlk61626903"/>
      <w:r>
        <w:rPr>
          <w:rFonts w:ascii="Garamond" w:hAnsi="Garamond"/>
          <w:sz w:val="24"/>
        </w:rPr>
        <w:t>[…].</w:t>
      </w:r>
    </w:p>
    <w:p w14:paraId="66BCCA1B" w14:textId="4D55870F"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73A26731" w14:textId="652B1C92"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4" w:name="_Hlk61626654"/>
      <w:bookmarkEnd w:id="3"/>
      <w:r>
        <w:rPr>
          <w:rFonts w:ascii="Garamond" w:hAnsi="Garamond"/>
          <w:sz w:val="24"/>
        </w:rPr>
        <w:t>[…].</w:t>
      </w:r>
    </w:p>
    <w:bookmarkEnd w:id="4"/>
    <w:p w14:paraId="385DA688" w14:textId="0D95D9A5"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7BCA8040" w14:textId="4560123D"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5" w:name="_Hlk52724639"/>
      <w:r>
        <w:rPr>
          <w:rFonts w:ascii="Garamond" w:hAnsi="Garamond"/>
          <w:sz w:val="24"/>
        </w:rPr>
        <w:t>[…].</w:t>
      </w:r>
    </w:p>
    <w:p w14:paraId="22A71714" w14:textId="11A87C2A"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6" w:name="_Hlk52724601"/>
      <w:bookmarkEnd w:id="5"/>
      <w:r>
        <w:rPr>
          <w:rFonts w:ascii="Garamond" w:hAnsi="Garamond"/>
          <w:sz w:val="24"/>
        </w:rPr>
        <w:t>[…].</w:t>
      </w:r>
    </w:p>
    <w:p w14:paraId="7F2D2F9B" w14:textId="47B01B05" w:rsidR="006D6021" w:rsidRPr="008E5B84" w:rsidRDefault="00311339" w:rsidP="007E1034">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Genanvendelig emballage er underlagt mærkning, idet symbolet og reglerne for mærkning bestemmes ved bekendtgørelse fra de regeringsmedlemmer, der er ansvarlige for økonomiske og miljømæssige spørgsmål, efter høring af de organisationer, der repræsenterer de berørte sektorer.</w:t>
      </w:r>
    </w:p>
    <w:p w14:paraId="0388493E" w14:textId="282251FD" w:rsidR="006D6021" w:rsidRPr="008E5B84" w:rsidRDefault="00311339" w:rsidP="007E1034">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 xml:space="preserve">Den i foregående afsnit omhandlede bekendtgørelse offentliggøres indtil den 31. december 2022, hvor der fastsættes en overgangsperiode for overholdelse af mærkningskravet på mindst et år. </w:t>
      </w:r>
    </w:p>
    <w:bookmarkEnd w:id="2"/>
    <w:bookmarkEnd w:id="6"/>
    <w:p w14:paraId="2073F806" w14:textId="77777777" w:rsidR="006D6021" w:rsidRPr="008E5B84" w:rsidRDefault="00311339">
      <w:pPr>
        <w:widowControl w:val="0"/>
        <w:spacing w:after="120" w:line="360" w:lineRule="auto"/>
        <w:ind w:left="851" w:right="567" w:hanging="284"/>
        <w:jc w:val="center"/>
        <w:rPr>
          <w:rFonts w:ascii="Garamond" w:hAnsi="Garamond"/>
          <w:sz w:val="24"/>
          <w:szCs w:val="24"/>
        </w:rPr>
      </w:pPr>
      <w:r>
        <w:rPr>
          <w:rFonts w:ascii="Garamond" w:hAnsi="Garamond"/>
          <w:sz w:val="24"/>
        </w:rPr>
        <w:t>Artikel 28</w:t>
      </w:r>
    </w:p>
    <w:p w14:paraId="1BFEB45B" w14:textId="255D8B70" w:rsidR="006D6021" w:rsidRPr="008E5B84" w:rsidRDefault="00311339">
      <w:pPr>
        <w:widowControl w:val="0"/>
        <w:spacing w:after="120" w:line="360" w:lineRule="auto"/>
        <w:ind w:left="851" w:right="567" w:hanging="284"/>
        <w:jc w:val="center"/>
        <w:rPr>
          <w:rFonts w:ascii="Garamond" w:hAnsi="Garamond"/>
          <w:sz w:val="24"/>
          <w:szCs w:val="24"/>
        </w:rPr>
      </w:pPr>
      <w:r>
        <w:rPr>
          <w:rFonts w:ascii="Garamond" w:hAnsi="Garamond"/>
          <w:sz w:val="24"/>
        </w:rPr>
        <w:t>Mærkning af emballage</w:t>
      </w:r>
    </w:p>
    <w:p w14:paraId="1559C70D"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w:t>
      </w:r>
      <w:r>
        <w:rPr>
          <w:rFonts w:ascii="Garamond" w:hAnsi="Garamond"/>
          <w:i/>
          <w:sz w:val="24"/>
        </w:rPr>
        <w:t>Ophævet</w:t>
      </w:r>
      <w:r>
        <w:rPr>
          <w:rFonts w:ascii="Garamond" w:hAnsi="Garamond"/>
          <w:sz w:val="24"/>
        </w:rPr>
        <w:t xml:space="preserve">]. </w:t>
      </w:r>
    </w:p>
    <w:p w14:paraId="3035F5D8"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 xml:space="preserve">Uden at dette berører stk. 9, kan ikke-genanvendelig primæremballage fra andre EU-medlemsstater eller tredjelande, der er mærket med et bestemt </w:t>
      </w:r>
      <w:r>
        <w:rPr>
          <w:rFonts w:ascii="Garamond" w:hAnsi="Garamond"/>
          <w:sz w:val="24"/>
        </w:rPr>
        <w:lastRenderedPageBreak/>
        <w:t xml:space="preserve">symbol ved oprindelsen, markedsføres med dette symbol. </w:t>
      </w:r>
    </w:p>
    <w:p w14:paraId="21253B2F"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Emballage, der administreres under det deponeringssystem, der er nævnt i artikel 23-C, skal mærkes med det symbol, der er defineret i en bekendtgørelse, der skal godkendes af de medlemmer af regeringen, der er ansvarlige for økonomiske og miljømæssige forhold.</w:t>
      </w:r>
    </w:p>
    <w:p w14:paraId="2C5C3A24"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For at lette indsamling, genbrug og nyttiggørelse, herunder genanvendelse, skal emballagen angive arten af det (de) emballagemateriale (r), der er brugt til identifikation og klassificering i deres industri, i overensstemmelse med identifikationssystemet, der er oprettet i Kommissionens beslutning nr. 97 / 129 / EF af 28. januar 1997, hvis system er anført i bilag IX til dette lovdekret, og som det udgør en integreret del af.</w:t>
      </w:r>
    </w:p>
    <w:p w14:paraId="692F362A" w14:textId="77777777" w:rsidR="006D6021" w:rsidRPr="00C37A95"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sidRPr="00C37A95">
        <w:rPr>
          <w:rFonts w:ascii="Garamond" w:hAnsi="Garamond"/>
          <w:sz w:val="24"/>
          <w:szCs w:val="24"/>
        </w:rPr>
        <w:t xml:space="preserve">For at fremme den korrekte adskillelse af affald og øge genanvendelsesniveauerne og kvaliteten skal genanvendelig, </w:t>
      </w:r>
      <w:bookmarkStart w:id="7" w:name="_Hlk61624722"/>
      <w:r w:rsidRPr="00C37A95">
        <w:rPr>
          <w:rFonts w:ascii="Garamond" w:hAnsi="Garamond"/>
          <w:sz w:val="24"/>
          <w:szCs w:val="24"/>
        </w:rPr>
        <w:t>emballage, der markedsføres, være mærket med passende sorteringsinstruktioner,</w:t>
      </w:r>
      <w:bookmarkEnd w:id="7"/>
      <w:r w:rsidRPr="00C37A95">
        <w:rPr>
          <w:rFonts w:ascii="Garamond" w:hAnsi="Garamond"/>
          <w:sz w:val="24"/>
          <w:szCs w:val="24"/>
        </w:rPr>
        <w:t xml:space="preserve"> især farven på den genbrugsbeholder, de skal placeres i, i overensstemmelse med med de vilkår, der skal bestemmes af bekendtgørelsen for de medlemmer af regeringen, der er ansvarlige for økonomiske og miljømæssige forhold.</w:t>
      </w:r>
    </w:p>
    <w:p w14:paraId="533DE736"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Den i foregående afsnit nævnte mærkning skal opfylde følgende krav:</w:t>
      </w:r>
    </w:p>
    <w:p w14:paraId="08DBE96C" w14:textId="77777777" w:rsidR="006D6021" w:rsidRPr="008E5B84" w:rsidRDefault="00311339">
      <w:pPr>
        <w:widowControl w:val="0"/>
        <w:numPr>
          <w:ilvl w:val="0"/>
          <w:numId w:val="5"/>
        </w:numPr>
        <w:spacing w:after="120" w:line="360" w:lineRule="auto"/>
        <w:ind w:left="1418" w:right="567" w:hanging="284"/>
        <w:jc w:val="both"/>
        <w:rPr>
          <w:rFonts w:ascii="Garamond" w:hAnsi="Garamond"/>
          <w:sz w:val="24"/>
          <w:szCs w:val="24"/>
        </w:rPr>
      </w:pPr>
      <w:r>
        <w:rPr>
          <w:rFonts w:ascii="Garamond" w:hAnsi="Garamond"/>
          <w:sz w:val="24"/>
        </w:rPr>
        <w:t>Det kan præsenteres ved ikonografi eller skrevet tekst eller begge dele;</w:t>
      </w:r>
    </w:p>
    <w:p w14:paraId="77968FCD" w14:textId="77777777" w:rsidR="006D6021" w:rsidRPr="008E5B84" w:rsidRDefault="00311339">
      <w:pPr>
        <w:widowControl w:val="0"/>
        <w:numPr>
          <w:ilvl w:val="0"/>
          <w:numId w:val="5"/>
        </w:numPr>
        <w:spacing w:after="120" w:line="360" w:lineRule="auto"/>
        <w:ind w:left="1418" w:right="567" w:hanging="284"/>
        <w:jc w:val="both"/>
        <w:rPr>
          <w:rFonts w:ascii="Garamond" w:hAnsi="Garamond"/>
          <w:sz w:val="24"/>
          <w:szCs w:val="24"/>
        </w:rPr>
      </w:pPr>
      <w:r>
        <w:rPr>
          <w:rFonts w:ascii="Garamond" w:hAnsi="Garamond"/>
          <w:sz w:val="24"/>
        </w:rPr>
        <w:t>Den skal trykkes i en synlig, læselig og uudslettelig form.</w:t>
      </w:r>
    </w:p>
    <w:p w14:paraId="661794D2"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Primæremballage og sekundæremballage beregnet til forbrugeren er omfattet af den i stk. 5 omhandlede mærkningskrav.</w:t>
      </w:r>
    </w:p>
    <w:p w14:paraId="31B5251D"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Emballage, hvis størrelse ikke tillader mærkning i overensstemmelse med stk. 6, er undtaget fra forpligtelsen i stk. 5.</w:t>
      </w:r>
    </w:p>
    <w:p w14:paraId="0D5DA7CC" w14:textId="07B00E1C" w:rsidR="006D6021" w:rsidRPr="008B3D7C"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For at afklare oplysningerne til forbrugerne og fremme den korrekte overførsel af emballageaffald er markedsføring af genanvendelig og genanvendelig emballage, der er mærket med tidy-man-symbolet, forbudt fra datoen for ikrafttrædelsen af forpligtelsen i afsnit 5.</w:t>
      </w:r>
    </w:p>
    <w:p w14:paraId="5CFB03EA" w14:textId="77777777" w:rsidR="006D6021" w:rsidRPr="008E5B84" w:rsidRDefault="00311339">
      <w:pPr>
        <w:widowControl w:val="0"/>
        <w:numPr>
          <w:ilvl w:val="0"/>
          <w:numId w:val="4"/>
        </w:numPr>
        <w:spacing w:after="120" w:line="360" w:lineRule="auto"/>
        <w:ind w:right="567"/>
        <w:jc w:val="both"/>
        <w:rPr>
          <w:rFonts w:ascii="Garamond" w:hAnsi="Garamond"/>
          <w:sz w:val="24"/>
          <w:szCs w:val="24"/>
        </w:rPr>
      </w:pPr>
      <w:r>
        <w:rPr>
          <w:rFonts w:ascii="Garamond" w:hAnsi="Garamond"/>
          <w:sz w:val="24"/>
        </w:rPr>
        <w:t xml:space="preserve">Den i stk. 5 omhandlede bekendtgørelse offentliggøres senest den 31. december 2022 og fastsætter en overgangsperiode for overholdelse af mærkningskravet på mindst et år. </w:t>
      </w:r>
    </w:p>
    <w:p w14:paraId="2B5AE871" w14:textId="77777777" w:rsidR="006D6021" w:rsidRPr="008E5B84" w:rsidRDefault="00311339">
      <w:pPr>
        <w:pStyle w:val="ListParagraph"/>
        <w:widowControl w:val="0"/>
        <w:tabs>
          <w:tab w:val="left" w:pos="567"/>
        </w:tabs>
        <w:spacing w:after="120" w:line="360" w:lineRule="auto"/>
        <w:ind w:left="426"/>
        <w:jc w:val="center"/>
        <w:rPr>
          <w:rFonts w:ascii="Garamond" w:hAnsi="Garamond"/>
          <w:sz w:val="24"/>
          <w:szCs w:val="24"/>
        </w:rPr>
      </w:pPr>
      <w:r>
        <w:rPr>
          <w:rFonts w:ascii="Garamond" w:hAnsi="Garamond"/>
          <w:sz w:val="24"/>
        </w:rPr>
        <w:lastRenderedPageBreak/>
        <w:t>Artikel 90</w:t>
      </w:r>
    </w:p>
    <w:p w14:paraId="5993F2D8" w14:textId="679E6390" w:rsidR="006D6021" w:rsidRPr="008E5B84" w:rsidRDefault="00BB1999">
      <w:pPr>
        <w:pStyle w:val="ListParagraph"/>
        <w:widowControl w:val="0"/>
        <w:tabs>
          <w:tab w:val="left" w:pos="567"/>
        </w:tabs>
        <w:spacing w:after="120" w:line="360" w:lineRule="auto"/>
        <w:ind w:left="426"/>
        <w:jc w:val="center"/>
        <w:rPr>
          <w:rFonts w:ascii="Garamond" w:hAnsi="Garamond"/>
          <w:sz w:val="24"/>
          <w:szCs w:val="24"/>
        </w:rPr>
      </w:pPr>
      <w:r>
        <w:rPr>
          <w:rFonts w:ascii="Garamond" w:hAnsi="Garamond"/>
          <w:sz w:val="24"/>
        </w:rPr>
        <w:t>[…]</w:t>
      </w:r>
    </w:p>
    <w:p w14:paraId="1BD8205D" w14:textId="1A72943D" w:rsidR="006D6021" w:rsidRPr="008E5B84" w:rsidRDefault="00311339">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1 – [...].</w:t>
      </w:r>
    </w:p>
    <w:p w14:paraId="4D5E45BC" w14:textId="264AD440" w:rsidR="006D6021" w:rsidRPr="008E5B84" w:rsidRDefault="00311339">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2 - Udførelsen af følgende handlinger udgør en alvorlig administrativ lovovertrædelse, der kan straffes i overensstemmelse med lovgivningen om administrative lovovertrædelser:</w:t>
      </w:r>
    </w:p>
    <w:p w14:paraId="34A60EBF" w14:textId="26983D8A" w:rsidR="006D6021" w:rsidRDefault="00311339"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91F789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76331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C05824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A63D56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2FDC02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BC28BB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177A22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593CF5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28600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9BC6BC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C7EA91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2290F3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C38F47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0064F8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D256B3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F8E3AE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E766C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025FBF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C40613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CDF3C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B239DF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w:t>
      </w:r>
    </w:p>
    <w:p w14:paraId="706F8F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2E3F6D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E82248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1BFF0E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B8A0F7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A7FDC2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62DF6D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C64AB0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D01A8C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3B4721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C8ADFF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6BEAB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BD54DA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10FE05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91F700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61AB7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9F70C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5AAF43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A67C96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AA581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A67ED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FFD8B5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CD7B2B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9EF16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442035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387A0E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535D9B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w:t>
      </w:r>
    </w:p>
    <w:p w14:paraId="4DEE736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FCF525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F97F9A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45242A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2D3F49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85AD1E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F3308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3E916B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018C53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153AAC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1CC34B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20E49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91F41D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F2D2B9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2EE4E4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B3E78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6A382E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9E0BA6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D5C7C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00FEF1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E5517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162670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71743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19079DF" w14:textId="3E22BD35"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 xml:space="preserve">Udøvelse af affaldsbehandlingsaktivitet af operatører, der ikke opfylder kvalifikationskravene eller standarderne, som det er relevant i overensstemmelse med artikel 8, stk. 1, 5 og 6 </w:t>
      </w:r>
    </w:p>
    <w:p w14:paraId="7EA03A99" w14:textId="76D22DF1"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Manglende overholdelse af forpligtelsen til at mærke emballage i henhold til artikel 23, stk. 11, og artikel 28, stk. 3.</w:t>
      </w:r>
    </w:p>
    <w:p w14:paraId="63F4F092" w14:textId="77777777" w:rsidR="006D6021" w:rsidRPr="008E5B84" w:rsidRDefault="00311339" w:rsidP="008E5B84">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3 - Udførelsen af følgende handlinger udgør en let miljømæssig administrativ lovovertrædelse, der kan straffes i overensstemmelse med rammeloven om miljøadministrative lovovertrædelser:</w:t>
      </w:r>
    </w:p>
    <w:p w14:paraId="717D1B1F" w14:textId="6632C3C4" w:rsidR="00AE3FD7"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786638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6DAF0A6"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84EE665"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5E9A59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F82066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A3C0C2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CAC497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88AD3E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0F16E2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91B075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CF63BAD"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D5C26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3372D1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6CAD88E"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EE26E5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FAFE6A2"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A2FA5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0E63E2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BEAAE8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535C3B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AA1FB1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329FF90"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w:t>
      </w:r>
    </w:p>
    <w:p w14:paraId="6D3E144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19D916A"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4E02EE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93628B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429CEE4" w14:textId="7C04ACFC"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Manglende overholdelse af forpligtelsen til på emballagen at identificere det eller de emballagematerialer, der er anvendt i henhold til artikel 28, stk. 4</w:t>
      </w:r>
    </w:p>
    <w:p w14:paraId="52F2A95D" w14:textId="5A6D3D93"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Manglende overholdelse af forpligtelsen til at identificere emballagens destination, når den kan genbruges i overensstemmelse med artikel 28, stk. 5 og 6;</w:t>
      </w:r>
    </w:p>
    <w:p w14:paraId="6D3571B6" w14:textId="2BE01E53" w:rsidR="007C12A7"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 xml:space="preserve">Brug af det ryddelige symbol på genanvendelig og genanvendelig emballage i strid med artikel 28, stk. 9. </w:t>
      </w:r>
    </w:p>
    <w:p w14:paraId="7C8C6BB9" w14:textId="1CA7F2E5" w:rsidR="007C12A7" w:rsidRPr="007C12A7"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4 -</w:t>
      </w:r>
      <w:r>
        <w:rPr>
          <w:rFonts w:ascii="Garamond" w:hAnsi="Garamond"/>
          <w:sz w:val="24"/>
        </w:rPr>
        <w:tab/>
        <w:t>[…].</w:t>
      </w:r>
    </w:p>
    <w:p w14:paraId="320DA334" w14:textId="78F12E10" w:rsidR="007C12A7" w:rsidRPr="007C12A7"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5 -</w:t>
      </w:r>
      <w:r>
        <w:rPr>
          <w:rFonts w:ascii="Garamond" w:hAnsi="Garamond"/>
          <w:sz w:val="24"/>
        </w:rPr>
        <w:tab/>
        <w:t>[…].</w:t>
      </w:r>
    </w:p>
    <w:p w14:paraId="503ACA32" w14:textId="77777777" w:rsidR="007C12A7" w:rsidRPr="007C12A7"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6 -</w:t>
      </w:r>
      <w:r>
        <w:rPr>
          <w:rFonts w:ascii="Garamond" w:hAnsi="Garamond"/>
          <w:sz w:val="24"/>
        </w:rPr>
        <w:tab/>
        <w:t xml:space="preserve">[…]. </w:t>
      </w:r>
    </w:p>
    <w:p w14:paraId="425838E4" w14:textId="5781235B" w:rsidR="006D6021" w:rsidRPr="008E5B84"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7 -</w:t>
      </w:r>
      <w:r>
        <w:rPr>
          <w:rFonts w:ascii="Garamond" w:hAnsi="Garamond"/>
          <w:sz w:val="24"/>
        </w:rPr>
        <w:tab/>
        <w:t>[…].”</w:t>
      </w:r>
    </w:p>
    <w:p w14:paraId="4D8B5014" w14:textId="77777777" w:rsidR="006D6021" w:rsidRPr="008E5B84" w:rsidRDefault="00311339">
      <w:pPr>
        <w:shd w:val="clear" w:color="auto" w:fill="FFFFFF"/>
        <w:suppressAutoHyphens w:val="0"/>
        <w:spacing w:after="225" w:line="390" w:lineRule="atLeast"/>
        <w:jc w:val="center"/>
        <w:textAlignment w:val="auto"/>
        <w:rPr>
          <w:rFonts w:ascii="Garamond" w:hAnsi="Garamond"/>
          <w:sz w:val="24"/>
          <w:szCs w:val="24"/>
        </w:rPr>
      </w:pPr>
      <w:r>
        <w:rPr>
          <w:rFonts w:ascii="Garamond" w:hAnsi="Garamond"/>
          <w:sz w:val="24"/>
        </w:rPr>
        <w:t>Artikel 3</w:t>
      </w:r>
    </w:p>
    <w:p w14:paraId="748BF384" w14:textId="77777777" w:rsidR="006D6021" w:rsidRPr="008E5B84" w:rsidRDefault="00311339">
      <w:pPr>
        <w:shd w:val="clear" w:color="auto" w:fill="FFFFFF"/>
        <w:suppressAutoHyphens w:val="0"/>
        <w:spacing w:after="225" w:line="390" w:lineRule="atLeast"/>
        <w:jc w:val="center"/>
        <w:textAlignment w:val="auto"/>
        <w:rPr>
          <w:rFonts w:ascii="Garamond" w:hAnsi="Garamond"/>
          <w:sz w:val="24"/>
          <w:szCs w:val="24"/>
        </w:rPr>
      </w:pPr>
      <w:r>
        <w:t xml:space="preserve">Tilføjelse til </w:t>
      </w:r>
      <w:hyperlink r:id="rId22" w:tooltip="Lovdekret nr. 152-D / 2017" w:history="1">
        <w:r>
          <w:rPr>
            <w:rFonts w:ascii="Garamond" w:hAnsi="Garamond"/>
            <w:sz w:val="24"/>
          </w:rPr>
          <w:t>lovdekret nr. 152-D/2017</w:t>
        </w:r>
      </w:hyperlink>
      <w:r>
        <w:t xml:space="preserve"> af 11. december</w:t>
      </w:r>
    </w:p>
    <w:p w14:paraId="380A1081" w14:textId="6C021E2E" w:rsidR="006D6021" w:rsidRPr="008E5B84" w:rsidRDefault="00311339">
      <w:pPr>
        <w:shd w:val="clear" w:color="auto" w:fill="FFFFFF"/>
        <w:suppressAutoHyphens w:val="0"/>
        <w:spacing w:after="225" w:line="390" w:lineRule="atLeast"/>
        <w:jc w:val="both"/>
        <w:textAlignment w:val="auto"/>
        <w:rPr>
          <w:rFonts w:ascii="Garamond" w:hAnsi="Garamond"/>
          <w:sz w:val="24"/>
          <w:szCs w:val="24"/>
        </w:rPr>
      </w:pPr>
      <w:r>
        <w:t xml:space="preserve">Artikel 20-A tilføjes til </w:t>
      </w:r>
      <w:hyperlink r:id="rId23" w:tooltip="Lovdekret nr. 152-D / 2017" w:history="1">
        <w:r>
          <w:rPr>
            <w:rFonts w:ascii="Garamond" w:hAnsi="Garamond"/>
            <w:sz w:val="24"/>
          </w:rPr>
          <w:t>lovdekret nr. 152-D/2017</w:t>
        </w:r>
      </w:hyperlink>
      <w:r>
        <w:t xml:space="preserve"> af 11. december i sin nuværende ordlyd med følgende ordlyd:</w:t>
      </w:r>
    </w:p>
    <w:p w14:paraId="752800F2" w14:textId="77777777" w:rsidR="006D6021" w:rsidRPr="008E5B84" w:rsidRDefault="00311339">
      <w:pPr>
        <w:widowControl w:val="0"/>
        <w:spacing w:after="120" w:line="360" w:lineRule="auto"/>
        <w:jc w:val="center"/>
        <w:rPr>
          <w:rFonts w:ascii="Garamond" w:hAnsi="Garamond"/>
          <w:sz w:val="24"/>
          <w:szCs w:val="24"/>
        </w:rPr>
      </w:pPr>
      <w:r>
        <w:rPr>
          <w:rFonts w:ascii="Garamond" w:hAnsi="Garamond"/>
          <w:sz w:val="24"/>
        </w:rPr>
        <w:t>“Artikel 20-A</w:t>
      </w:r>
    </w:p>
    <w:p w14:paraId="1AB94D2F" w14:textId="77777777" w:rsidR="006D6021" w:rsidRPr="008E5B84" w:rsidRDefault="00311339">
      <w:pPr>
        <w:widowControl w:val="0"/>
        <w:spacing w:after="120" w:line="360" w:lineRule="auto"/>
        <w:jc w:val="center"/>
        <w:rPr>
          <w:rFonts w:ascii="Garamond" w:hAnsi="Garamond"/>
          <w:sz w:val="24"/>
          <w:szCs w:val="24"/>
        </w:rPr>
      </w:pPr>
      <w:r>
        <w:rPr>
          <w:rFonts w:ascii="Garamond" w:hAnsi="Garamond"/>
          <w:sz w:val="24"/>
        </w:rPr>
        <w:t xml:space="preserve">Ansvaret for den formidlende netværkstjenesteudbyder </w:t>
      </w:r>
    </w:p>
    <w:p w14:paraId="51D2D4EC" w14:textId="77777777" w:rsidR="006D6021" w:rsidRPr="008E5B84" w:rsidRDefault="00311339">
      <w:pPr>
        <w:numPr>
          <w:ilvl w:val="0"/>
          <w:numId w:val="6"/>
        </w:numPr>
        <w:spacing w:after="0" w:line="360" w:lineRule="auto"/>
        <w:ind w:left="993"/>
        <w:jc w:val="both"/>
        <w:rPr>
          <w:rFonts w:ascii="Garamond" w:hAnsi="Garamond"/>
          <w:sz w:val="24"/>
          <w:szCs w:val="24"/>
        </w:rPr>
      </w:pPr>
      <w:r>
        <w:rPr>
          <w:rFonts w:ascii="Garamond" w:hAnsi="Garamond"/>
          <w:sz w:val="24"/>
        </w:rPr>
        <w:t>Den formidlende udbyder af computermedierede kommunikationstjenester, der ikke anses for at være en producent i henhold til dette lovdekret, men som via brug af en elektronisk grænseflade som f.eks. Et marked, en platform, en portal eller lignende udstyr muliggør fjernsalg eller levering af produkter, der er omfattet af producentens udvidede ansvarsprincip på vegne af en tredjepart, skal anmode om disse oplysninger for at bevise overholdelse af forpligtelserne vedrørende:</w:t>
      </w:r>
    </w:p>
    <w:p w14:paraId="203F3B33" w14:textId="77777777" w:rsidR="006D6021" w:rsidRPr="008E5B84" w:rsidRDefault="00311339">
      <w:pPr>
        <w:numPr>
          <w:ilvl w:val="1"/>
          <w:numId w:val="6"/>
        </w:numPr>
        <w:spacing w:after="120" w:line="360" w:lineRule="auto"/>
        <w:ind w:left="1560" w:hanging="284"/>
        <w:jc w:val="both"/>
        <w:rPr>
          <w:rFonts w:ascii="Garamond" w:hAnsi="Garamond"/>
          <w:sz w:val="24"/>
          <w:szCs w:val="24"/>
        </w:rPr>
      </w:pPr>
      <w:r>
        <w:rPr>
          <w:rFonts w:ascii="Garamond" w:hAnsi="Garamond"/>
          <w:sz w:val="24"/>
        </w:rPr>
        <w:t>Indlæsning og årlig indsendelse af data til SIRER i overensstemmelse med artikel 19, stk. 1</w:t>
      </w:r>
    </w:p>
    <w:p w14:paraId="34CEE8B9" w14:textId="77777777" w:rsidR="006D6021" w:rsidRPr="008E5B84" w:rsidRDefault="00311339">
      <w:pPr>
        <w:numPr>
          <w:ilvl w:val="1"/>
          <w:numId w:val="6"/>
        </w:numPr>
        <w:spacing w:after="120" w:line="360" w:lineRule="auto"/>
        <w:ind w:left="1560" w:hanging="284"/>
        <w:jc w:val="both"/>
        <w:rPr>
          <w:rFonts w:ascii="Garamond" w:hAnsi="Garamond"/>
          <w:sz w:val="24"/>
          <w:szCs w:val="24"/>
        </w:rPr>
      </w:pPr>
      <w:r>
        <w:rPr>
          <w:rFonts w:ascii="Garamond" w:hAnsi="Garamond"/>
          <w:sz w:val="24"/>
        </w:rPr>
        <w:lastRenderedPageBreak/>
        <w:t>Vedtagelse af et af de i artikel 7, stk. 1, omhandlede systemer for den type eller produktkategori, der er tilgængelig på platformen.</w:t>
      </w:r>
    </w:p>
    <w:p w14:paraId="00C2C8D8" w14:textId="77777777" w:rsidR="006D6021" w:rsidRPr="008E5B84" w:rsidRDefault="00311339">
      <w:pPr>
        <w:numPr>
          <w:ilvl w:val="0"/>
          <w:numId w:val="6"/>
        </w:numPr>
        <w:spacing w:after="0" w:line="360" w:lineRule="auto"/>
        <w:ind w:left="993"/>
        <w:jc w:val="both"/>
        <w:rPr>
          <w:rFonts w:ascii="Garamond" w:hAnsi="Garamond"/>
          <w:sz w:val="24"/>
          <w:szCs w:val="24"/>
        </w:rPr>
      </w:pPr>
      <w:r>
        <w:rPr>
          <w:rFonts w:ascii="Garamond" w:hAnsi="Garamond"/>
          <w:sz w:val="24"/>
        </w:rPr>
        <w:t>Med henblik på det foregående stykke skal den formidlende udbyder af computermedierede kommunikationstjenester kræve de pågældende oplysninger som en forudsætning for registrering på platformen og med henblik på kontraktproceduren og derefter en opdatering af disse oplysninger på årsbasis.</w:t>
      </w:r>
    </w:p>
    <w:p w14:paraId="4B9FAC75" w14:textId="77777777" w:rsidR="006D6021" w:rsidRDefault="00311339">
      <w:pPr>
        <w:numPr>
          <w:ilvl w:val="0"/>
          <w:numId w:val="6"/>
        </w:numPr>
        <w:spacing w:after="0" w:line="360" w:lineRule="auto"/>
        <w:ind w:left="993"/>
        <w:jc w:val="both"/>
        <w:rPr>
          <w:rFonts w:ascii="Garamond" w:hAnsi="Garamond"/>
          <w:sz w:val="24"/>
          <w:szCs w:val="24"/>
        </w:rPr>
      </w:pPr>
      <w:r>
        <w:rPr>
          <w:rFonts w:ascii="Garamond" w:hAnsi="Garamond"/>
          <w:sz w:val="24"/>
        </w:rPr>
        <w:t>Den formidlende udbyder af computermedierede kommunikationstjenester, der ved hjælp af en elektronisk grænseflade såsom et marked, en platform, en portal eller lignende udstyr letter distributionssalg eller levering af brugte dele af WEEE og VFV til genbrug anmodning fra sælgeren om oplysninger, der godtgør overholdelse af forpligtelsen til at sikre, at de anvendte dele kommer fra autoriserede demonteringsoperatører og skal blandt andet kræve oplysninger om nummeret på licenshaveren til nedlukningsoperatøren, der er gjort tilgængelig på platformen. ”</w:t>
      </w:r>
    </w:p>
    <w:p w14:paraId="41D1684A" w14:textId="77777777" w:rsidR="00E262CE" w:rsidRPr="008E5B84" w:rsidRDefault="00E262CE" w:rsidP="002E3B2F">
      <w:pPr>
        <w:spacing w:after="0" w:line="360" w:lineRule="auto"/>
        <w:ind w:left="993"/>
        <w:jc w:val="both"/>
        <w:rPr>
          <w:rFonts w:ascii="Garamond" w:hAnsi="Garamond"/>
          <w:sz w:val="24"/>
          <w:szCs w:val="24"/>
        </w:rPr>
      </w:pPr>
    </w:p>
    <w:p w14:paraId="6416550A" w14:textId="77777777" w:rsidR="006D6021" w:rsidRPr="008E5B84" w:rsidRDefault="00311339">
      <w:pPr>
        <w:widowControl w:val="0"/>
        <w:tabs>
          <w:tab w:val="left" w:pos="142"/>
        </w:tabs>
        <w:spacing w:after="120" w:line="360" w:lineRule="auto"/>
        <w:jc w:val="center"/>
        <w:rPr>
          <w:rFonts w:ascii="Garamond" w:eastAsia="Times New Roman" w:hAnsi="Garamond" w:cs="Calibri Light"/>
          <w:sz w:val="24"/>
          <w:szCs w:val="24"/>
        </w:rPr>
      </w:pPr>
      <w:r>
        <w:rPr>
          <w:rFonts w:ascii="Garamond" w:hAnsi="Garamond"/>
          <w:sz w:val="24"/>
        </w:rPr>
        <w:t>Artikel 4</w:t>
      </w:r>
    </w:p>
    <w:p w14:paraId="47C9561F" w14:textId="77777777" w:rsidR="006D6021" w:rsidRPr="008E5B84" w:rsidRDefault="00311339">
      <w:pPr>
        <w:widowControl w:val="0"/>
        <w:tabs>
          <w:tab w:val="left" w:pos="142"/>
        </w:tabs>
        <w:spacing w:after="120" w:line="360" w:lineRule="auto"/>
        <w:jc w:val="center"/>
        <w:rPr>
          <w:rFonts w:ascii="Garamond" w:eastAsia="Times New Roman" w:hAnsi="Garamond" w:cs="Calibri Light"/>
          <w:sz w:val="24"/>
          <w:szCs w:val="24"/>
        </w:rPr>
      </w:pPr>
      <w:r>
        <w:rPr>
          <w:rFonts w:ascii="Garamond" w:hAnsi="Garamond"/>
          <w:sz w:val="24"/>
        </w:rPr>
        <w:t xml:space="preserve">Overgangsordninger </w:t>
      </w:r>
    </w:p>
    <w:p w14:paraId="11F9B5E9" w14:textId="77777777" w:rsidR="006D6021" w:rsidRPr="008E5B84" w:rsidRDefault="00311339" w:rsidP="008E5B84">
      <w:pPr>
        <w:pStyle w:val="ListParagraph"/>
        <w:widowControl w:val="0"/>
        <w:numPr>
          <w:ilvl w:val="0"/>
          <w:numId w:val="7"/>
        </w:numPr>
        <w:spacing w:after="120" w:line="360" w:lineRule="auto"/>
        <w:ind w:left="993" w:hanging="709"/>
        <w:jc w:val="both"/>
        <w:rPr>
          <w:rFonts w:ascii="Garamond" w:hAnsi="Garamond"/>
          <w:sz w:val="24"/>
          <w:szCs w:val="24"/>
        </w:rPr>
      </w:pPr>
      <w:r>
        <w:rPr>
          <w:rFonts w:ascii="Garamond" w:hAnsi="Garamond"/>
          <w:sz w:val="24"/>
        </w:rPr>
        <w:t xml:space="preserve">Bestemmelserne i artikel 8, stk. 5, i lovdekret nr. 152-D / 2017 af 11. december, som ændret ved denne lovdekret, finder anvendelse et år efter ikrafttrædelsen af denne lovdekret. </w:t>
      </w:r>
    </w:p>
    <w:p w14:paraId="33C46C89" w14:textId="77777777" w:rsidR="006D6021" w:rsidRPr="008E5B84" w:rsidRDefault="00311339" w:rsidP="008E5B84">
      <w:pPr>
        <w:pStyle w:val="ListParagraph"/>
        <w:widowControl w:val="0"/>
        <w:numPr>
          <w:ilvl w:val="0"/>
          <w:numId w:val="7"/>
        </w:numPr>
        <w:spacing w:after="120" w:line="360" w:lineRule="auto"/>
        <w:ind w:left="993" w:hanging="710"/>
        <w:jc w:val="both"/>
        <w:rPr>
          <w:rFonts w:ascii="Garamond" w:hAnsi="Garamond"/>
          <w:sz w:val="24"/>
          <w:szCs w:val="24"/>
        </w:rPr>
      </w:pPr>
      <w:r>
        <w:rPr>
          <w:rFonts w:ascii="Garamond" w:hAnsi="Garamond"/>
          <w:sz w:val="24"/>
        </w:rPr>
        <w:t>Bestemmelserne i artikel 8, stk. 6, i lovdekret nr. 152-D / 2017 af 11. december, som ændret ved denne lovdekret, finder anvendelse to år efter ikrafttrædelsen af denne lovdekret.</w:t>
      </w:r>
    </w:p>
    <w:p w14:paraId="118482CA" w14:textId="77777777" w:rsidR="006D6021" w:rsidRPr="008E5B84" w:rsidRDefault="00311339" w:rsidP="008E5B84">
      <w:pPr>
        <w:pStyle w:val="ListParagraph"/>
        <w:widowControl w:val="0"/>
        <w:numPr>
          <w:ilvl w:val="0"/>
          <w:numId w:val="7"/>
        </w:numPr>
        <w:spacing w:after="120" w:line="360" w:lineRule="auto"/>
        <w:ind w:left="993" w:hanging="710"/>
        <w:jc w:val="both"/>
        <w:rPr>
          <w:rFonts w:ascii="Garamond" w:hAnsi="Garamond"/>
          <w:sz w:val="24"/>
          <w:szCs w:val="24"/>
        </w:rPr>
      </w:pPr>
      <w:r>
        <w:rPr>
          <w:rFonts w:ascii="Garamond" w:hAnsi="Garamond"/>
          <w:sz w:val="24"/>
        </w:rPr>
        <w:t>Det første år for opfyldelse af forpligtelsen i artikel 8, stk. 8, i lovdekret nr. 152-D / 2017 af 11. december, som ændret ved denne lovdekret, er 2022 med hensyn til 2021 med forbehold af bestemmelserne i denne artikels stk. 9 og forudsat at der på denne dato er kvalificerede verifikatorer.</w:t>
      </w:r>
    </w:p>
    <w:p w14:paraId="239A29A5" w14:textId="77777777" w:rsidR="006D6021" w:rsidRPr="008E5B84" w:rsidRDefault="00311339" w:rsidP="008E5B84">
      <w:pPr>
        <w:pStyle w:val="ListParagraph"/>
        <w:widowControl w:val="0"/>
        <w:numPr>
          <w:ilvl w:val="0"/>
          <w:numId w:val="7"/>
        </w:numPr>
        <w:spacing w:after="120" w:line="360" w:lineRule="auto"/>
        <w:ind w:left="993" w:hanging="710"/>
        <w:jc w:val="both"/>
        <w:rPr>
          <w:rFonts w:ascii="Garamond" w:hAnsi="Garamond"/>
          <w:sz w:val="24"/>
          <w:szCs w:val="24"/>
        </w:rPr>
      </w:pPr>
      <w:r>
        <w:rPr>
          <w:rFonts w:ascii="Garamond" w:hAnsi="Garamond"/>
          <w:sz w:val="24"/>
        </w:rPr>
        <w:t>Bestemmelserne i artikel 28, stk. 4, i lovdekret nr. 152-D / 2017 af 11. december, som ændret ved denne lovdekret, finder anvendelse to år efter ikrafttrædelsen af denne lovdekret.</w:t>
      </w:r>
    </w:p>
    <w:p w14:paraId="561C5A3C" w14:textId="77777777" w:rsidR="00FA19BE" w:rsidRDefault="00FA19BE">
      <w:pPr>
        <w:jc w:val="center"/>
        <w:rPr>
          <w:rFonts w:ascii="Garamond" w:hAnsi="Garamond"/>
          <w:sz w:val="24"/>
          <w:szCs w:val="24"/>
        </w:rPr>
      </w:pPr>
    </w:p>
    <w:p w14:paraId="3AA09853" w14:textId="77777777" w:rsidR="00FA19BE" w:rsidRPr="008E5B84" w:rsidRDefault="00FA19BE" w:rsidP="00FA19BE">
      <w:pPr>
        <w:jc w:val="center"/>
        <w:rPr>
          <w:rFonts w:ascii="Garamond" w:hAnsi="Garamond"/>
          <w:sz w:val="24"/>
          <w:szCs w:val="24"/>
        </w:rPr>
      </w:pPr>
      <w:r>
        <w:rPr>
          <w:rFonts w:ascii="Garamond" w:hAnsi="Garamond"/>
          <w:sz w:val="24"/>
        </w:rPr>
        <w:t>Artikel 5</w:t>
      </w:r>
    </w:p>
    <w:p w14:paraId="3E008870" w14:textId="2B7749B8" w:rsidR="00FA19BE" w:rsidRPr="008E5B84" w:rsidRDefault="00FA19BE" w:rsidP="00FA19BE">
      <w:pPr>
        <w:jc w:val="center"/>
        <w:rPr>
          <w:rFonts w:ascii="Garamond" w:hAnsi="Garamond"/>
          <w:sz w:val="24"/>
          <w:szCs w:val="24"/>
        </w:rPr>
      </w:pPr>
      <w:r>
        <w:rPr>
          <w:rFonts w:ascii="Garamond" w:hAnsi="Garamond"/>
          <w:sz w:val="24"/>
        </w:rPr>
        <w:lastRenderedPageBreak/>
        <w:t>Ophævelse</w:t>
      </w:r>
    </w:p>
    <w:p w14:paraId="357EF3D3" w14:textId="36BD9C91" w:rsidR="00FA19BE" w:rsidRPr="008E5B84" w:rsidRDefault="00FA19BE" w:rsidP="00FA19BE">
      <w:pPr>
        <w:shd w:val="clear" w:color="auto" w:fill="FFFFFF"/>
        <w:suppressAutoHyphens w:val="0"/>
        <w:spacing w:after="225" w:line="390" w:lineRule="atLeast"/>
        <w:jc w:val="both"/>
        <w:textAlignment w:val="auto"/>
        <w:rPr>
          <w:rFonts w:ascii="Garamond" w:hAnsi="Garamond"/>
          <w:sz w:val="24"/>
          <w:szCs w:val="24"/>
        </w:rPr>
      </w:pPr>
      <w:r>
        <w:rPr>
          <w:rFonts w:ascii="Garamond" w:hAnsi="Garamond"/>
          <w:sz w:val="24"/>
        </w:rPr>
        <w:t xml:space="preserve">Artikel 28, stk. 1, i lovdekret nr. 152-D / 2017 af 11. december, som ændret ved lov nr. 69/2018 af 26. december og 41/2019 af 21. juni, ved lovdekret nr. 86/2020 af 14. oktober, og ændret og genudgivet ved lovdekret nr. 102-D / 2020 af 10. december, ophæves. </w:t>
      </w:r>
    </w:p>
    <w:p w14:paraId="18BEA12B" w14:textId="77777777" w:rsidR="00FA19BE" w:rsidRDefault="00FA19BE">
      <w:pPr>
        <w:jc w:val="center"/>
        <w:rPr>
          <w:rFonts w:ascii="Garamond" w:hAnsi="Garamond"/>
          <w:sz w:val="24"/>
          <w:szCs w:val="24"/>
        </w:rPr>
      </w:pPr>
    </w:p>
    <w:p w14:paraId="2595911C" w14:textId="07A0F7C4" w:rsidR="006D6021" w:rsidRPr="008E5B84" w:rsidRDefault="00311339">
      <w:pPr>
        <w:jc w:val="center"/>
        <w:rPr>
          <w:rFonts w:ascii="Garamond" w:hAnsi="Garamond"/>
          <w:sz w:val="24"/>
          <w:szCs w:val="24"/>
        </w:rPr>
      </w:pPr>
      <w:r>
        <w:rPr>
          <w:rFonts w:ascii="Garamond" w:hAnsi="Garamond"/>
          <w:sz w:val="24"/>
        </w:rPr>
        <w:t>Artikel 6</w:t>
      </w:r>
    </w:p>
    <w:p w14:paraId="75EC9DA9" w14:textId="77777777" w:rsidR="006D6021" w:rsidRPr="008E5B84" w:rsidRDefault="00311339">
      <w:pPr>
        <w:jc w:val="center"/>
        <w:rPr>
          <w:rFonts w:ascii="Garamond" w:hAnsi="Garamond"/>
          <w:sz w:val="24"/>
          <w:szCs w:val="24"/>
        </w:rPr>
      </w:pPr>
      <w:r>
        <w:rPr>
          <w:rFonts w:ascii="Garamond" w:hAnsi="Garamond"/>
          <w:sz w:val="24"/>
        </w:rPr>
        <w:t>Ikrafttrædelsesdato</w:t>
      </w:r>
    </w:p>
    <w:p w14:paraId="116948F8" w14:textId="77777777" w:rsidR="006D6021" w:rsidRPr="008E5B84" w:rsidRDefault="00311339" w:rsidP="008E5B84">
      <w:pPr>
        <w:shd w:val="clear" w:color="auto" w:fill="FFFFFF"/>
        <w:suppressAutoHyphens w:val="0"/>
        <w:spacing w:after="225" w:line="390" w:lineRule="atLeast"/>
        <w:jc w:val="both"/>
        <w:textAlignment w:val="auto"/>
        <w:rPr>
          <w:rFonts w:ascii="Garamond" w:hAnsi="Garamond"/>
          <w:sz w:val="24"/>
          <w:szCs w:val="24"/>
        </w:rPr>
      </w:pPr>
      <w:r>
        <w:rPr>
          <w:rFonts w:ascii="Garamond" w:hAnsi="Garamond"/>
          <w:sz w:val="24"/>
        </w:rPr>
        <w:t xml:space="preserve">Denne lovdekret træder i kraft den følgende dato for offentliggørelsen. </w:t>
      </w:r>
    </w:p>
    <w:sectPr w:rsidR="006D6021" w:rsidRPr="008E5B8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514C" w14:textId="77777777" w:rsidR="00071555" w:rsidRDefault="00071555">
      <w:pPr>
        <w:spacing w:after="0"/>
      </w:pPr>
      <w:r>
        <w:separator/>
      </w:r>
    </w:p>
  </w:endnote>
  <w:endnote w:type="continuationSeparator" w:id="0">
    <w:p w14:paraId="3A09787D" w14:textId="77777777" w:rsidR="00071555" w:rsidRDefault="00071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DC03" w14:textId="77777777" w:rsidR="00071555" w:rsidRDefault="00071555">
      <w:pPr>
        <w:spacing w:after="0"/>
      </w:pPr>
      <w:r>
        <w:rPr>
          <w:color w:val="000000"/>
        </w:rPr>
        <w:separator/>
      </w:r>
    </w:p>
  </w:footnote>
  <w:footnote w:type="continuationSeparator" w:id="0">
    <w:p w14:paraId="66F4E6EC" w14:textId="77777777" w:rsidR="00071555" w:rsidRDefault="000715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657"/>
    <w:multiLevelType w:val="multilevel"/>
    <w:tmpl w:val="D05AC05A"/>
    <w:lvl w:ilvl="0">
      <w:start w:val="6"/>
      <w:numFmt w:val="decimal"/>
      <w:lvlText w:val="%1 -"/>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97B0D"/>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 w15:restartNumberingAfterBreak="0">
    <w:nsid w:val="0F392368"/>
    <w:multiLevelType w:val="multilevel"/>
    <w:tmpl w:val="F1BEC4E6"/>
    <w:lvl w:ilvl="0">
      <w:start w:val="1"/>
      <w:numFmt w:val="lowerLetter"/>
      <w:lvlText w:val="%1)"/>
      <w:lvlJc w:val="left"/>
      <w:pPr>
        <w:ind w:left="644" w:hanging="360"/>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3CE25F0"/>
    <w:multiLevelType w:val="multilevel"/>
    <w:tmpl w:val="45E6EE42"/>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1AC33B5"/>
    <w:multiLevelType w:val="multilevel"/>
    <w:tmpl w:val="D7103C30"/>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2DF1C07"/>
    <w:multiLevelType w:val="multilevel"/>
    <w:tmpl w:val="E982D0B8"/>
    <w:lvl w:ilvl="0">
      <w:start w:val="1"/>
      <w:numFmt w:val="decimal"/>
      <w:lvlText w:val="%1 - "/>
      <w:lvlJc w:val="right"/>
      <w:pPr>
        <w:ind w:left="720" w:hanging="360"/>
      </w:p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7E471E"/>
    <w:multiLevelType w:val="multilevel"/>
    <w:tmpl w:val="30E8A17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75F63389"/>
    <w:multiLevelType w:val="multilevel"/>
    <w:tmpl w:val="BC00FD0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DC659A2"/>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21"/>
    <w:rsid w:val="00071555"/>
    <w:rsid w:val="00166DDB"/>
    <w:rsid w:val="001C005C"/>
    <w:rsid w:val="00221984"/>
    <w:rsid w:val="002E3B2F"/>
    <w:rsid w:val="00311339"/>
    <w:rsid w:val="00381105"/>
    <w:rsid w:val="00401FF0"/>
    <w:rsid w:val="005370FE"/>
    <w:rsid w:val="00595413"/>
    <w:rsid w:val="005E437A"/>
    <w:rsid w:val="006D6021"/>
    <w:rsid w:val="00774954"/>
    <w:rsid w:val="007C12A7"/>
    <w:rsid w:val="007E1034"/>
    <w:rsid w:val="00815E10"/>
    <w:rsid w:val="008518A0"/>
    <w:rsid w:val="008600E0"/>
    <w:rsid w:val="008B3D7C"/>
    <w:rsid w:val="008E5B84"/>
    <w:rsid w:val="00913675"/>
    <w:rsid w:val="009207B5"/>
    <w:rsid w:val="009C3B2B"/>
    <w:rsid w:val="00A14A5D"/>
    <w:rsid w:val="00AB6977"/>
    <w:rsid w:val="00AC1D9E"/>
    <w:rsid w:val="00AE3FD7"/>
    <w:rsid w:val="00BB1999"/>
    <w:rsid w:val="00BC4ADA"/>
    <w:rsid w:val="00BD1E18"/>
    <w:rsid w:val="00C37A95"/>
    <w:rsid w:val="00C57444"/>
    <w:rsid w:val="00CD351B"/>
    <w:rsid w:val="00DB12E4"/>
    <w:rsid w:val="00E262CE"/>
    <w:rsid w:val="00E94D66"/>
    <w:rsid w:val="00FA19BE"/>
    <w:rsid w:val="00FB0FBD"/>
    <w:rsid w:val="00FB3CFA"/>
    <w:rsid w:val="00FD44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EA0"/>
  <w15:docId w15:val="{CB9A8596-23B0-4A3D-8DE0-4AA2AE3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da-DK"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4">
    <w:name w:val="Título 4"/>
    <w:basedOn w:val="Normal"/>
    <w:next w:val="Normal"/>
    <w:pPr>
      <w:ind w:firstLine="284"/>
      <w:jc w:val="center"/>
      <w:outlineLvl w:val="3"/>
    </w:pPr>
    <w:rPr>
      <w:rFonts w:ascii="Times New Roman" w:hAnsi="Times New Roman"/>
      <w:sz w:val="20"/>
    </w:rPr>
  </w:style>
  <w:style w:type="character" w:customStyle="1" w:styleId="Ttulo4Carter">
    <w:name w:val="Título 4 Caráter"/>
    <w:basedOn w:val="DefaultParagraphFont"/>
    <w:rPr>
      <w:rFonts w:ascii="Times New Roman" w:hAnsi="Times New Roman" w:cs="Times New Roman"/>
      <w:sz w:val="20"/>
    </w:rPr>
  </w:style>
  <w:style w:type="paragraph" w:styleId="ListParagraph">
    <w:name w:val="List Paragraph"/>
    <w:basedOn w:val="Normal"/>
    <w:pPr>
      <w:ind w:left="720"/>
    </w:pPr>
  </w:style>
  <w:style w:type="character" w:customStyle="1" w:styleId="PargrafodaListaCarter">
    <w:name w:val="Parágrafo da Lista Caráte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TextodebaloCarter">
    <w:name w:val="Texto de balão Caráte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TextodecomentrioCarter">
    <w:name w:val="Texto de comentário Caráter"/>
    <w:basedOn w:val="DefaultParagraphFont"/>
    <w:rPr>
      <w:sz w:val="20"/>
      <w:szCs w:val="20"/>
    </w:rPr>
  </w:style>
  <w:style w:type="paragraph" w:styleId="CommentSubject">
    <w:name w:val="annotation subject"/>
    <w:basedOn w:val="CommentText"/>
    <w:next w:val="CommentText"/>
    <w:rPr>
      <w:b/>
      <w:bCs/>
    </w:rPr>
  </w:style>
  <w:style w:type="character" w:customStyle="1" w:styleId="AssuntodecomentrioCarter">
    <w:name w:val="Assunto de comentário Caráter"/>
    <w:basedOn w:val="TextodecomentrioCarter"/>
    <w:rPr>
      <w:b/>
      <w:bCs/>
      <w:sz w:val="20"/>
      <w:szCs w:val="20"/>
    </w:rPr>
  </w:style>
  <w:style w:type="character" w:styleId="Hyperlink">
    <w:name w:val="Hyperlink"/>
    <w:basedOn w:val="DefaultParagraphFont"/>
    <w:rPr>
      <w:color w:val="0563C1"/>
      <w:u w:val="single"/>
    </w:rPr>
  </w:style>
  <w:style w:type="character" w:customStyle="1" w:styleId="MenoNoResolvida">
    <w:name w:val="Menção Não Resolvida"/>
    <w:basedOn w:val="DefaultParagraphFont"/>
    <w:rPr>
      <w:color w:val="605E5C"/>
      <w:shd w:val="clear" w:color="auto" w:fill="E1DFDD"/>
    </w:rPr>
  </w:style>
  <w:style w:type="paragraph" w:customStyle="1" w:styleId="Default">
    <w:name w:val="Default"/>
    <w:pPr>
      <w:autoSpaceDE w:val="0"/>
      <w:spacing w:after="0"/>
      <w:textAlignment w:val="auto"/>
    </w:pPr>
    <w:rPr>
      <w:rFonts w:cs="Calibri"/>
      <w:color w:val="000000"/>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114337042/details/normal?l=1" TargetMode="External"/><Relationship Id="rId13" Type="http://schemas.openxmlformats.org/officeDocument/2006/relationships/hyperlink" Target="https://dre.pt/application/external/eurolex?12L0019" TargetMode="External"/><Relationship Id="rId18" Type="http://schemas.openxmlformats.org/officeDocument/2006/relationships/hyperlink" Target="https://dre.pt/web/guest/pesquisa/-/search/117484671/details/normal?l=1" TargetMode="External"/><Relationship Id="rId3" Type="http://schemas.openxmlformats.org/officeDocument/2006/relationships/styles" Target="styles.xml"/><Relationship Id="rId21" Type="http://schemas.openxmlformats.org/officeDocument/2006/relationships/hyperlink" Target="https://dre.pt/web/guest/pesquisa/-/search/114337042/details/normal?l=1" TargetMode="External"/><Relationship Id="rId7" Type="http://schemas.openxmlformats.org/officeDocument/2006/relationships/endnotes" Target="endnotes.xml"/><Relationship Id="rId12" Type="http://schemas.openxmlformats.org/officeDocument/2006/relationships/hyperlink" Target="https://dre.pt/application/external/eurolex?06L0066" TargetMode="External"/><Relationship Id="rId17" Type="http://schemas.openxmlformats.org/officeDocument/2006/relationships/hyperlink" Target="https://dre.pt/web/guest/pesquisa/-/search/114337042/details/normal?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e.pt/web/guest/pesquisa/-/search/114337042/details/normal?l=1" TargetMode="External"/><Relationship Id="rId20" Type="http://schemas.openxmlformats.org/officeDocument/2006/relationships/hyperlink" Target="https://dre.pt/web/guest/pesquisa/-/search/145359680/details/normal?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external/eurolex?00L00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e.pt/application/external/eurolex?15L1535" TargetMode="External"/><Relationship Id="rId23" Type="http://schemas.openxmlformats.org/officeDocument/2006/relationships/hyperlink" Target="https://dre.pt/web/guest/pesquisa/-/search/114337042/details/normal?l=1" TargetMode="External"/><Relationship Id="rId10" Type="http://schemas.openxmlformats.org/officeDocument/2006/relationships/hyperlink" Target="https://dre.pt/application/external/eurolex?18L0852" TargetMode="External"/><Relationship Id="rId19" Type="http://schemas.openxmlformats.org/officeDocument/2006/relationships/hyperlink" Target="https://dre.pt/web/guest/pesquisa/-/search/122627506/details/normal?l=1" TargetMode="External"/><Relationship Id="rId4" Type="http://schemas.openxmlformats.org/officeDocument/2006/relationships/settings" Target="settings.xml"/><Relationship Id="rId9" Type="http://schemas.openxmlformats.org/officeDocument/2006/relationships/hyperlink" Target="https://dre.pt/application/external/eurolex?94L0062" TargetMode="External"/><Relationship Id="rId14" Type="http://schemas.openxmlformats.org/officeDocument/2006/relationships/hyperlink" Target="https://dre.pt/application/external/eurolex?18L0849" TargetMode="External"/><Relationship Id="rId22" Type="http://schemas.openxmlformats.org/officeDocument/2006/relationships/hyperlink" Target="https://dre.pt/web/guest/pesquisa/-/search/114337042/details/normal?l=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0415-889B-4084-922C-B491886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2200</Words>
  <Characters>12543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GSEAMB</dc:creator>
  <dc:description/>
  <cp:lastModifiedBy>Dimitris Dimitriadis</cp:lastModifiedBy>
  <cp:revision>11</cp:revision>
  <dcterms:created xsi:type="dcterms:W3CDTF">2021-02-18T16:42:00Z</dcterms:created>
  <dcterms:modified xsi:type="dcterms:W3CDTF">2021-03-04T13:58:00Z</dcterms:modified>
</cp:coreProperties>
</file>