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5225A" w14:textId="77777777" w:rsidR="006D6021" w:rsidRPr="008E5B84" w:rsidRDefault="00311339">
      <w:pPr>
        <w:pStyle w:val="Ttulo4"/>
        <w:widowControl w:val="0"/>
        <w:spacing w:after="120" w:line="360" w:lineRule="auto"/>
        <w:ind w:firstLine="0"/>
        <w:jc w:val="both"/>
        <w:outlineLvl w:val="9"/>
        <w:rPr>
          <w:rFonts w:ascii="Garamond" w:hAnsi="Garamond"/>
          <w:sz w:val="24"/>
          <w:szCs w:val="24"/>
        </w:rPr>
      </w:pPr>
      <w:r>
        <w:rPr>
          <w:rFonts w:ascii="Garamond" w:hAnsi="Garamond"/>
          <w:sz w:val="24"/>
        </w:rPr>
        <w:t xml:space="preserve">DL nr. XX/2020 </w:t>
      </w:r>
    </w:p>
    <w:p w14:paraId="6DE39AE1" w14:textId="77777777" w:rsidR="006D6021" w:rsidRPr="008E5B84" w:rsidRDefault="00311339">
      <w:pPr>
        <w:pStyle w:val="Ttulo4"/>
        <w:widowControl w:val="0"/>
        <w:spacing w:after="120" w:line="360" w:lineRule="auto"/>
        <w:ind w:firstLine="0"/>
        <w:jc w:val="both"/>
        <w:outlineLvl w:val="9"/>
        <w:rPr>
          <w:rFonts w:ascii="Garamond" w:hAnsi="Garamond"/>
          <w:sz w:val="24"/>
          <w:szCs w:val="24"/>
        </w:rPr>
      </w:pPr>
      <w:bookmarkStart w:id="0" w:name="_Hlk61623095"/>
      <w:r>
        <w:t>Decretul-lege nr. 102-D/2020 din 10 decembrie</w:t>
      </w:r>
      <w:bookmarkEnd w:id="0"/>
      <w:r>
        <w:t xml:space="preserve"> de actualizare a </w:t>
      </w:r>
      <w:hyperlink r:id="rId8" w:tooltip="Decretul-lege nr. 152-D/2017" w:history="1">
        <w:r>
          <w:rPr>
            <w:rFonts w:ascii="Garamond" w:hAnsi="Garamond"/>
            <w:sz w:val="24"/>
          </w:rPr>
          <w:t>Decretului-lege nr. 152-D/2017</w:t>
        </w:r>
      </w:hyperlink>
      <w:r>
        <w:t xml:space="preserve"> din 11 decembrie, prin transpunerea în dreptul intern a </w:t>
      </w:r>
      <w:hyperlink r:id="rId9" w:tooltip="Link către Directiva Uniunii Europene" w:history="1">
        <w:r>
          <w:rPr>
            <w:rFonts w:ascii="Garamond" w:hAnsi="Garamond"/>
            <w:sz w:val="24"/>
          </w:rPr>
          <w:t>Directivei 94/62/CE</w:t>
        </w:r>
      </w:hyperlink>
      <w:r>
        <w:t xml:space="preserve"> a Parlamentului European și a Consiliului din 20 decembrie 1994 privind ambalajele și deșeurile de ambalaje, astfel cum a fost modificată prin Directiva (UE) </w:t>
      </w:r>
      <w:hyperlink r:id="rId10" w:tooltip="Link către Directiva Uniunii Europene" w:history="1">
        <w:r>
          <w:rPr>
            <w:rFonts w:ascii="Garamond" w:hAnsi="Garamond"/>
            <w:sz w:val="24"/>
          </w:rPr>
          <w:t>2018/852</w:t>
        </w:r>
      </w:hyperlink>
      <w:r>
        <w:t xml:space="preserve"> a Parlamentului European și a Consiliului din 30 mai 2018, precum și a Directivelor </w:t>
      </w:r>
      <w:hyperlink r:id="rId11" w:tooltip="Link către Directiva Uniunii Europene" w:history="1">
        <w:r>
          <w:rPr>
            <w:rFonts w:ascii="Garamond" w:hAnsi="Garamond"/>
            <w:sz w:val="24"/>
          </w:rPr>
          <w:t>2000/53/CE</w:t>
        </w:r>
      </w:hyperlink>
      <w:r>
        <w:t xml:space="preserve"> privind vehiculele scoase din uz, </w:t>
      </w:r>
      <w:hyperlink r:id="rId12" w:tooltip="Link către Directiva Uniunii Europene" w:history="1">
        <w:r>
          <w:rPr>
            <w:rFonts w:ascii="Garamond" w:hAnsi="Garamond"/>
            <w:sz w:val="24"/>
          </w:rPr>
          <w:t>2006/66/CE</w:t>
        </w:r>
      </w:hyperlink>
      <w:r>
        <w:t xml:space="preserve"> privind bateriile și acumulatorii și deșeurile de baterii și acumulatori, </w:t>
      </w:r>
      <w:hyperlink r:id="rId13" w:tooltip="Link către Directiva Uniunii Europene" w:history="1">
        <w:r>
          <w:rPr>
            <w:rFonts w:ascii="Garamond" w:hAnsi="Garamond"/>
            <w:sz w:val="24"/>
          </w:rPr>
          <w:t>2012/19/EU</w:t>
        </w:r>
      </w:hyperlink>
      <w:r>
        <w:t xml:space="preserve"> privind deșeurile de echipamente electrice și electronice, astfel cum a fost modificată prin Directiva (UE) </w:t>
      </w:r>
      <w:hyperlink r:id="rId14" w:tooltip="Link către Directiva Uniunii Europene" w:history="1">
        <w:r>
          <w:rPr>
            <w:rFonts w:ascii="Garamond" w:hAnsi="Garamond"/>
            <w:sz w:val="24"/>
          </w:rPr>
          <w:t>2018/849</w:t>
        </w:r>
      </w:hyperlink>
      <w:r>
        <w:t xml:space="preserve"> a Parlamentului European și a Consiliului din 30 mai 2018.</w:t>
      </w:r>
    </w:p>
    <w:p w14:paraId="4FB9A5D2" w14:textId="77777777" w:rsidR="006D6021" w:rsidRPr="008E5B84" w:rsidRDefault="00311339">
      <w:pPr>
        <w:spacing w:after="120" w:line="360" w:lineRule="auto"/>
        <w:jc w:val="both"/>
        <w:rPr>
          <w:rFonts w:ascii="Garamond" w:hAnsi="Garamond"/>
          <w:sz w:val="24"/>
          <w:szCs w:val="24"/>
        </w:rPr>
      </w:pPr>
      <w:r>
        <w:t xml:space="preserve">Pentru a transpune rapid aceste directive și pentru a se conforma procedurii de informare în domeniul reglementărilor tehnice și al normelor privind serviciile societății informaționale prevăzute în </w:t>
      </w:r>
      <w:hyperlink r:id="rId15" w:tooltip="Link către Directiva Uniunii Europene" w:history="1">
        <w:r>
          <w:rPr>
            <w:rFonts w:ascii="Garamond" w:hAnsi="Garamond"/>
            <w:sz w:val="24"/>
          </w:rPr>
          <w:t>Directiva (UE) 2015/1535</w:t>
        </w:r>
      </w:hyperlink>
      <w:r>
        <w:t xml:space="preserve"> a Parlamentului European și a Consiliului din 9 septembrie 2015, au fost prezentate spre aprobare, la o dată ulterioară, modificările necesare aduse </w:t>
      </w:r>
      <w:hyperlink r:id="rId16" w:tooltip="Decretul-lege nr. 152-D/2017" w:history="1">
        <w:r>
          <w:rPr>
            <w:rFonts w:ascii="Garamond" w:hAnsi="Garamond"/>
            <w:sz w:val="24"/>
          </w:rPr>
          <w:t>Decretului-lege nr. 152-D/2017</w:t>
        </w:r>
      </w:hyperlink>
      <w:r>
        <w:t xml:space="preserve"> din 11 decembrie.</w:t>
      </w:r>
      <w:r>
        <w:rPr>
          <w:rFonts w:ascii="Garamond" w:hAnsi="Garamond"/>
          <w:sz w:val="24"/>
        </w:rPr>
        <w:t xml:space="preserve"> </w:t>
      </w:r>
    </w:p>
    <w:p w14:paraId="201B3B56" w14:textId="77777777" w:rsidR="006D6021" w:rsidRPr="008E5B84" w:rsidRDefault="00311339">
      <w:pPr>
        <w:spacing w:after="120" w:line="360" w:lineRule="auto"/>
        <w:jc w:val="both"/>
        <w:rPr>
          <w:rFonts w:ascii="Garamond" w:hAnsi="Garamond"/>
          <w:sz w:val="24"/>
          <w:szCs w:val="24"/>
        </w:rPr>
      </w:pPr>
      <w:r>
        <w:rPr>
          <w:rFonts w:ascii="Garamond" w:hAnsi="Garamond"/>
          <w:sz w:val="24"/>
        </w:rPr>
        <w:t xml:space="preserve">Prin urmare, Decretul-lege aprobă actualizările menționate mai sus, în special introducerea marcării ambalajelor reutilizabile și a ambalajelor gestionate în cadrul sistemului de depozitare, precum și a marcării ambalajelor reciclabile cu instrucțiuni de sortare corespunzătoare. Acesta prevede, de asemenea, obligația operatorilor de tratare a deșeurilor de a dovedi anual în fața licențiatorului, printr-un document emis de verificatori calificați, că cerințele de calificare și standardele aplicabile sunt îndeplinite. </w:t>
      </w:r>
    </w:p>
    <w:p w14:paraId="4FC0281C" w14:textId="77777777" w:rsidR="006D6021" w:rsidRPr="008E5B84" w:rsidRDefault="00311339">
      <w:pPr>
        <w:pStyle w:val="Ttulo4"/>
        <w:widowControl w:val="0"/>
        <w:spacing w:after="120" w:line="360" w:lineRule="auto"/>
        <w:ind w:firstLine="0"/>
        <w:jc w:val="left"/>
        <w:outlineLvl w:val="9"/>
        <w:rPr>
          <w:rFonts w:ascii="Garamond" w:hAnsi="Garamond"/>
          <w:sz w:val="24"/>
          <w:szCs w:val="24"/>
        </w:rPr>
      </w:pPr>
      <w:r>
        <w:rPr>
          <w:rFonts w:ascii="Garamond" w:hAnsi="Garamond"/>
          <w:sz w:val="24"/>
        </w:rPr>
        <w:t>Organismele de auto-guvernare ale Regiunilor Autonome au fost audiate.</w:t>
      </w:r>
    </w:p>
    <w:p w14:paraId="19CF9A28" w14:textId="77777777" w:rsidR="006D6021" w:rsidRPr="008E5B84" w:rsidRDefault="00311339">
      <w:pPr>
        <w:pStyle w:val="NormalWeb"/>
        <w:shd w:val="clear" w:color="auto" w:fill="FFFFFF"/>
        <w:spacing w:before="0" w:after="225" w:line="390" w:lineRule="atLeast"/>
        <w:jc w:val="both"/>
        <w:rPr>
          <w:rFonts w:ascii="Garamond" w:eastAsia="Calibri" w:hAnsi="Garamond"/>
        </w:rPr>
      </w:pPr>
      <w:r>
        <w:rPr>
          <w:rFonts w:ascii="Garamond" w:hAnsi="Garamond"/>
        </w:rPr>
        <w:t>Prin urmare:</w:t>
      </w:r>
    </w:p>
    <w:p w14:paraId="4C59BE28" w14:textId="77777777" w:rsidR="006D6021" w:rsidRPr="008E5B84" w:rsidRDefault="00311339">
      <w:pPr>
        <w:pStyle w:val="NormalWeb"/>
        <w:shd w:val="clear" w:color="auto" w:fill="FFFFFF"/>
        <w:spacing w:before="0" w:after="225" w:line="390" w:lineRule="atLeast"/>
        <w:jc w:val="both"/>
        <w:rPr>
          <w:rFonts w:ascii="Garamond" w:eastAsia="Calibri" w:hAnsi="Garamond"/>
        </w:rPr>
      </w:pPr>
      <w:r>
        <w:rPr>
          <w:rFonts w:ascii="Garamond" w:hAnsi="Garamond"/>
        </w:rPr>
        <w:t>În temeiul articolului 198 alineatul (1) litera (a) din Constituție, guvernul decretează următoarele:</w:t>
      </w:r>
    </w:p>
    <w:p w14:paraId="29E0E544" w14:textId="77777777" w:rsidR="006D6021" w:rsidRPr="008E5B84" w:rsidRDefault="006D6021">
      <w:pPr>
        <w:pStyle w:val="NormalWeb"/>
        <w:shd w:val="clear" w:color="auto" w:fill="FFFFFF"/>
        <w:spacing w:before="0" w:after="225" w:line="390" w:lineRule="atLeast"/>
        <w:jc w:val="both"/>
        <w:rPr>
          <w:rFonts w:ascii="Garamond" w:hAnsi="Garamond"/>
          <w:color w:val="333333"/>
        </w:rPr>
      </w:pPr>
    </w:p>
    <w:p w14:paraId="33C82849" w14:textId="77777777" w:rsidR="006D6021" w:rsidRPr="008E5B84" w:rsidRDefault="00BC4ADA" w:rsidP="00BC4ADA">
      <w:pPr>
        <w:suppressAutoHyphens w:val="0"/>
        <w:rPr>
          <w:rFonts w:ascii="Garamond" w:eastAsia="Times New Roman" w:hAnsi="Garamond"/>
          <w:color w:val="333333"/>
          <w:sz w:val="24"/>
          <w:szCs w:val="24"/>
        </w:rPr>
      </w:pPr>
      <w:r>
        <w:br w:type="page"/>
      </w:r>
    </w:p>
    <w:p w14:paraId="20BE5668" w14:textId="77777777" w:rsidR="006D6021" w:rsidRPr="008E5B84" w:rsidRDefault="00311339">
      <w:pPr>
        <w:pStyle w:val="Ttulo4"/>
        <w:widowControl w:val="0"/>
        <w:spacing w:after="120" w:line="360" w:lineRule="auto"/>
        <w:outlineLvl w:val="9"/>
        <w:rPr>
          <w:rFonts w:ascii="Garamond" w:hAnsi="Garamond"/>
          <w:sz w:val="24"/>
          <w:szCs w:val="24"/>
        </w:rPr>
      </w:pPr>
      <w:r>
        <w:rPr>
          <w:rFonts w:ascii="Garamond" w:hAnsi="Garamond"/>
          <w:sz w:val="24"/>
        </w:rPr>
        <w:lastRenderedPageBreak/>
        <w:t>Articolul 1</w:t>
      </w:r>
    </w:p>
    <w:p w14:paraId="41059E1C" w14:textId="77777777" w:rsidR="006D6021" w:rsidRPr="008E5B84" w:rsidRDefault="00311339">
      <w:pPr>
        <w:pStyle w:val="Ttulo4"/>
        <w:widowControl w:val="0"/>
        <w:spacing w:after="120" w:line="360" w:lineRule="auto"/>
        <w:outlineLvl w:val="9"/>
        <w:rPr>
          <w:rFonts w:ascii="Garamond" w:hAnsi="Garamond"/>
          <w:sz w:val="24"/>
          <w:szCs w:val="24"/>
        </w:rPr>
      </w:pPr>
      <w:r>
        <w:rPr>
          <w:rFonts w:ascii="Garamond" w:hAnsi="Garamond"/>
          <w:sz w:val="24"/>
        </w:rPr>
        <w:t>Obiectul</w:t>
      </w:r>
    </w:p>
    <w:p w14:paraId="0F8F7935" w14:textId="77777777" w:rsidR="006D6021" w:rsidRPr="008E5B84" w:rsidRDefault="00311339">
      <w:pPr>
        <w:pStyle w:val="Ttulo4"/>
        <w:widowControl w:val="0"/>
        <w:spacing w:after="120" w:line="360" w:lineRule="auto"/>
        <w:ind w:firstLine="0"/>
        <w:jc w:val="both"/>
        <w:outlineLvl w:val="9"/>
        <w:rPr>
          <w:rFonts w:ascii="Garamond" w:hAnsi="Garamond"/>
          <w:sz w:val="24"/>
          <w:szCs w:val="24"/>
        </w:rPr>
      </w:pPr>
      <w:r>
        <w:t xml:space="preserve">Prezentul Decret-lege aduce a cincea modificare a </w:t>
      </w:r>
      <w:hyperlink r:id="rId17" w:tooltip="Decretul-lege nr. 152-D/2017" w:history="1">
        <w:r>
          <w:rPr>
            <w:rFonts w:ascii="Garamond" w:hAnsi="Garamond"/>
            <w:sz w:val="24"/>
          </w:rPr>
          <w:t>Decretului-lege nr. 152-D/2017</w:t>
        </w:r>
      </w:hyperlink>
      <w:r>
        <w:t xml:space="preserve"> din 11 decembrie, astfel cum a fost modificat prin Legile nr. </w:t>
      </w:r>
      <w:hyperlink r:id="rId18" w:tooltip="Legea nr. 69/2018" w:history="1">
        <w:r>
          <w:rPr>
            <w:rFonts w:ascii="Garamond" w:hAnsi="Garamond"/>
            <w:sz w:val="24"/>
          </w:rPr>
          <w:t>69/2018</w:t>
        </w:r>
      </w:hyperlink>
      <w:r>
        <w:t xml:space="preserve"> din 26 decembrie și </w:t>
      </w:r>
      <w:hyperlink r:id="rId19" w:tooltip="Legea nr. 41/2019" w:history="1">
        <w:r>
          <w:rPr>
            <w:rFonts w:ascii="Garamond" w:hAnsi="Garamond"/>
            <w:sz w:val="24"/>
          </w:rPr>
          <w:t>41/2019</w:t>
        </w:r>
      </w:hyperlink>
      <w:r>
        <w:t xml:space="preserve"> din 21 iunie, prin </w:t>
      </w:r>
      <w:hyperlink r:id="rId20" w:tooltip="Decretul-lege nr. 86/2020" w:history="1">
        <w:r>
          <w:rPr>
            <w:rFonts w:ascii="Garamond" w:hAnsi="Garamond"/>
            <w:sz w:val="24"/>
          </w:rPr>
          <w:t>Decretul-lege nr. 86/2020</w:t>
        </w:r>
      </w:hyperlink>
      <w:r>
        <w:t xml:space="preserve"> din 14 octombrie, și modificat și republicat prin Decretul-lege nr. 102-D/2020 din 10 decembrie.</w:t>
      </w:r>
      <w:r>
        <w:rPr>
          <w:rFonts w:ascii="Garamond" w:hAnsi="Garamond"/>
          <w:sz w:val="24"/>
        </w:rPr>
        <w:t xml:space="preserve"> </w:t>
      </w:r>
    </w:p>
    <w:p w14:paraId="0E29A25A" w14:textId="77777777" w:rsidR="006D6021" w:rsidRPr="008E5B84" w:rsidRDefault="00311339">
      <w:pPr>
        <w:jc w:val="center"/>
        <w:rPr>
          <w:rFonts w:ascii="Garamond" w:hAnsi="Garamond"/>
          <w:sz w:val="24"/>
          <w:szCs w:val="24"/>
        </w:rPr>
      </w:pPr>
      <w:r>
        <w:rPr>
          <w:rFonts w:ascii="Garamond" w:hAnsi="Garamond"/>
          <w:sz w:val="24"/>
        </w:rPr>
        <w:t>Articolul 2</w:t>
      </w:r>
    </w:p>
    <w:p w14:paraId="6E45FDBB" w14:textId="77777777" w:rsidR="006D6021" w:rsidRPr="008E5B84" w:rsidRDefault="00311339">
      <w:pPr>
        <w:jc w:val="center"/>
        <w:rPr>
          <w:rFonts w:ascii="Garamond" w:hAnsi="Garamond"/>
          <w:sz w:val="24"/>
          <w:szCs w:val="24"/>
        </w:rPr>
      </w:pPr>
      <w:r>
        <w:rPr>
          <w:rFonts w:ascii="Garamond" w:hAnsi="Garamond"/>
          <w:sz w:val="24"/>
        </w:rPr>
        <w:t>Modificare a Decretului-lege nr. 152-D/2017 din 11 decembrie</w:t>
      </w:r>
    </w:p>
    <w:p w14:paraId="0E23E121" w14:textId="77777777" w:rsidR="006D6021" w:rsidRPr="008E5B84" w:rsidRDefault="00311339">
      <w:pPr>
        <w:pStyle w:val="NormalWeb"/>
        <w:shd w:val="clear" w:color="auto" w:fill="FFFFFF"/>
        <w:spacing w:before="0" w:after="225" w:line="390" w:lineRule="atLeast"/>
        <w:jc w:val="both"/>
        <w:rPr>
          <w:rFonts w:ascii="Garamond" w:hAnsi="Garamond"/>
        </w:rPr>
      </w:pPr>
      <w:r>
        <w:t xml:space="preserve">Articolele 8, 23, 28 și 90 din </w:t>
      </w:r>
      <w:hyperlink r:id="rId21" w:tooltip="Decretul-lege nr. 152-D/2017" w:history="1">
        <w:r>
          <w:rPr>
            <w:rFonts w:ascii="Garamond" w:hAnsi="Garamond"/>
          </w:rPr>
          <w:t>Decretul-lege nr. 152-D/2017</w:t>
        </w:r>
      </w:hyperlink>
      <w:r>
        <w:t xml:space="preserve"> din 11 decembrie, în formularea lor actuală, se înlocuiesc cu următorul text:</w:t>
      </w:r>
    </w:p>
    <w:p w14:paraId="11805B93" w14:textId="77777777" w:rsidR="006D6021" w:rsidRPr="008E5B84" w:rsidRDefault="00311339">
      <w:pPr>
        <w:shd w:val="clear" w:color="auto" w:fill="FFFFFF"/>
        <w:suppressAutoHyphens w:val="0"/>
        <w:spacing w:after="225" w:line="390" w:lineRule="atLeast"/>
        <w:jc w:val="center"/>
        <w:textAlignment w:val="auto"/>
        <w:rPr>
          <w:rFonts w:ascii="Garamond" w:hAnsi="Garamond"/>
          <w:sz w:val="24"/>
          <w:szCs w:val="24"/>
        </w:rPr>
      </w:pPr>
      <w:r>
        <w:rPr>
          <w:rFonts w:ascii="Garamond" w:hAnsi="Garamond"/>
          <w:sz w:val="24"/>
        </w:rPr>
        <w:t>„Articolul 8</w:t>
      </w:r>
    </w:p>
    <w:p w14:paraId="0445CCCE" w14:textId="77777777" w:rsidR="006D6021" w:rsidRPr="008E5B84" w:rsidRDefault="00311339">
      <w:pPr>
        <w:pStyle w:val="Ttulo4"/>
        <w:widowControl w:val="0"/>
        <w:spacing w:after="120" w:line="360" w:lineRule="auto"/>
        <w:outlineLvl w:val="9"/>
        <w:rPr>
          <w:rFonts w:ascii="Garamond" w:hAnsi="Garamond"/>
          <w:sz w:val="24"/>
          <w:szCs w:val="24"/>
        </w:rPr>
      </w:pPr>
      <w:r>
        <w:rPr>
          <w:rFonts w:ascii="Garamond" w:hAnsi="Garamond"/>
          <w:sz w:val="24"/>
        </w:rPr>
        <w:t>Calificarea operatorilor de tratare a deșeurilor, inclusiv de depozitare</w:t>
      </w:r>
    </w:p>
    <w:p w14:paraId="04CEA95F" w14:textId="77777777" w:rsidR="006D6021" w:rsidRPr="008E5B84" w:rsidRDefault="00311339">
      <w:pPr>
        <w:pStyle w:val="ListParagraph"/>
        <w:widowControl w:val="0"/>
        <w:numPr>
          <w:ilvl w:val="0"/>
          <w:numId w:val="1"/>
        </w:numPr>
        <w:spacing w:after="120" w:line="360" w:lineRule="auto"/>
        <w:ind w:left="993" w:right="567" w:hanging="426"/>
        <w:jc w:val="both"/>
        <w:rPr>
          <w:rFonts w:ascii="Garamond" w:hAnsi="Garamond"/>
          <w:sz w:val="24"/>
          <w:szCs w:val="24"/>
        </w:rPr>
      </w:pPr>
      <w:r>
        <w:rPr>
          <w:rFonts w:ascii="Garamond" w:hAnsi="Garamond"/>
          <w:sz w:val="24"/>
        </w:rPr>
        <w:t xml:space="preserve">Fără a aduce atingere alineatelor (5) și (6), operatorii de tratare a deșeurilor, inclusiv de depozitare, care funcționează în cadrul fluxurilor specifice de deșeuri, fac obiectul unor cerințe de calificare pentru controlul și trasabilitatea eficientă a deșeurilor tratate, în conformitate cu obiectivele și țintele stabilite în prezentul decret-lege. </w:t>
      </w:r>
    </w:p>
    <w:p w14:paraId="07444D46" w14:textId="77777777" w:rsidR="006D6021" w:rsidRPr="008E5B84" w:rsidRDefault="00311339">
      <w:pPr>
        <w:pStyle w:val="ListParagraph"/>
        <w:widowControl w:val="0"/>
        <w:numPr>
          <w:ilvl w:val="0"/>
          <w:numId w:val="1"/>
        </w:numPr>
        <w:spacing w:after="120" w:line="360" w:lineRule="auto"/>
        <w:ind w:left="993" w:right="567" w:hanging="426"/>
        <w:jc w:val="both"/>
        <w:rPr>
          <w:rFonts w:ascii="Garamond" w:hAnsi="Garamond"/>
          <w:sz w:val="24"/>
          <w:szCs w:val="24"/>
        </w:rPr>
      </w:pPr>
      <w:r>
        <w:rPr>
          <w:rFonts w:ascii="Garamond" w:hAnsi="Garamond"/>
          <w:sz w:val="24"/>
        </w:rPr>
        <w:t xml:space="preserve">Cerințele menționate la alineatul anterior, precum și domeniul lor de aplicare, sunt stabilite de </w:t>
      </w:r>
      <w:r>
        <w:rPr>
          <w:rFonts w:ascii="Garamond" w:hAnsi="Garamond"/>
          <w:sz w:val="24"/>
          <w:shd w:val="clear" w:color="auto" w:fill="FFFFFF"/>
        </w:rPr>
        <w:t>Agenția Portugheză de Mediu, I.P. (</w:t>
      </w:r>
      <w:r>
        <w:rPr>
          <w:rFonts w:ascii="Garamond" w:hAnsi="Garamond"/>
          <w:sz w:val="24"/>
        </w:rPr>
        <w:t xml:space="preserve">APA, I.P.), după audierea asociațiilor reprezentative ale operatorilor de gestionare a deșeurilor, ale autorităților de acordare a licențelor, ale entităților responsabile cu gestionarea sistemelor integrate de deșeuri și ale altor entități pe care le consideră relevante pentru consultare, ținând seama de criteriile tehnice de calitate și eficiență, și publicate pe site-ul lor web. </w:t>
      </w:r>
    </w:p>
    <w:p w14:paraId="62552CE7" w14:textId="77777777" w:rsidR="006D6021" w:rsidRPr="008E5B84" w:rsidRDefault="00311339">
      <w:pPr>
        <w:pStyle w:val="ListParagraph"/>
        <w:widowControl w:val="0"/>
        <w:numPr>
          <w:ilvl w:val="0"/>
          <w:numId w:val="1"/>
        </w:numPr>
        <w:spacing w:after="120" w:line="360" w:lineRule="auto"/>
        <w:ind w:left="993" w:right="567" w:hanging="426"/>
        <w:jc w:val="both"/>
        <w:rPr>
          <w:rFonts w:ascii="Garamond" w:hAnsi="Garamond"/>
          <w:sz w:val="24"/>
          <w:szCs w:val="24"/>
        </w:rPr>
      </w:pPr>
      <w:r>
        <w:rPr>
          <w:rFonts w:ascii="Garamond" w:hAnsi="Garamond"/>
          <w:sz w:val="24"/>
        </w:rPr>
        <w:t xml:space="preserve">[…]  </w:t>
      </w:r>
    </w:p>
    <w:p w14:paraId="78A875C7" w14:textId="77777777" w:rsidR="006D6021" w:rsidRPr="008E5B84" w:rsidRDefault="00311339">
      <w:pPr>
        <w:pStyle w:val="ListParagraph"/>
        <w:widowControl w:val="0"/>
        <w:numPr>
          <w:ilvl w:val="0"/>
          <w:numId w:val="1"/>
        </w:numPr>
        <w:spacing w:after="120" w:line="360" w:lineRule="auto"/>
        <w:ind w:left="993" w:right="567" w:hanging="426"/>
        <w:jc w:val="both"/>
        <w:rPr>
          <w:rFonts w:ascii="Garamond" w:hAnsi="Garamond"/>
          <w:sz w:val="24"/>
          <w:szCs w:val="24"/>
        </w:rPr>
      </w:pPr>
      <w:r>
        <w:rPr>
          <w:rFonts w:ascii="Garamond" w:hAnsi="Garamond"/>
          <w:sz w:val="24"/>
        </w:rPr>
        <w:t xml:space="preserve">Cerințele menționate la alineatele precedente sunt stabilite în autorizațiile operatorilor de tratare a deșeurilor, iar conformitatea acestora trebuie demonstrată în conformitate cu alineatele (8) și (10). </w:t>
      </w:r>
    </w:p>
    <w:p w14:paraId="71BB47A7" w14:textId="77777777" w:rsidR="006D6021" w:rsidRPr="008E5B84" w:rsidRDefault="00311339">
      <w:pPr>
        <w:pStyle w:val="ListParagraph"/>
        <w:widowControl w:val="0"/>
        <w:numPr>
          <w:ilvl w:val="0"/>
          <w:numId w:val="1"/>
        </w:numPr>
        <w:spacing w:after="120" w:line="360" w:lineRule="auto"/>
        <w:ind w:left="993" w:right="567" w:hanging="426"/>
        <w:jc w:val="both"/>
        <w:rPr>
          <w:rFonts w:ascii="Garamond" w:hAnsi="Garamond"/>
          <w:sz w:val="24"/>
          <w:szCs w:val="24"/>
        </w:rPr>
      </w:pPr>
      <w:r>
        <w:rPr>
          <w:rFonts w:ascii="Garamond" w:hAnsi="Garamond"/>
          <w:sz w:val="24"/>
        </w:rPr>
        <w:t xml:space="preserve">Operatorii de tratare a deșeurilor, inclusiv de depozitare, care funcționează în cadrul fluxului specific de DEEE sunt certificați de NP EN 50625-1:2014 </w:t>
      </w:r>
      <w:r>
        <w:rPr>
          <w:rFonts w:ascii="Garamond" w:hAnsi="Garamond"/>
          <w:sz w:val="24"/>
        </w:rPr>
        <w:lastRenderedPageBreak/>
        <w:t>„Cerințe pentru colectarea, transportul și tratarea DEEE – partea 1: Cerințe și tratamente generale” cu formularea actualizată și cu standardul care îl înlocuiește.</w:t>
      </w:r>
    </w:p>
    <w:p w14:paraId="38B8D551" w14:textId="77777777" w:rsidR="006D6021" w:rsidRPr="008E5B84" w:rsidRDefault="00311339">
      <w:pPr>
        <w:pStyle w:val="ListParagraph"/>
        <w:widowControl w:val="0"/>
        <w:numPr>
          <w:ilvl w:val="0"/>
          <w:numId w:val="2"/>
        </w:numPr>
        <w:spacing w:after="120" w:line="360" w:lineRule="auto"/>
        <w:ind w:right="567"/>
        <w:jc w:val="both"/>
        <w:rPr>
          <w:rFonts w:ascii="Garamond" w:hAnsi="Garamond"/>
          <w:sz w:val="24"/>
          <w:szCs w:val="24"/>
        </w:rPr>
      </w:pPr>
      <w:r>
        <w:rPr>
          <w:rFonts w:ascii="Garamond" w:hAnsi="Garamond"/>
          <w:sz w:val="24"/>
        </w:rPr>
        <w:t xml:space="preserve">Operatorii de tratare a DEEE clasificate ca periculoase trebuie, în plus față de certificarea prevăzută la alineatul anterior, să fie certificați conform standardului respectiv din seria de standarde EN 50625, și anume pentru lămpi (NP EN 50625-2-1:2014), afișaje și monitoare (NP EN 50625-2-2:2015) și echipamente de reglare a temperaturii (EN 50625-2-3:2017), cu formularea actualizată și cu standardele care le înlocuiesc. </w:t>
      </w:r>
    </w:p>
    <w:p w14:paraId="25DC63D0" w14:textId="77777777" w:rsidR="006D6021" w:rsidRPr="008E5B84" w:rsidRDefault="00311339">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Alineatul (1) nu se aplică operatorilor care efectuează tratarea deșeurilor într-o unitate industrială în cadrul sistemului industriei responsabile (SIR), cu excepția cazului unei instalații de tratare a deșeurilor extrinsecă activității industriale.</w:t>
      </w:r>
    </w:p>
    <w:p w14:paraId="12EDDECF" w14:textId="77777777" w:rsidR="006D6021" w:rsidRPr="008E5B84" w:rsidRDefault="00311339">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 xml:space="preserve">Operatorii de tratare a deșeurilor menționați la alineatele (1), (5) și (6) trebuie să dovedească, până la data de 31 martie a fiecărui an, în fața organismului de coordonare a licențelor, că cerințele și standardele de calificare aplicabile pentru anul precedent au fost respectate, sub rezerva suspendării totale sau parțiale a licenței în conformitate cu articolul 81 din regimul general de gestionare a deșeurilor. </w:t>
      </w:r>
    </w:p>
    <w:p w14:paraId="4A89602C" w14:textId="77777777" w:rsidR="006D6021" w:rsidRPr="008E5B84" w:rsidRDefault="00311339">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Dispozițiile alineatului anterior se aplică numai dacă, la data de 31 martie, operatorul a fost autorizat pentru tratarea deșeurilor timp de cel puțin șase luni.</w:t>
      </w:r>
    </w:p>
    <w:p w14:paraId="133B61F0" w14:textId="77777777" w:rsidR="006D6021" w:rsidRPr="008E5B84" w:rsidRDefault="00311339">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Dovada conformității cu cerințele de calificare menționate la alineatul (1) se face prin intermediul unui document eliberat de verificatori calificați.</w:t>
      </w:r>
      <w:bookmarkStart w:id="1" w:name="_Hlk52723080"/>
    </w:p>
    <w:bookmarkEnd w:id="1"/>
    <w:p w14:paraId="6828E184" w14:textId="77777777" w:rsidR="006D6021" w:rsidRPr="008E5B84" w:rsidRDefault="00311339">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Criteriile și metodologia de recunoaștere a entităților competente în domeniul certificării și a verificatorilor calificați sunt stabilite prin ordonanța dată de membrul Guvernului responsabil pentru problemele de mediu.</w:t>
      </w:r>
    </w:p>
    <w:p w14:paraId="0360810A" w14:textId="77777777" w:rsidR="006D6021" w:rsidRPr="008E5B84" w:rsidRDefault="00BC4ADA">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t xml:space="preserve">Certificarea prevăzută la alineatele (5) și (6) se efectuează de către o terță parte acreditată. </w:t>
      </w:r>
    </w:p>
    <w:p w14:paraId="28430851" w14:textId="77777777" w:rsidR="006D6021" w:rsidRPr="008E5B84" w:rsidRDefault="00311339">
      <w:pPr>
        <w:pStyle w:val="ListParagraph"/>
        <w:widowControl w:val="0"/>
        <w:numPr>
          <w:ilvl w:val="0"/>
          <w:numId w:val="2"/>
        </w:numPr>
        <w:spacing w:after="120" w:line="360" w:lineRule="auto"/>
        <w:ind w:left="993" w:right="567" w:hanging="426"/>
        <w:jc w:val="both"/>
        <w:rPr>
          <w:rFonts w:ascii="Garamond" w:hAnsi="Garamond"/>
          <w:sz w:val="24"/>
          <w:szCs w:val="24"/>
        </w:rPr>
      </w:pPr>
      <w:r>
        <w:rPr>
          <w:rFonts w:ascii="Garamond" w:hAnsi="Garamond"/>
          <w:sz w:val="24"/>
        </w:rPr>
        <w:lastRenderedPageBreak/>
        <w:t xml:space="preserve">Nerespectarea cerințelor sau a standardelor de calificare, după caz, prevăzute în prezentul articol, constituie un motiv pentru revocarea totală sau parțială a licenței acestora, în conformitate cu articolul 81 din regimul general de gestionare a deșeurilor. </w:t>
      </w:r>
    </w:p>
    <w:p w14:paraId="2EA2E14C" w14:textId="77777777" w:rsidR="006D6021" w:rsidRPr="008E5B84" w:rsidRDefault="00311339">
      <w:pPr>
        <w:widowControl w:val="0"/>
        <w:spacing w:after="120" w:line="360" w:lineRule="auto"/>
        <w:ind w:firstLine="284"/>
        <w:jc w:val="center"/>
        <w:rPr>
          <w:rFonts w:ascii="Garamond" w:hAnsi="Garamond"/>
          <w:sz w:val="24"/>
          <w:szCs w:val="24"/>
        </w:rPr>
      </w:pPr>
      <w:bookmarkStart w:id="2" w:name="_Hlk58518925"/>
      <w:r>
        <w:rPr>
          <w:rFonts w:ascii="Garamond" w:hAnsi="Garamond"/>
          <w:sz w:val="24"/>
        </w:rPr>
        <w:t>Articolul 23</w:t>
      </w:r>
    </w:p>
    <w:p w14:paraId="39A9DA3B" w14:textId="77777777" w:rsidR="006D6021" w:rsidRPr="008E5B84" w:rsidRDefault="008B3D7C">
      <w:pPr>
        <w:widowControl w:val="0"/>
        <w:spacing w:after="120" w:line="360" w:lineRule="auto"/>
        <w:ind w:firstLine="284"/>
        <w:jc w:val="center"/>
        <w:rPr>
          <w:rFonts w:ascii="Garamond" w:hAnsi="Garamond"/>
          <w:sz w:val="24"/>
          <w:szCs w:val="24"/>
        </w:rPr>
      </w:pPr>
      <w:r>
        <w:rPr>
          <w:rFonts w:ascii="Garamond" w:hAnsi="Garamond"/>
          <w:sz w:val="24"/>
        </w:rPr>
        <w:t>[…]</w:t>
      </w:r>
    </w:p>
    <w:p w14:paraId="4425D70F"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7AB83B2E"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 xml:space="preserve">[…] </w:t>
      </w:r>
    </w:p>
    <w:p w14:paraId="08C340A9"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45944B11"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6510A370"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r>
        <w:rPr>
          <w:rFonts w:ascii="Garamond" w:hAnsi="Garamond"/>
          <w:i/>
          <w:iCs/>
          <w:sz w:val="24"/>
        </w:rPr>
        <w:t>Abrogat</w:t>
      </w:r>
      <w:r>
        <w:rPr>
          <w:rFonts w:ascii="Garamond" w:hAnsi="Garamond"/>
          <w:sz w:val="24"/>
        </w:rPr>
        <w:t>];</w:t>
      </w:r>
    </w:p>
    <w:p w14:paraId="4A5AFED7"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 xml:space="preserve">[…] </w:t>
      </w:r>
    </w:p>
    <w:p w14:paraId="1FEF6150"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3D75006C" w14:textId="77777777" w:rsidR="006D6021" w:rsidRPr="008E5B84" w:rsidRDefault="008600E0">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4C9DF837"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63482CAC"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62E6A264"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bookmarkStart w:id="3" w:name="_Hlk61626903"/>
      <w:r>
        <w:rPr>
          <w:rFonts w:ascii="Garamond" w:hAnsi="Garamond"/>
          <w:sz w:val="24"/>
        </w:rPr>
        <w:t>[…]</w:t>
      </w:r>
    </w:p>
    <w:p w14:paraId="44F0C359"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6383122F"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bookmarkStart w:id="4" w:name="_Hlk61626654"/>
      <w:bookmarkEnd w:id="3"/>
      <w:r>
        <w:rPr>
          <w:rFonts w:ascii="Garamond" w:hAnsi="Garamond"/>
          <w:sz w:val="24"/>
        </w:rPr>
        <w:t>[…]</w:t>
      </w:r>
    </w:p>
    <w:bookmarkEnd w:id="4"/>
    <w:p w14:paraId="365D81A5"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w:t>
      </w:r>
    </w:p>
    <w:p w14:paraId="3C437859"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bookmarkStart w:id="5" w:name="_Hlk52724639"/>
      <w:r>
        <w:rPr>
          <w:rFonts w:ascii="Garamond" w:hAnsi="Garamond"/>
          <w:sz w:val="24"/>
        </w:rPr>
        <w:t>[…]</w:t>
      </w:r>
    </w:p>
    <w:p w14:paraId="036CCD45" w14:textId="77777777" w:rsidR="006D6021" w:rsidRPr="008E5B84" w:rsidRDefault="00311339">
      <w:pPr>
        <w:widowControl w:val="0"/>
        <w:numPr>
          <w:ilvl w:val="0"/>
          <w:numId w:val="3"/>
        </w:numPr>
        <w:spacing w:after="120" w:line="360" w:lineRule="auto"/>
        <w:ind w:left="993" w:right="567" w:hanging="426"/>
        <w:jc w:val="both"/>
        <w:rPr>
          <w:rFonts w:ascii="Garamond" w:hAnsi="Garamond"/>
          <w:sz w:val="24"/>
          <w:szCs w:val="24"/>
        </w:rPr>
      </w:pPr>
      <w:bookmarkStart w:id="6" w:name="_Hlk52724601"/>
      <w:bookmarkEnd w:id="5"/>
      <w:r>
        <w:rPr>
          <w:rFonts w:ascii="Garamond" w:hAnsi="Garamond"/>
          <w:sz w:val="24"/>
        </w:rPr>
        <w:t>[…]</w:t>
      </w:r>
    </w:p>
    <w:p w14:paraId="000B88DE" w14:textId="77777777" w:rsidR="006D6021" w:rsidRPr="008E5B84" w:rsidRDefault="00311339" w:rsidP="007E1034">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Ambalajele reutilizabile sunt supuse marcării, simbolul și normele de marcare fiind stabilite prin ordonanță dată de membrii Guvernului responsabili pentru probleme economice și de mediu, după consultarea asociațiilor care reprezintă sectoarele în cauză.</w:t>
      </w:r>
    </w:p>
    <w:p w14:paraId="558E53FC" w14:textId="77777777" w:rsidR="006D6021" w:rsidRPr="008E5B84" w:rsidRDefault="00311339" w:rsidP="007E1034">
      <w:pPr>
        <w:widowControl w:val="0"/>
        <w:numPr>
          <w:ilvl w:val="0"/>
          <w:numId w:val="3"/>
        </w:numPr>
        <w:spacing w:after="120" w:line="360" w:lineRule="auto"/>
        <w:ind w:left="993" w:right="567" w:hanging="426"/>
        <w:jc w:val="both"/>
        <w:rPr>
          <w:rFonts w:ascii="Garamond" w:hAnsi="Garamond"/>
          <w:sz w:val="24"/>
          <w:szCs w:val="24"/>
        </w:rPr>
      </w:pPr>
      <w:r>
        <w:rPr>
          <w:rFonts w:ascii="Garamond" w:hAnsi="Garamond"/>
          <w:sz w:val="24"/>
        </w:rPr>
        <w:t xml:space="preserve">Ordonanța menționată la alineatul anterior se publică până la 31 decembrie 2022, stabilind o perioadă de tranziție pentru respectarea obligației de </w:t>
      </w:r>
      <w:r>
        <w:rPr>
          <w:rFonts w:ascii="Garamond" w:hAnsi="Garamond"/>
          <w:sz w:val="24"/>
        </w:rPr>
        <w:lastRenderedPageBreak/>
        <w:t xml:space="preserve">marcare de cel puțin un an. </w:t>
      </w:r>
    </w:p>
    <w:bookmarkEnd w:id="2"/>
    <w:bookmarkEnd w:id="6"/>
    <w:p w14:paraId="5038D240" w14:textId="77777777" w:rsidR="006D6021" w:rsidRPr="008E5B84" w:rsidRDefault="00311339">
      <w:pPr>
        <w:widowControl w:val="0"/>
        <w:spacing w:after="120" w:line="360" w:lineRule="auto"/>
        <w:ind w:left="851" w:right="567" w:hanging="284"/>
        <w:jc w:val="center"/>
        <w:rPr>
          <w:rFonts w:ascii="Garamond" w:hAnsi="Garamond"/>
          <w:sz w:val="24"/>
          <w:szCs w:val="24"/>
        </w:rPr>
      </w:pPr>
      <w:r>
        <w:rPr>
          <w:rFonts w:ascii="Garamond" w:hAnsi="Garamond"/>
          <w:sz w:val="24"/>
        </w:rPr>
        <w:t>Articolul 28</w:t>
      </w:r>
    </w:p>
    <w:p w14:paraId="2EE6B15A" w14:textId="77777777" w:rsidR="006D6021" w:rsidRPr="008E5B84" w:rsidRDefault="00311339">
      <w:pPr>
        <w:widowControl w:val="0"/>
        <w:spacing w:after="120" w:line="360" w:lineRule="auto"/>
        <w:ind w:left="851" w:right="567" w:hanging="284"/>
        <w:jc w:val="center"/>
        <w:rPr>
          <w:rFonts w:ascii="Garamond" w:hAnsi="Garamond"/>
          <w:sz w:val="24"/>
          <w:szCs w:val="24"/>
        </w:rPr>
      </w:pPr>
      <w:r>
        <w:rPr>
          <w:rFonts w:ascii="Garamond" w:hAnsi="Garamond"/>
          <w:sz w:val="24"/>
        </w:rPr>
        <w:t>Marcarea ambalajului</w:t>
      </w:r>
    </w:p>
    <w:p w14:paraId="632E83D6"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w:t>
      </w:r>
      <w:r>
        <w:rPr>
          <w:rFonts w:ascii="Garamond" w:hAnsi="Garamond"/>
          <w:i/>
          <w:iCs/>
          <w:sz w:val="24"/>
        </w:rPr>
        <w:t>Abrogat</w:t>
      </w:r>
      <w:r>
        <w:rPr>
          <w:rFonts w:ascii="Garamond" w:hAnsi="Garamond"/>
          <w:sz w:val="24"/>
        </w:rPr>
        <w:t xml:space="preserve">]. </w:t>
      </w:r>
    </w:p>
    <w:p w14:paraId="0A84A726"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 xml:space="preserve">Fără a aduce atingere alineatului (9), ambalajele primare nereutilizabile, provenite din alte state membre ale Uniunii Europene sau din țări terțe, care au fost marcate cu un simbol specific la origine pot fi introduse pe piață cu simbolul respectiv. </w:t>
      </w:r>
    </w:p>
    <w:p w14:paraId="1E0D20B1"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Ambalajele gestionate în cadrul sistemului de depozitare prevăzut la articolul 23-C trebuie marcate cu simbolul definit într-o ordonanță care urmează să fie aprobată de către membrii guvernului responsabili cu problemele economice și de mediu.</w:t>
      </w:r>
    </w:p>
    <w:p w14:paraId="78ABEF81"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Pentru a facilita colectarea, reutilizarea și recuperarea, inclusiv reciclarea, ambalajele trebuie să indice natura materialului (materialelor) utilizat(e) de ambalare, în scopul identificării și clasificării de către industria aferentă, în conformitate cu sistemul de identificare stabilit în Decizia nr. 97/129/CE a Comisiei din 28 ianuarie 1997, al cărui sistem este stabilit în anexa IX la prezentul Decret-lege și din care face parte integrantă.</w:t>
      </w:r>
    </w:p>
    <w:p w14:paraId="77101375"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t xml:space="preserve">Pentru a promova separarea corectă a deșeurilor și pentru a crește nivelul și calitatea reciclării, </w:t>
      </w:r>
      <w:bookmarkStart w:id="7" w:name="_Hlk61624722"/>
      <w:r>
        <w:t>ambalajele reciclabile introduse pe piață sunt marcate cu instrucțiuni corespunzătoare de sortare,</w:t>
      </w:r>
      <w:bookmarkEnd w:id="7"/>
      <w:r>
        <w:t xml:space="preserve"> în special în privința culorii coșului de reciclare în care ar trebui plasate, în conformitate cu termenii care urmează să fie stabiliți de ordonanța dată de membrii guvernului responsabili cu problemele economice și de mediu.</w:t>
      </w:r>
    </w:p>
    <w:p w14:paraId="3EC7696A"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Marcajul menționat la alineatul anterior trebuie să respecte următoarele cerințe:</w:t>
      </w:r>
    </w:p>
    <w:p w14:paraId="0323CF5E" w14:textId="77777777" w:rsidR="006D6021" w:rsidRPr="008E5B84" w:rsidRDefault="00311339">
      <w:pPr>
        <w:widowControl w:val="0"/>
        <w:numPr>
          <w:ilvl w:val="0"/>
          <w:numId w:val="5"/>
        </w:numPr>
        <w:spacing w:after="120" w:line="360" w:lineRule="auto"/>
        <w:ind w:left="1418" w:right="567" w:hanging="284"/>
        <w:jc w:val="both"/>
        <w:rPr>
          <w:rFonts w:ascii="Garamond" w:hAnsi="Garamond"/>
          <w:sz w:val="24"/>
          <w:szCs w:val="24"/>
        </w:rPr>
      </w:pPr>
      <w:r>
        <w:rPr>
          <w:rFonts w:ascii="Garamond" w:hAnsi="Garamond"/>
          <w:sz w:val="24"/>
        </w:rPr>
        <w:t>acesta poate fi prezentat prin iconografie sau text scris ori ambele;</w:t>
      </w:r>
    </w:p>
    <w:p w14:paraId="0FD7040C" w14:textId="77777777" w:rsidR="006D6021" w:rsidRPr="008E5B84" w:rsidRDefault="00311339">
      <w:pPr>
        <w:widowControl w:val="0"/>
        <w:numPr>
          <w:ilvl w:val="0"/>
          <w:numId w:val="5"/>
        </w:numPr>
        <w:spacing w:after="120" w:line="360" w:lineRule="auto"/>
        <w:ind w:left="1418" w:right="567" w:hanging="284"/>
        <w:jc w:val="both"/>
        <w:rPr>
          <w:rFonts w:ascii="Garamond" w:hAnsi="Garamond"/>
          <w:sz w:val="24"/>
          <w:szCs w:val="24"/>
        </w:rPr>
      </w:pPr>
      <w:r>
        <w:rPr>
          <w:rFonts w:ascii="Garamond" w:hAnsi="Garamond"/>
          <w:sz w:val="24"/>
        </w:rPr>
        <w:t>acesta trebuie să fie imprimat într-o formă vizibilă, lizibilă și indelebilă.</w:t>
      </w:r>
    </w:p>
    <w:p w14:paraId="46C2EAFF"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Ambalajul primar și ambalajul secundar destinate consumatorului fac obiectul obligației de marcare menționate la alineatul (5).</w:t>
      </w:r>
    </w:p>
    <w:p w14:paraId="3EBE10AE" w14:textId="77777777" w:rsidR="006D6021" w:rsidRPr="008E5B84"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lastRenderedPageBreak/>
        <w:t>Ambalajele a căror dimensiune nu permite marcarea în conformitate cu alineatul (6) sunt scutite de obligația menționată la alineatul (5).</w:t>
      </w:r>
    </w:p>
    <w:p w14:paraId="1C92A719" w14:textId="77777777" w:rsidR="006D6021" w:rsidRPr="008B3D7C" w:rsidRDefault="00311339">
      <w:pPr>
        <w:widowControl w:val="0"/>
        <w:numPr>
          <w:ilvl w:val="0"/>
          <w:numId w:val="4"/>
        </w:numPr>
        <w:tabs>
          <w:tab w:val="left" w:pos="567"/>
        </w:tabs>
        <w:spacing w:after="120" w:line="360" w:lineRule="auto"/>
        <w:ind w:left="993" w:right="567" w:hanging="426"/>
        <w:jc w:val="both"/>
        <w:rPr>
          <w:rFonts w:ascii="Garamond" w:hAnsi="Garamond"/>
          <w:sz w:val="24"/>
          <w:szCs w:val="24"/>
        </w:rPr>
      </w:pPr>
      <w:r>
        <w:rPr>
          <w:rFonts w:ascii="Garamond" w:hAnsi="Garamond"/>
          <w:sz w:val="24"/>
        </w:rPr>
        <w:t>Pentru a clarifica informațiile destinate consumatorilor și pentru a promova transportul corect al deșeurilor de ambalaje, se interzice introducerea pe piață a ambalajelor reciclabile și reutilizabile, marcate cu simbolul omului ordonat, de la data intrării în vigoare a obligației prevăzute la alineatul (5).</w:t>
      </w:r>
    </w:p>
    <w:p w14:paraId="4121334A" w14:textId="77777777" w:rsidR="006D6021" w:rsidRPr="008E5B84" w:rsidRDefault="00311339">
      <w:pPr>
        <w:widowControl w:val="0"/>
        <w:numPr>
          <w:ilvl w:val="0"/>
          <w:numId w:val="4"/>
        </w:numPr>
        <w:spacing w:after="120" w:line="360" w:lineRule="auto"/>
        <w:ind w:right="567"/>
        <w:jc w:val="both"/>
        <w:rPr>
          <w:rFonts w:ascii="Garamond" w:hAnsi="Garamond"/>
          <w:sz w:val="24"/>
          <w:szCs w:val="24"/>
        </w:rPr>
      </w:pPr>
      <w:r>
        <w:rPr>
          <w:rFonts w:ascii="Garamond" w:hAnsi="Garamond"/>
          <w:sz w:val="24"/>
        </w:rPr>
        <w:t xml:space="preserve">Ordonanța menționată la alineatul (5) se publică până la 31 decembrie 2022, stabilind o perioadă de tranziție pentru respectarea obligației de marcare de cel puțin un an. </w:t>
      </w:r>
    </w:p>
    <w:p w14:paraId="31B9631E" w14:textId="77777777" w:rsidR="006D6021" w:rsidRPr="008E5B84" w:rsidRDefault="00311339">
      <w:pPr>
        <w:pStyle w:val="ListParagraph"/>
        <w:widowControl w:val="0"/>
        <w:tabs>
          <w:tab w:val="left" w:pos="567"/>
        </w:tabs>
        <w:spacing w:after="120" w:line="360" w:lineRule="auto"/>
        <w:ind w:left="426"/>
        <w:jc w:val="center"/>
        <w:rPr>
          <w:rFonts w:ascii="Garamond" w:hAnsi="Garamond"/>
          <w:sz w:val="24"/>
          <w:szCs w:val="24"/>
        </w:rPr>
      </w:pPr>
      <w:r>
        <w:rPr>
          <w:rFonts w:ascii="Garamond" w:hAnsi="Garamond"/>
          <w:sz w:val="24"/>
        </w:rPr>
        <w:t>Articolul 90</w:t>
      </w:r>
    </w:p>
    <w:p w14:paraId="301C4972" w14:textId="77777777" w:rsidR="006D6021" w:rsidRPr="008E5B84" w:rsidRDefault="00BB1999">
      <w:pPr>
        <w:pStyle w:val="ListParagraph"/>
        <w:widowControl w:val="0"/>
        <w:tabs>
          <w:tab w:val="left" w:pos="567"/>
        </w:tabs>
        <w:spacing w:after="120" w:line="360" w:lineRule="auto"/>
        <w:ind w:left="426"/>
        <w:jc w:val="center"/>
        <w:rPr>
          <w:rFonts w:ascii="Garamond" w:hAnsi="Garamond"/>
          <w:sz w:val="24"/>
          <w:szCs w:val="24"/>
        </w:rPr>
      </w:pPr>
      <w:r>
        <w:rPr>
          <w:rFonts w:ascii="Garamond" w:hAnsi="Garamond"/>
          <w:sz w:val="24"/>
        </w:rPr>
        <w:t>[…]</w:t>
      </w:r>
    </w:p>
    <w:p w14:paraId="483A6232" w14:textId="77777777" w:rsidR="006D6021" w:rsidRPr="008E5B84" w:rsidRDefault="00311339">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1 – [...].</w:t>
      </w:r>
    </w:p>
    <w:p w14:paraId="02D5F275" w14:textId="77777777" w:rsidR="006D6021" w:rsidRPr="008E5B84" w:rsidRDefault="00311339">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2 – Săvârșirea următoarelor acte constituie o infracțiune administrativă gravă, pasibilă de pedeapsă în conformitate cu Legea-cadru privind infracțiunile administrative de mediu:</w:t>
      </w:r>
    </w:p>
    <w:p w14:paraId="64C32142" w14:textId="77777777" w:rsidR="006D6021" w:rsidRDefault="00311339"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CDFC80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008B5D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934CD0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9AA49C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4DE298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9EBAA4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0F16E1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91A517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1B2F5A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987CC5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9B6B4AA"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13DCB3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AAA585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lastRenderedPageBreak/>
        <w:t>[...];</w:t>
      </w:r>
    </w:p>
    <w:p w14:paraId="540D085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3066EB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8D22C4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1F9C32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5BFEEA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F336DC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30882A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88A16F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49EEB3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FB1E09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601CB4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DDF8AF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3E3772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85F074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0A82A0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E604D10"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F7963C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EF6E5E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0DF73F7"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7708D7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3F0EE8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CFC272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07803F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73E4A3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BB308F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E6C8B1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5206EC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lastRenderedPageBreak/>
        <w:t>[...];</w:t>
      </w:r>
    </w:p>
    <w:p w14:paraId="7847CE4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5C1FE04"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E3AD98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2B74C6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CFA249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35B932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B28D2D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82EAC72"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19A7FE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F2ACA96"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7AAE9BC"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2D593E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698177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3C9884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57CCC6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FBB4EE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FCE136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FCB7EC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CCB9E1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A7DA81D"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1A71163"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152ED4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566000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51D008F"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4AB683B"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ECA8A0E"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B1F2735"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lastRenderedPageBreak/>
        <w:t>[...];</w:t>
      </w:r>
    </w:p>
    <w:p w14:paraId="252FFA4A"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CA1C139"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47E8778"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51FBF51" w14:textId="77777777" w:rsidR="00815E10" w:rsidRDefault="00815E10"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DFB4D28" w14:textId="77777777" w:rsidR="006D6021" w:rsidRPr="008E5B84" w:rsidRDefault="00311339"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 xml:space="preserve">Exercitarea activității de tratare a deșeurilor de către operatorii care nu îndeplinesc cerințele sau standardele de calificare aplicabile în conformitate cu articolul 8 alineatele (1), (5) și (6); </w:t>
      </w:r>
    </w:p>
    <w:p w14:paraId="3CCBE35B" w14:textId="77777777" w:rsidR="006D6021" w:rsidRPr="008E5B84" w:rsidRDefault="00311339" w:rsidP="00815E10">
      <w:pPr>
        <w:pStyle w:val="ListParagraph"/>
        <w:widowControl w:val="0"/>
        <w:numPr>
          <w:ilvl w:val="0"/>
          <w:numId w:val="8"/>
        </w:numPr>
        <w:tabs>
          <w:tab w:val="left" w:pos="993"/>
        </w:tabs>
        <w:spacing w:after="120" w:line="360" w:lineRule="auto"/>
        <w:ind w:left="993" w:hanging="567"/>
        <w:jc w:val="both"/>
        <w:rPr>
          <w:rFonts w:ascii="Garamond" w:hAnsi="Garamond"/>
          <w:sz w:val="24"/>
          <w:szCs w:val="24"/>
        </w:rPr>
      </w:pPr>
      <w:r>
        <w:rPr>
          <w:rFonts w:ascii="Garamond" w:hAnsi="Garamond"/>
          <w:sz w:val="24"/>
        </w:rPr>
        <w:t>Nerespectarea obligației de marcare a ambalajelor în conformitate cu articolul 23 alineatul (11) și articolul 28 alineatul (3).</w:t>
      </w:r>
    </w:p>
    <w:p w14:paraId="74DDDC24" w14:textId="77777777" w:rsidR="006D6021" w:rsidRPr="008E5B84" w:rsidRDefault="00311339" w:rsidP="008E5B84">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3 – Săvârșirea următoarelor acte constituie o infracțiune administrativă ambientală minoră, pasibilă de sancțiuni în conformitate cu Legea-cadru privind infracțiunile administrative de mediu:</w:t>
      </w:r>
    </w:p>
    <w:p w14:paraId="7E535938" w14:textId="77777777" w:rsidR="00AE3FD7" w:rsidRDefault="00311339"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E92BB31"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E243EC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F88914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53989B1"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B63F052"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40722ED"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0D3AD38"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3A9365B"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D970206"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75356629"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1C9D25C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3BE6ED9"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4BAF5FD6"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1FC68E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lastRenderedPageBreak/>
        <w:t>[...];</w:t>
      </w:r>
    </w:p>
    <w:p w14:paraId="6B50A5A1"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FEEF12D"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CA6FD2C"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D4B792C"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3744DF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FDF294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6F3EBBD7"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4B91267"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5B03D774"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3D6D5568"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6724F93"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0A63773F" w14:textId="77777777" w:rsidR="00AE3FD7" w:rsidRDefault="00AE3FD7"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w:t>
      </w:r>
    </w:p>
    <w:p w14:paraId="24E2723F" w14:textId="77777777" w:rsidR="006D6021" w:rsidRPr="008E5B84" w:rsidRDefault="00311339"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Nerespectarea obligației de a identifica pe ambalaj materialul (materialele) de ambalaj utilizat(e) în conformitate cu articolul 28 alineatul (4);</w:t>
      </w:r>
    </w:p>
    <w:p w14:paraId="1E45A3DF" w14:textId="77777777" w:rsidR="006D6021" w:rsidRPr="008E5B84" w:rsidRDefault="00311339"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Nerespectarea obligației de identificare a destinației ambalajului atunci când este reciclabil în conformitate cu articolul 28 alineatele (5) și (6);</w:t>
      </w:r>
    </w:p>
    <w:p w14:paraId="70AC5256" w14:textId="77777777" w:rsidR="007C12A7" w:rsidRDefault="00311339" w:rsidP="00AE3FD7">
      <w:pPr>
        <w:pStyle w:val="ListParagraph"/>
        <w:widowControl w:val="0"/>
        <w:numPr>
          <w:ilvl w:val="0"/>
          <w:numId w:val="9"/>
        </w:numPr>
        <w:tabs>
          <w:tab w:val="left" w:pos="993"/>
        </w:tabs>
        <w:spacing w:after="120" w:line="360" w:lineRule="auto"/>
        <w:ind w:left="993" w:hanging="567"/>
        <w:jc w:val="both"/>
        <w:rPr>
          <w:rFonts w:ascii="Garamond" w:hAnsi="Garamond"/>
          <w:sz w:val="24"/>
          <w:szCs w:val="24"/>
        </w:rPr>
      </w:pPr>
      <w:r>
        <w:rPr>
          <w:rFonts w:ascii="Garamond" w:hAnsi="Garamond"/>
          <w:sz w:val="24"/>
        </w:rPr>
        <w:t xml:space="preserve">Utilizarea simbolului omului ordonat pe ambalaje reciclabile și reutilizabile cu încălcarea articolului 28 alineatul (9). </w:t>
      </w:r>
    </w:p>
    <w:p w14:paraId="1DDFB384" w14:textId="77777777" w:rsidR="007C12A7" w:rsidRPr="007C12A7" w:rsidRDefault="007C12A7" w:rsidP="007C12A7">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4 -</w:t>
      </w:r>
      <w:r>
        <w:rPr>
          <w:rFonts w:ascii="Garamond" w:hAnsi="Garamond"/>
          <w:sz w:val="24"/>
        </w:rPr>
        <w:tab/>
        <w:t>[…].</w:t>
      </w:r>
    </w:p>
    <w:p w14:paraId="29F6959D" w14:textId="77777777" w:rsidR="007C12A7" w:rsidRPr="007C12A7" w:rsidRDefault="007C12A7" w:rsidP="007C12A7">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5 -</w:t>
      </w:r>
      <w:r>
        <w:rPr>
          <w:rFonts w:ascii="Garamond" w:hAnsi="Garamond"/>
          <w:sz w:val="24"/>
        </w:rPr>
        <w:tab/>
        <w:t>[…].</w:t>
      </w:r>
    </w:p>
    <w:p w14:paraId="73D66686" w14:textId="77777777" w:rsidR="007C12A7" w:rsidRPr="007C12A7" w:rsidRDefault="007C12A7" w:rsidP="007C12A7">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6 -</w:t>
      </w:r>
      <w:r>
        <w:rPr>
          <w:rFonts w:ascii="Garamond" w:hAnsi="Garamond"/>
          <w:sz w:val="24"/>
        </w:rPr>
        <w:tab/>
        <w:t xml:space="preserve">[…]. </w:t>
      </w:r>
    </w:p>
    <w:p w14:paraId="03280F41" w14:textId="77777777" w:rsidR="006D6021" w:rsidRPr="008E5B84" w:rsidRDefault="007C12A7" w:rsidP="007C12A7">
      <w:pPr>
        <w:pStyle w:val="ListParagraph"/>
        <w:widowControl w:val="0"/>
        <w:tabs>
          <w:tab w:val="left" w:pos="567"/>
        </w:tabs>
        <w:spacing w:after="120" w:line="360" w:lineRule="auto"/>
        <w:ind w:left="426"/>
        <w:jc w:val="both"/>
        <w:rPr>
          <w:rFonts w:ascii="Garamond" w:hAnsi="Garamond"/>
          <w:sz w:val="24"/>
          <w:szCs w:val="24"/>
        </w:rPr>
      </w:pPr>
      <w:r>
        <w:rPr>
          <w:rFonts w:ascii="Garamond" w:hAnsi="Garamond"/>
          <w:sz w:val="24"/>
        </w:rPr>
        <w:t>7 -</w:t>
      </w:r>
      <w:r>
        <w:rPr>
          <w:rFonts w:ascii="Garamond" w:hAnsi="Garamond"/>
          <w:sz w:val="24"/>
        </w:rPr>
        <w:tab/>
        <w:t>[…].”</w:t>
      </w:r>
    </w:p>
    <w:p w14:paraId="32DDEBBC" w14:textId="77777777" w:rsidR="006D6021" w:rsidRPr="008E5B84" w:rsidRDefault="00311339">
      <w:pPr>
        <w:shd w:val="clear" w:color="auto" w:fill="FFFFFF"/>
        <w:suppressAutoHyphens w:val="0"/>
        <w:spacing w:after="225" w:line="390" w:lineRule="atLeast"/>
        <w:jc w:val="center"/>
        <w:textAlignment w:val="auto"/>
        <w:rPr>
          <w:rFonts w:ascii="Garamond" w:hAnsi="Garamond"/>
          <w:sz w:val="24"/>
          <w:szCs w:val="24"/>
        </w:rPr>
      </w:pPr>
      <w:r>
        <w:rPr>
          <w:rFonts w:ascii="Garamond" w:hAnsi="Garamond"/>
          <w:sz w:val="24"/>
        </w:rPr>
        <w:t>Articolul 3</w:t>
      </w:r>
    </w:p>
    <w:p w14:paraId="06A94AD8" w14:textId="77777777" w:rsidR="006D6021" w:rsidRPr="008E5B84" w:rsidRDefault="00311339">
      <w:pPr>
        <w:shd w:val="clear" w:color="auto" w:fill="FFFFFF"/>
        <w:suppressAutoHyphens w:val="0"/>
        <w:spacing w:after="225" w:line="390" w:lineRule="atLeast"/>
        <w:jc w:val="center"/>
        <w:textAlignment w:val="auto"/>
        <w:rPr>
          <w:rFonts w:ascii="Garamond" w:hAnsi="Garamond"/>
          <w:sz w:val="24"/>
          <w:szCs w:val="24"/>
        </w:rPr>
      </w:pPr>
      <w:r>
        <w:t xml:space="preserve">Completare la </w:t>
      </w:r>
      <w:hyperlink r:id="rId22" w:tooltip="Decretul-lege nr. 152-D/2017" w:history="1">
        <w:r>
          <w:rPr>
            <w:rFonts w:ascii="Garamond" w:hAnsi="Garamond"/>
            <w:sz w:val="24"/>
          </w:rPr>
          <w:t>Decretul-lege nr. 152-D/2017</w:t>
        </w:r>
      </w:hyperlink>
      <w:r>
        <w:t xml:space="preserve"> din 11 decembrie</w:t>
      </w:r>
    </w:p>
    <w:p w14:paraId="27A8E5C9" w14:textId="77777777" w:rsidR="006D6021" w:rsidRPr="008E5B84" w:rsidRDefault="00311339">
      <w:pPr>
        <w:shd w:val="clear" w:color="auto" w:fill="FFFFFF"/>
        <w:suppressAutoHyphens w:val="0"/>
        <w:spacing w:after="225" w:line="390" w:lineRule="atLeast"/>
        <w:jc w:val="both"/>
        <w:textAlignment w:val="auto"/>
        <w:rPr>
          <w:rFonts w:ascii="Garamond" w:hAnsi="Garamond"/>
          <w:sz w:val="24"/>
          <w:szCs w:val="24"/>
        </w:rPr>
      </w:pPr>
      <w:r>
        <w:t xml:space="preserve">Articolul 20-A se adaugă la </w:t>
      </w:r>
      <w:hyperlink r:id="rId23" w:tooltip="Decretul-lege nr. 152-D/2017" w:history="1">
        <w:r>
          <w:rPr>
            <w:rFonts w:ascii="Garamond" w:hAnsi="Garamond"/>
            <w:sz w:val="24"/>
          </w:rPr>
          <w:t>Decretul-lege nr. 152-D/2017</w:t>
        </w:r>
      </w:hyperlink>
      <w:r>
        <w:t xml:space="preserve"> din 11 decembrie, în formularea sa actuală, cu următorul text:</w:t>
      </w:r>
    </w:p>
    <w:p w14:paraId="15841508" w14:textId="77777777" w:rsidR="006D6021" w:rsidRPr="008E5B84" w:rsidRDefault="00311339">
      <w:pPr>
        <w:widowControl w:val="0"/>
        <w:spacing w:after="120" w:line="360" w:lineRule="auto"/>
        <w:jc w:val="center"/>
        <w:rPr>
          <w:rFonts w:ascii="Garamond" w:hAnsi="Garamond"/>
          <w:sz w:val="24"/>
          <w:szCs w:val="24"/>
        </w:rPr>
      </w:pPr>
      <w:r>
        <w:rPr>
          <w:rFonts w:ascii="Garamond" w:hAnsi="Garamond"/>
          <w:sz w:val="24"/>
        </w:rPr>
        <w:lastRenderedPageBreak/>
        <w:t>„Articolul 20-A</w:t>
      </w:r>
    </w:p>
    <w:p w14:paraId="0727928D" w14:textId="77777777" w:rsidR="006D6021" w:rsidRPr="008E5B84" w:rsidRDefault="00311339">
      <w:pPr>
        <w:widowControl w:val="0"/>
        <w:spacing w:after="120" w:line="360" w:lineRule="auto"/>
        <w:jc w:val="center"/>
        <w:rPr>
          <w:rFonts w:ascii="Garamond" w:hAnsi="Garamond"/>
          <w:sz w:val="24"/>
          <w:szCs w:val="24"/>
        </w:rPr>
      </w:pPr>
      <w:r>
        <w:rPr>
          <w:rFonts w:ascii="Garamond" w:hAnsi="Garamond"/>
          <w:sz w:val="24"/>
        </w:rPr>
        <w:t xml:space="preserve">Responsabilitatea furnizorului intermediar de servicii de rețea </w:t>
      </w:r>
    </w:p>
    <w:p w14:paraId="142DD902" w14:textId="77777777" w:rsidR="006D6021" w:rsidRPr="008E5B84" w:rsidRDefault="00311339">
      <w:pPr>
        <w:numPr>
          <w:ilvl w:val="0"/>
          <w:numId w:val="6"/>
        </w:numPr>
        <w:spacing w:after="0" w:line="360" w:lineRule="auto"/>
        <w:ind w:left="993"/>
        <w:jc w:val="both"/>
        <w:rPr>
          <w:rFonts w:ascii="Garamond" w:hAnsi="Garamond"/>
          <w:sz w:val="24"/>
          <w:szCs w:val="24"/>
        </w:rPr>
      </w:pPr>
      <w:r>
        <w:rPr>
          <w:rFonts w:ascii="Garamond" w:hAnsi="Garamond"/>
          <w:sz w:val="24"/>
        </w:rPr>
        <w:t>Furnizorul intermediar de servicii de comunicații asistate de calculator care nu este considerat a fi un producător în sensul prezentului Decret-lege, dar care facilitează, prin utilizarea unei interfețe electronice, cum ar fi o piață, o platformă, un portal sau un dispozitiv similar, vânzarea sau livrarea la distanță a produselor care intră sub incidența principiului răspunderii extinse a producătorului în numele unei terțe părți, solicită aceste informații pentru a dovedi respectarea obligațiilor referitoare la:</w:t>
      </w:r>
    </w:p>
    <w:p w14:paraId="3DEAD487" w14:textId="77777777" w:rsidR="006D6021" w:rsidRPr="008E5B84" w:rsidRDefault="00311339">
      <w:pPr>
        <w:numPr>
          <w:ilvl w:val="1"/>
          <w:numId w:val="6"/>
        </w:numPr>
        <w:spacing w:after="120" w:line="360" w:lineRule="auto"/>
        <w:ind w:left="1560" w:hanging="284"/>
        <w:jc w:val="both"/>
        <w:rPr>
          <w:rFonts w:ascii="Garamond" w:hAnsi="Garamond"/>
          <w:sz w:val="24"/>
          <w:szCs w:val="24"/>
        </w:rPr>
      </w:pPr>
      <w:r>
        <w:rPr>
          <w:rFonts w:ascii="Garamond" w:hAnsi="Garamond"/>
          <w:sz w:val="24"/>
        </w:rPr>
        <w:t>introducerea și transmiterea anuală a datelor către SIRER în conformitate cu articolul 19 alineatul (1);</w:t>
      </w:r>
    </w:p>
    <w:p w14:paraId="74E81EB9" w14:textId="77777777" w:rsidR="006D6021" w:rsidRPr="008E5B84" w:rsidRDefault="00311339">
      <w:pPr>
        <w:numPr>
          <w:ilvl w:val="1"/>
          <w:numId w:val="6"/>
        </w:numPr>
        <w:spacing w:after="120" w:line="360" w:lineRule="auto"/>
        <w:ind w:left="1560" w:hanging="284"/>
        <w:jc w:val="both"/>
        <w:rPr>
          <w:rFonts w:ascii="Garamond" w:hAnsi="Garamond"/>
          <w:sz w:val="24"/>
          <w:szCs w:val="24"/>
        </w:rPr>
      </w:pPr>
      <w:r>
        <w:rPr>
          <w:rFonts w:ascii="Garamond" w:hAnsi="Garamond"/>
          <w:sz w:val="24"/>
        </w:rPr>
        <w:t>adoptarea unuia dintre sistemele prevăzute la articolul 7 alineatul (1) pentru tipul sau categoria de produse disponibile pe platformă.</w:t>
      </w:r>
    </w:p>
    <w:p w14:paraId="07EF9DB1" w14:textId="77777777" w:rsidR="006D6021" w:rsidRPr="008E5B84" w:rsidRDefault="00311339">
      <w:pPr>
        <w:numPr>
          <w:ilvl w:val="0"/>
          <w:numId w:val="6"/>
        </w:numPr>
        <w:spacing w:after="0" w:line="360" w:lineRule="auto"/>
        <w:ind w:left="993"/>
        <w:jc w:val="both"/>
        <w:rPr>
          <w:rFonts w:ascii="Garamond" w:hAnsi="Garamond"/>
          <w:sz w:val="24"/>
          <w:szCs w:val="24"/>
        </w:rPr>
      </w:pPr>
      <w:r>
        <w:rPr>
          <w:rFonts w:ascii="Garamond" w:hAnsi="Garamond"/>
          <w:sz w:val="24"/>
        </w:rPr>
        <w:t>În sensul alineatului anterior, furnizorul intermediar de servicii de comunicații asistate de calculator solicită informațiile în cauză ca o condiție prealabilă pentru înregistrarea pe platformă și în scopul procedurii contractuale și, ulterior, o actualizare anuală a informațiilor respective.</w:t>
      </w:r>
    </w:p>
    <w:p w14:paraId="0E8133CB" w14:textId="77777777" w:rsidR="006D6021" w:rsidRDefault="00311339">
      <w:pPr>
        <w:numPr>
          <w:ilvl w:val="0"/>
          <w:numId w:val="6"/>
        </w:numPr>
        <w:spacing w:after="0" w:line="360" w:lineRule="auto"/>
        <w:ind w:left="993"/>
        <w:jc w:val="both"/>
        <w:rPr>
          <w:rFonts w:ascii="Garamond" w:hAnsi="Garamond"/>
          <w:sz w:val="24"/>
          <w:szCs w:val="24"/>
        </w:rPr>
      </w:pPr>
      <w:r>
        <w:rPr>
          <w:rFonts w:ascii="Garamond" w:hAnsi="Garamond"/>
          <w:sz w:val="24"/>
        </w:rPr>
        <w:t>Furnizorul intermediar de servicii de comunicații asistate de calculator care facilitează, prin utilizarea unei interfețe electronice, cum ar fi o piață, o platformă, un portal sau un dispozitiv similar, vânzarea la distanță sau livrarea de părți uzate din DEEE și VFV pentru reutilizare, solicită vânzătorului informații care dovedesc conformitatea cu obligația de a se asigura că părțile utilizate provin de la operatorii de dezmembrare licențiați și, printre altele, solicită informații cu privire la numărul de licență al operatorului de dezafectare pus la dispoziție pe platformă.”</w:t>
      </w:r>
    </w:p>
    <w:p w14:paraId="0DACB7D5" w14:textId="77777777" w:rsidR="00E262CE" w:rsidRPr="008E5B84" w:rsidRDefault="00E262CE" w:rsidP="002E3B2F">
      <w:pPr>
        <w:spacing w:after="0" w:line="360" w:lineRule="auto"/>
        <w:ind w:left="993"/>
        <w:jc w:val="both"/>
        <w:rPr>
          <w:rFonts w:ascii="Garamond" w:hAnsi="Garamond"/>
          <w:sz w:val="24"/>
          <w:szCs w:val="24"/>
        </w:rPr>
      </w:pPr>
    </w:p>
    <w:p w14:paraId="36152BFD" w14:textId="77777777" w:rsidR="006D6021" w:rsidRPr="008E5B84" w:rsidRDefault="00311339">
      <w:pPr>
        <w:widowControl w:val="0"/>
        <w:tabs>
          <w:tab w:val="left" w:pos="142"/>
        </w:tabs>
        <w:spacing w:after="120" w:line="360" w:lineRule="auto"/>
        <w:jc w:val="center"/>
        <w:rPr>
          <w:rFonts w:ascii="Garamond" w:eastAsia="Times New Roman" w:hAnsi="Garamond" w:cs="Calibri Light"/>
          <w:sz w:val="24"/>
          <w:szCs w:val="24"/>
        </w:rPr>
      </w:pPr>
      <w:r>
        <w:rPr>
          <w:rFonts w:ascii="Garamond" w:hAnsi="Garamond"/>
          <w:sz w:val="24"/>
        </w:rPr>
        <w:t>Articolul 4</w:t>
      </w:r>
    </w:p>
    <w:p w14:paraId="654558EE" w14:textId="77777777" w:rsidR="006D6021" w:rsidRPr="008E5B84" w:rsidRDefault="00311339">
      <w:pPr>
        <w:widowControl w:val="0"/>
        <w:tabs>
          <w:tab w:val="left" w:pos="142"/>
        </w:tabs>
        <w:spacing w:after="120" w:line="360" w:lineRule="auto"/>
        <w:jc w:val="center"/>
        <w:rPr>
          <w:rFonts w:ascii="Garamond" w:eastAsia="Times New Roman" w:hAnsi="Garamond" w:cs="Calibri Light"/>
          <w:sz w:val="24"/>
          <w:szCs w:val="24"/>
        </w:rPr>
      </w:pPr>
      <w:r>
        <w:rPr>
          <w:rFonts w:ascii="Garamond" w:hAnsi="Garamond"/>
          <w:sz w:val="24"/>
        </w:rPr>
        <w:t xml:space="preserve">Dispoziții tranzitorii </w:t>
      </w:r>
    </w:p>
    <w:p w14:paraId="3071A25D" w14:textId="77777777" w:rsidR="006D6021" w:rsidRPr="008E5B84" w:rsidRDefault="00311339" w:rsidP="008E5B84">
      <w:pPr>
        <w:pStyle w:val="ListParagraph"/>
        <w:widowControl w:val="0"/>
        <w:numPr>
          <w:ilvl w:val="0"/>
          <w:numId w:val="7"/>
        </w:numPr>
        <w:spacing w:after="120" w:line="360" w:lineRule="auto"/>
        <w:ind w:left="993" w:hanging="709"/>
        <w:jc w:val="both"/>
        <w:rPr>
          <w:rFonts w:ascii="Garamond" w:hAnsi="Garamond"/>
          <w:sz w:val="24"/>
          <w:szCs w:val="24"/>
        </w:rPr>
      </w:pPr>
      <w:r>
        <w:rPr>
          <w:rFonts w:ascii="Garamond" w:hAnsi="Garamond"/>
          <w:sz w:val="24"/>
        </w:rPr>
        <w:t xml:space="preserve">Dispozițiile articolului 8 alineatul (5) din Decretul-lege nr. 152-D/2017 din 11 decembrie, astfel cum a fost modificat prin prezentul decret-lege, se aplică la un an de la intrarea în vigoare a prezentului decret-lege. </w:t>
      </w:r>
    </w:p>
    <w:p w14:paraId="126EA5F3" w14:textId="77777777" w:rsidR="006D6021" w:rsidRPr="008E5B84" w:rsidRDefault="00311339" w:rsidP="008E5B84">
      <w:pPr>
        <w:pStyle w:val="ListParagraph"/>
        <w:widowControl w:val="0"/>
        <w:numPr>
          <w:ilvl w:val="0"/>
          <w:numId w:val="7"/>
        </w:numPr>
        <w:spacing w:after="120" w:line="360" w:lineRule="auto"/>
        <w:ind w:left="993" w:hanging="710"/>
        <w:jc w:val="both"/>
        <w:rPr>
          <w:rFonts w:ascii="Garamond" w:hAnsi="Garamond"/>
          <w:sz w:val="24"/>
          <w:szCs w:val="24"/>
        </w:rPr>
      </w:pPr>
      <w:r>
        <w:rPr>
          <w:rFonts w:ascii="Garamond" w:hAnsi="Garamond"/>
          <w:sz w:val="24"/>
        </w:rPr>
        <w:lastRenderedPageBreak/>
        <w:t>Dispozițiile articolului 8 alineatul (6) din Decretul-lege nr. 152-D/2017 din 11 decembrie, astfel cum a fost modificat prin prezentul decret-lege, se aplică după doi ani de la intrarea în vigoare a prezentului decret-lege.</w:t>
      </w:r>
    </w:p>
    <w:p w14:paraId="39E11ECA" w14:textId="77777777" w:rsidR="006D6021" w:rsidRPr="008E5B84" w:rsidRDefault="00311339" w:rsidP="008E5B84">
      <w:pPr>
        <w:pStyle w:val="ListParagraph"/>
        <w:widowControl w:val="0"/>
        <w:numPr>
          <w:ilvl w:val="0"/>
          <w:numId w:val="7"/>
        </w:numPr>
        <w:spacing w:after="120" w:line="360" w:lineRule="auto"/>
        <w:ind w:left="993" w:hanging="710"/>
        <w:jc w:val="both"/>
        <w:rPr>
          <w:rFonts w:ascii="Garamond" w:hAnsi="Garamond"/>
          <w:sz w:val="24"/>
          <w:szCs w:val="24"/>
        </w:rPr>
      </w:pPr>
      <w:r>
        <w:rPr>
          <w:rFonts w:ascii="Garamond" w:hAnsi="Garamond"/>
          <w:sz w:val="24"/>
        </w:rPr>
        <w:t>Primul an de îndeplinire a obligației prevăzute la articolul 8 alineatul (8) din Decretul-lege nr. 152-D/2017 din 11 decembrie, astfel cum a fost modificat prin prezentul decret-lege, este 2022, în raport cu 2021, fără a aduce atingere dispozițiilor alineatului (9) din respectivul articol și cu condiția ca, la acea dată, să existe verificatori calificați.</w:t>
      </w:r>
    </w:p>
    <w:p w14:paraId="0C66F81D" w14:textId="77777777" w:rsidR="006D6021" w:rsidRPr="008E5B84" w:rsidRDefault="00311339" w:rsidP="008E5B84">
      <w:pPr>
        <w:pStyle w:val="ListParagraph"/>
        <w:widowControl w:val="0"/>
        <w:numPr>
          <w:ilvl w:val="0"/>
          <w:numId w:val="7"/>
        </w:numPr>
        <w:spacing w:after="120" w:line="360" w:lineRule="auto"/>
        <w:ind w:left="993" w:hanging="710"/>
        <w:jc w:val="both"/>
        <w:rPr>
          <w:rFonts w:ascii="Garamond" w:hAnsi="Garamond"/>
          <w:sz w:val="24"/>
          <w:szCs w:val="24"/>
        </w:rPr>
      </w:pPr>
      <w:r>
        <w:rPr>
          <w:rFonts w:ascii="Garamond" w:hAnsi="Garamond"/>
          <w:sz w:val="24"/>
        </w:rPr>
        <w:t>Dispozițiile articolului 28 alineatul (4) din Decretul-lege nr. 152-D/2017 din 11 decembrie, astfel cum a fost modificat prin prezentul decret-lege, se aplică după doi ani de la intrarea în vigoare a prezentului decret-lege.</w:t>
      </w:r>
    </w:p>
    <w:p w14:paraId="65492402" w14:textId="77777777" w:rsidR="00FA19BE" w:rsidRDefault="00FA19BE">
      <w:pPr>
        <w:jc w:val="center"/>
        <w:rPr>
          <w:rFonts w:ascii="Garamond" w:hAnsi="Garamond"/>
          <w:sz w:val="24"/>
          <w:szCs w:val="24"/>
        </w:rPr>
      </w:pPr>
    </w:p>
    <w:p w14:paraId="41F758C3" w14:textId="77777777" w:rsidR="00FA19BE" w:rsidRPr="008E5B84" w:rsidRDefault="00FA19BE" w:rsidP="00FA19BE">
      <w:pPr>
        <w:jc w:val="center"/>
        <w:rPr>
          <w:rFonts w:ascii="Garamond" w:hAnsi="Garamond"/>
          <w:sz w:val="24"/>
          <w:szCs w:val="24"/>
        </w:rPr>
      </w:pPr>
      <w:r>
        <w:rPr>
          <w:rFonts w:ascii="Garamond" w:hAnsi="Garamond"/>
          <w:sz w:val="24"/>
        </w:rPr>
        <w:t>Articolul 5</w:t>
      </w:r>
    </w:p>
    <w:p w14:paraId="49150A3B" w14:textId="77777777" w:rsidR="00FA19BE" w:rsidRPr="008E5B84" w:rsidRDefault="00FA19BE" w:rsidP="00FA19BE">
      <w:pPr>
        <w:jc w:val="center"/>
        <w:rPr>
          <w:rFonts w:ascii="Garamond" w:hAnsi="Garamond"/>
          <w:sz w:val="24"/>
          <w:szCs w:val="24"/>
        </w:rPr>
      </w:pPr>
      <w:r>
        <w:rPr>
          <w:rFonts w:ascii="Garamond" w:hAnsi="Garamond"/>
          <w:sz w:val="24"/>
        </w:rPr>
        <w:t>Abrogarea</w:t>
      </w:r>
    </w:p>
    <w:p w14:paraId="473647A9" w14:textId="77777777" w:rsidR="00FA19BE" w:rsidRPr="008E5B84" w:rsidRDefault="00FA19BE" w:rsidP="00FA19BE">
      <w:pPr>
        <w:shd w:val="clear" w:color="auto" w:fill="FFFFFF"/>
        <w:suppressAutoHyphens w:val="0"/>
        <w:spacing w:after="225" w:line="390" w:lineRule="atLeast"/>
        <w:jc w:val="both"/>
        <w:textAlignment w:val="auto"/>
        <w:rPr>
          <w:rFonts w:ascii="Garamond" w:hAnsi="Garamond"/>
          <w:sz w:val="24"/>
          <w:szCs w:val="24"/>
        </w:rPr>
      </w:pPr>
      <w:r>
        <w:rPr>
          <w:rFonts w:ascii="Garamond" w:hAnsi="Garamond"/>
          <w:sz w:val="24"/>
        </w:rPr>
        <w:t xml:space="preserve">Articolul 28 alineatul (1) din Decretul-lege nr. 152-D/2017 din 11 decembrie, astfel cum a fost modificat prin Legea nr. 69/2018 din 26 decembrie și 41/2019 din 21 iunie, prin Decretul-lege nr. 86/2020 din 14 octombrie, modificat și republicat prin Decretul-lege nr. 102-D/2020 din 10 decembrie, se abrogă. </w:t>
      </w:r>
    </w:p>
    <w:p w14:paraId="0867EA27" w14:textId="77777777" w:rsidR="00FA19BE" w:rsidRDefault="00FA19BE">
      <w:pPr>
        <w:jc w:val="center"/>
        <w:rPr>
          <w:rFonts w:ascii="Garamond" w:hAnsi="Garamond"/>
          <w:sz w:val="24"/>
          <w:szCs w:val="24"/>
        </w:rPr>
      </w:pPr>
    </w:p>
    <w:p w14:paraId="158E7FC9" w14:textId="77777777" w:rsidR="006D6021" w:rsidRPr="008E5B84" w:rsidRDefault="00311339">
      <w:pPr>
        <w:jc w:val="center"/>
        <w:rPr>
          <w:rFonts w:ascii="Garamond" w:hAnsi="Garamond"/>
          <w:sz w:val="24"/>
          <w:szCs w:val="24"/>
        </w:rPr>
      </w:pPr>
      <w:r>
        <w:rPr>
          <w:rFonts w:ascii="Garamond" w:hAnsi="Garamond"/>
          <w:sz w:val="24"/>
        </w:rPr>
        <w:t>Articolul 6</w:t>
      </w:r>
    </w:p>
    <w:p w14:paraId="16C8FC8B" w14:textId="77777777" w:rsidR="006D6021" w:rsidRPr="008E5B84" w:rsidRDefault="00311339">
      <w:pPr>
        <w:jc w:val="center"/>
        <w:rPr>
          <w:rFonts w:ascii="Garamond" w:hAnsi="Garamond"/>
          <w:sz w:val="24"/>
          <w:szCs w:val="24"/>
        </w:rPr>
      </w:pPr>
      <w:r>
        <w:rPr>
          <w:rFonts w:ascii="Garamond" w:hAnsi="Garamond"/>
          <w:sz w:val="24"/>
        </w:rPr>
        <w:t>Intrare în vigoare</w:t>
      </w:r>
    </w:p>
    <w:p w14:paraId="378D0EA7" w14:textId="77777777" w:rsidR="006D6021" w:rsidRPr="008E5B84" w:rsidRDefault="00311339" w:rsidP="008E5B84">
      <w:pPr>
        <w:shd w:val="clear" w:color="auto" w:fill="FFFFFF"/>
        <w:suppressAutoHyphens w:val="0"/>
        <w:spacing w:after="225" w:line="390" w:lineRule="atLeast"/>
        <w:jc w:val="both"/>
        <w:textAlignment w:val="auto"/>
        <w:rPr>
          <w:rFonts w:ascii="Garamond" w:hAnsi="Garamond"/>
          <w:sz w:val="24"/>
          <w:szCs w:val="24"/>
        </w:rPr>
      </w:pPr>
      <w:r>
        <w:rPr>
          <w:rFonts w:ascii="Garamond" w:hAnsi="Garamond"/>
          <w:sz w:val="24"/>
        </w:rPr>
        <w:t xml:space="preserve">Prezentul Decret-lege intră în vigoare în ziua următoare datei publicării sale. </w:t>
      </w:r>
    </w:p>
    <w:sectPr w:rsidR="006D6021" w:rsidRPr="008E5B84">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A3780" w14:textId="77777777" w:rsidR="00071555" w:rsidRDefault="00071555">
      <w:pPr>
        <w:spacing w:after="0"/>
      </w:pPr>
      <w:r>
        <w:separator/>
      </w:r>
    </w:p>
  </w:endnote>
  <w:endnote w:type="continuationSeparator" w:id="0">
    <w:p w14:paraId="05C953D1" w14:textId="77777777" w:rsidR="00071555" w:rsidRDefault="000715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3C02B" w14:textId="77777777" w:rsidR="00071555" w:rsidRDefault="00071555">
      <w:pPr>
        <w:spacing w:after="0"/>
      </w:pPr>
      <w:r>
        <w:rPr>
          <w:color w:val="000000"/>
        </w:rPr>
        <w:separator/>
      </w:r>
    </w:p>
  </w:footnote>
  <w:footnote w:type="continuationSeparator" w:id="0">
    <w:p w14:paraId="7DD3B24A" w14:textId="77777777" w:rsidR="00071555" w:rsidRDefault="000715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3657"/>
    <w:multiLevelType w:val="multilevel"/>
    <w:tmpl w:val="D05AC05A"/>
    <w:lvl w:ilvl="0">
      <w:start w:val="6"/>
      <w:numFmt w:val="decimal"/>
      <w:lvlText w:val="%1 -"/>
      <w:lvlJc w:val="left"/>
      <w:pPr>
        <w:ind w:left="10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97B0D"/>
    <w:multiLevelType w:val="hybridMultilevel"/>
    <w:tmpl w:val="80DE6CC4"/>
    <w:lvl w:ilvl="0" w:tplc="1800124C">
      <w:start w:val="1"/>
      <w:numFmt w:val="lowerLetter"/>
      <w:lvlText w:val="%1)"/>
      <w:lvlJc w:val="left"/>
      <w:pPr>
        <w:ind w:left="786" w:hanging="360"/>
      </w:pPr>
      <w:rPr>
        <w:rFonts w:hint="default"/>
        <w:i/>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2" w15:restartNumberingAfterBreak="0">
    <w:nsid w:val="0F392368"/>
    <w:multiLevelType w:val="multilevel"/>
    <w:tmpl w:val="F1BEC4E6"/>
    <w:lvl w:ilvl="0">
      <w:start w:val="1"/>
      <w:numFmt w:val="lowerLetter"/>
      <w:lvlText w:val="%1)"/>
      <w:lvlJc w:val="left"/>
      <w:pPr>
        <w:ind w:left="644" w:hanging="360"/>
      </w:pPr>
      <w:rPr>
        <w: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33CE25F0"/>
    <w:multiLevelType w:val="multilevel"/>
    <w:tmpl w:val="45E6EE42"/>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41AC33B5"/>
    <w:multiLevelType w:val="multilevel"/>
    <w:tmpl w:val="D7103C30"/>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42DF1C07"/>
    <w:multiLevelType w:val="multilevel"/>
    <w:tmpl w:val="E982D0B8"/>
    <w:lvl w:ilvl="0">
      <w:start w:val="1"/>
      <w:numFmt w:val="decimal"/>
      <w:lvlText w:val="%1 - "/>
      <w:lvlJc w:val="right"/>
      <w:pPr>
        <w:ind w:left="720" w:hanging="360"/>
      </w:pPr>
    </w:lvl>
    <w:lvl w:ilvl="1">
      <w:start w:val="1"/>
      <w:numFmt w:val="lowerLetter"/>
      <w:lvlText w:val="%2)"/>
      <w:lvlJc w:val="left"/>
      <w:pPr>
        <w:ind w:left="1440" w:hanging="360"/>
      </w:pPr>
      <w:rPr>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7E471E"/>
    <w:multiLevelType w:val="multilevel"/>
    <w:tmpl w:val="30E8A17C"/>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75F63389"/>
    <w:multiLevelType w:val="multilevel"/>
    <w:tmpl w:val="BC00FD0C"/>
    <w:lvl w:ilvl="0">
      <w:start w:val="1"/>
      <w:numFmt w:val="decimal"/>
      <w:lvlText w:val="%1 -"/>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7DC659A2"/>
    <w:multiLevelType w:val="hybridMultilevel"/>
    <w:tmpl w:val="80DE6CC4"/>
    <w:lvl w:ilvl="0" w:tplc="1800124C">
      <w:start w:val="1"/>
      <w:numFmt w:val="lowerLetter"/>
      <w:lvlText w:val="%1)"/>
      <w:lvlJc w:val="left"/>
      <w:pPr>
        <w:ind w:left="786" w:hanging="360"/>
      </w:pPr>
      <w:rPr>
        <w:rFonts w:hint="default"/>
        <w:i/>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021"/>
    <w:rsid w:val="00071555"/>
    <w:rsid w:val="00166DDB"/>
    <w:rsid w:val="001C005C"/>
    <w:rsid w:val="00221984"/>
    <w:rsid w:val="002E3B2F"/>
    <w:rsid w:val="00311339"/>
    <w:rsid w:val="00381105"/>
    <w:rsid w:val="00401FF0"/>
    <w:rsid w:val="005370FE"/>
    <w:rsid w:val="00550C55"/>
    <w:rsid w:val="00595413"/>
    <w:rsid w:val="005E437A"/>
    <w:rsid w:val="00654C4A"/>
    <w:rsid w:val="006D6021"/>
    <w:rsid w:val="00774954"/>
    <w:rsid w:val="007C12A7"/>
    <w:rsid w:val="007E1034"/>
    <w:rsid w:val="00815E10"/>
    <w:rsid w:val="008518A0"/>
    <w:rsid w:val="008600E0"/>
    <w:rsid w:val="008B3D7C"/>
    <w:rsid w:val="008E5B84"/>
    <w:rsid w:val="00913675"/>
    <w:rsid w:val="009207B5"/>
    <w:rsid w:val="009C3B2B"/>
    <w:rsid w:val="00A14A5D"/>
    <w:rsid w:val="00AB6977"/>
    <w:rsid w:val="00AC1D9E"/>
    <w:rsid w:val="00AE3FD7"/>
    <w:rsid w:val="00BB1999"/>
    <w:rsid w:val="00BC4ADA"/>
    <w:rsid w:val="00BD1E18"/>
    <w:rsid w:val="00C57444"/>
    <w:rsid w:val="00CD351B"/>
    <w:rsid w:val="00DB12E4"/>
    <w:rsid w:val="00E262CE"/>
    <w:rsid w:val="00E94D66"/>
    <w:rsid w:val="00FA19BE"/>
    <w:rsid w:val="00FB0FBD"/>
    <w:rsid w:val="00FB3CFA"/>
    <w:rsid w:val="00FD444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2C5C"/>
  <w15:docId w15:val="{CB9A8596-23B0-4A3D-8DE0-4AA2AE32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o-RO"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4">
    <w:name w:val="Título 4"/>
    <w:basedOn w:val="Normal"/>
    <w:next w:val="Normal"/>
    <w:pPr>
      <w:ind w:firstLine="284"/>
      <w:jc w:val="center"/>
      <w:outlineLvl w:val="3"/>
    </w:pPr>
    <w:rPr>
      <w:rFonts w:ascii="Times New Roman" w:hAnsi="Times New Roman"/>
      <w:sz w:val="20"/>
    </w:rPr>
  </w:style>
  <w:style w:type="character" w:customStyle="1" w:styleId="Ttulo4Carter">
    <w:name w:val="Título 4 Caráter"/>
    <w:basedOn w:val="DefaultParagraphFont"/>
    <w:rPr>
      <w:rFonts w:ascii="Times New Roman" w:hAnsi="Times New Roman" w:cs="Times New Roman"/>
      <w:sz w:val="20"/>
    </w:rPr>
  </w:style>
  <w:style w:type="paragraph" w:styleId="ListParagraph">
    <w:name w:val="List Paragraph"/>
    <w:basedOn w:val="Normal"/>
    <w:pPr>
      <w:ind w:left="720"/>
    </w:pPr>
  </w:style>
  <w:style w:type="character" w:customStyle="1" w:styleId="PargrafodaListaCarter">
    <w:name w:val="Parágrafo da Lista Caráte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TextodebaloCarter">
    <w:name w:val="Texto de balão Caráter"/>
    <w:basedOn w:val="DefaultParagraphFont"/>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character" w:customStyle="1" w:styleId="TextodecomentrioCarter">
    <w:name w:val="Texto de comentário Caráter"/>
    <w:basedOn w:val="DefaultParagraphFont"/>
    <w:rPr>
      <w:sz w:val="20"/>
      <w:szCs w:val="20"/>
    </w:rPr>
  </w:style>
  <w:style w:type="paragraph" w:styleId="CommentSubject">
    <w:name w:val="annotation subject"/>
    <w:basedOn w:val="CommentText"/>
    <w:next w:val="CommentText"/>
    <w:rPr>
      <w:b/>
      <w:bCs/>
    </w:rPr>
  </w:style>
  <w:style w:type="character" w:customStyle="1" w:styleId="AssuntodecomentrioCarter">
    <w:name w:val="Assunto de comentário Caráter"/>
    <w:basedOn w:val="TextodecomentrioCarter"/>
    <w:rPr>
      <w:b/>
      <w:bCs/>
      <w:sz w:val="20"/>
      <w:szCs w:val="20"/>
    </w:rPr>
  </w:style>
  <w:style w:type="character" w:styleId="Hyperlink">
    <w:name w:val="Hyperlink"/>
    <w:basedOn w:val="DefaultParagraphFont"/>
    <w:rPr>
      <w:color w:val="0563C1"/>
      <w:u w:val="single"/>
    </w:rPr>
  </w:style>
  <w:style w:type="character" w:customStyle="1" w:styleId="MenoNoResolvida">
    <w:name w:val="Menção Não Resolvida"/>
    <w:basedOn w:val="DefaultParagraphFont"/>
    <w:rPr>
      <w:color w:val="605E5C"/>
      <w:shd w:val="clear" w:color="auto" w:fill="E1DFDD"/>
    </w:rPr>
  </w:style>
  <w:style w:type="paragraph" w:customStyle="1" w:styleId="Default">
    <w:name w:val="Default"/>
    <w:pPr>
      <w:autoSpaceDE w:val="0"/>
      <w:spacing w:after="0"/>
      <w:textAlignment w:val="auto"/>
    </w:pPr>
    <w:rPr>
      <w:rFonts w:cs="Calibri"/>
      <w:color w:val="000000"/>
      <w:sz w:val="24"/>
      <w:szCs w:val="24"/>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pt-PT"/>
    </w:rPr>
  </w:style>
  <w:style w:type="paragraph" w:styleId="Revision">
    <w:name w:val="Revision"/>
    <w:hidden/>
    <w:uiPriority w:val="99"/>
    <w:semiHidden/>
    <w:rsid w:val="00550C55"/>
    <w:pPr>
      <w:autoSpaceDN/>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re.pt/web/guest/pesquisa/-/search/114337042/details/normal?l=1" TargetMode="External"/><Relationship Id="rId13" Type="http://schemas.openxmlformats.org/officeDocument/2006/relationships/hyperlink" Target="https://eur-lex.europa.eu/legal-content/RO/TXT/?uri=CELEX:32012L0019" TargetMode="External"/><Relationship Id="rId18" Type="http://schemas.openxmlformats.org/officeDocument/2006/relationships/hyperlink" Target="https://dre.pt/web/guest/pesquisa/-/search/117484671/details/normal?l=1" TargetMode="External"/><Relationship Id="rId3" Type="http://schemas.openxmlformats.org/officeDocument/2006/relationships/styles" Target="styles.xml"/><Relationship Id="rId21" Type="http://schemas.openxmlformats.org/officeDocument/2006/relationships/hyperlink" Target="https://dre.pt/web/guest/pesquisa/-/search/114337042/details/normal?l=1" TargetMode="External"/><Relationship Id="rId7" Type="http://schemas.openxmlformats.org/officeDocument/2006/relationships/endnotes" Target="endnotes.xml"/><Relationship Id="rId12" Type="http://schemas.openxmlformats.org/officeDocument/2006/relationships/hyperlink" Target="https://eur-lex.europa.eu/legal-content/RO/TXT/?uri=CELEX:32006L0066" TargetMode="External"/><Relationship Id="rId17" Type="http://schemas.openxmlformats.org/officeDocument/2006/relationships/hyperlink" Target="https://dre.pt/web/guest/pesquisa/-/search/114337042/details/normal?l=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e.pt/web/guest/pesquisa/-/search/114337042/details/normal?l=1" TargetMode="External"/><Relationship Id="rId20" Type="http://schemas.openxmlformats.org/officeDocument/2006/relationships/hyperlink" Target="https://dre.pt/web/guest/pesquisa/-/search/145359680/details/normal?l=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uri=CELEX:32000L005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legal-content/RO/TXT/?uri=CELEX:32015L1535" TargetMode="External"/><Relationship Id="rId23" Type="http://schemas.openxmlformats.org/officeDocument/2006/relationships/hyperlink" Target="https://dre.pt/web/guest/pesquisa/-/search/114337042/details/normal?l=1" TargetMode="External"/><Relationship Id="rId10" Type="http://schemas.openxmlformats.org/officeDocument/2006/relationships/hyperlink" Target="https://eur-lex.europa.eu/legal-content/RO/TXT/?uri=CELEX:32018L0852" TargetMode="External"/><Relationship Id="rId19" Type="http://schemas.openxmlformats.org/officeDocument/2006/relationships/hyperlink" Target="https://dre.pt/web/guest/pesquisa/-/search/122627506/details/normal?l=1" TargetMode="External"/><Relationship Id="rId4" Type="http://schemas.openxmlformats.org/officeDocument/2006/relationships/settings" Target="settings.xml"/><Relationship Id="rId9" Type="http://schemas.openxmlformats.org/officeDocument/2006/relationships/hyperlink" Target="https://eur-lex.europa.eu/legal-content/RO/TXT/?uri=CELEX:31994L0062" TargetMode="External"/><Relationship Id="rId14" Type="http://schemas.openxmlformats.org/officeDocument/2006/relationships/hyperlink" Target="https://eur-lex.europa.eu/legal-content/RO/TXT/?uri=CELEX:32018L0849" TargetMode="External"/><Relationship Id="rId22" Type="http://schemas.openxmlformats.org/officeDocument/2006/relationships/hyperlink" Target="https://dre.pt/web/guest/pesquisa/-/search/114337042/details/normal?l=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50415-889B-4084-922C-B491886F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12</Pages>
  <Words>2405</Words>
  <Characters>13711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GSEAMB</dc:creator>
  <dc:description/>
  <cp:lastModifiedBy>Dimitris Dimitriadis</cp:lastModifiedBy>
  <cp:revision>11</cp:revision>
  <dcterms:created xsi:type="dcterms:W3CDTF">2021-02-18T16:42:00Z</dcterms:created>
  <dcterms:modified xsi:type="dcterms:W3CDTF">2021-03-03T16:12:00Z</dcterms:modified>
</cp:coreProperties>
</file>