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BESLUTNING NR. 76/23/CONS</w:t>
      </w:r>
    </w:p>
    <w:p w14:paraId="77FB2A48" w14:textId="78437799" w:rsidR="00FD236D" w:rsidRPr="00FD236D" w:rsidRDefault="00437A11" w:rsidP="00370FBB">
      <w:pPr>
        <w:spacing w:after="360" w:line="240" w:lineRule="auto"/>
        <w:ind w:left="0" w:hanging="11"/>
        <w:jc w:val="center"/>
        <w:rPr>
          <w:b/>
          <w:szCs w:val="24"/>
        </w:rPr>
      </w:pPr>
      <w:r>
        <w:rPr>
          <w:b/>
        </w:rPr>
        <w:t xml:space="preserve">Iværksættelse af den offentlige høring om udkastet til forskrift om gennemførelse af artikel 41, stk. 9, i lovdekret nr. 208 af 8. november 2021 om programmer, brugergenererede videoer eller audiovisuel kommerciel kommunikation rettet til den italienske offentlighed og formidlet af en videodelingsplatform, hvis udbyder er etableret i en anden medlemsstat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MYNDIGHEDEN HAR —</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PÅ </w:t>
      </w:r>
      <w:r>
        <w:rPr>
          <w:sz w:val="24"/>
        </w:rPr>
        <w:t>rådsmødet af 16. marts 2023,</w:t>
      </w:r>
    </w:p>
    <w:p w14:paraId="1885E2F1" w14:textId="766E5BE1" w:rsidR="00964E0E" w:rsidRDefault="00964E0E" w:rsidP="00370FBB">
      <w:pPr>
        <w:spacing w:after="240" w:line="240" w:lineRule="auto"/>
        <w:ind w:left="0" w:right="23" w:firstLine="567"/>
        <w:rPr>
          <w:szCs w:val="24"/>
        </w:rPr>
      </w:pPr>
      <w:r>
        <w:t>UNDER HENVISNING TIL lov nr. 481 af 14. november 1995 om "</w:t>
      </w:r>
      <w:r>
        <w:rPr>
          <w:i/>
        </w:rPr>
        <w:t>Regler for konkurrence og regulering af offentlige forsyningstjenester. Etablering af regulerende myndigheder for offentlige forsyningstjenester</w:t>
      </w:r>
      <w:r>
        <w:t>",</w:t>
      </w:r>
    </w:p>
    <w:p w14:paraId="469C504D" w14:textId="02C7C11A" w:rsidR="00F166C6" w:rsidRPr="00F57A7D" w:rsidRDefault="00D33E49" w:rsidP="00370FBB">
      <w:pPr>
        <w:spacing w:after="240" w:line="240" w:lineRule="auto"/>
        <w:ind w:left="0" w:right="23" w:firstLine="567"/>
        <w:rPr>
          <w:szCs w:val="24"/>
        </w:rPr>
      </w:pPr>
      <w:r>
        <w:t>UNDER HENVISNING TIL nr. 249 af 31. juli 1997 om "</w:t>
      </w:r>
      <w:r>
        <w:rPr>
          <w:i/>
        </w:rPr>
        <w:t>Oprettelse af kommunikationsstyrelsen og om regler for telekommunikations-, radio- og tv-systemer</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UNDER HENVISNING TIL lovdekret nr. 70 af 9. april 2003 om "</w:t>
      </w:r>
      <w:r>
        <w:rPr>
          <w:i/>
        </w:rPr>
        <w:t>Gennemførelse af direktiv 2000/31/EF om visse retlige aspekter af informationssamfundstjenester, navnlig elektronisk handel, i det indre marked</w:t>
      </w:r>
      <w:r>
        <w:t>", særlig artikel 5, 14, 15, 16 og 17,</w:t>
      </w:r>
    </w:p>
    <w:p w14:paraId="54A663C1" w14:textId="0E8FB7E0" w:rsidR="001219A2" w:rsidRDefault="001219A2" w:rsidP="00370FBB">
      <w:pPr>
        <w:spacing w:before="240" w:after="240" w:line="240" w:lineRule="auto"/>
        <w:ind w:left="0" w:right="-1" w:firstLine="567"/>
      </w:pPr>
      <w:r>
        <w:t xml:space="preserve">UNDER HENVISNING TIL Europa-Parlamentets og Rådets direktiv (EU) 2018/1808 af 14. november 2018 </w:t>
      </w:r>
      <w:r>
        <w:rPr>
          <w:i/>
        </w:rPr>
        <w:t>om ændring af direktiv 2010/13/EU om samordning af visse love og administrative bestemmelser i medlemsstaterne om udbud af audiovisuelle medietjenester (direktiv om audiovisuelle medietjenester) i betragtning af de ændrede markedsforhold</w:t>
      </w:r>
      <w:r>
        <w:t>,</w:t>
      </w:r>
    </w:p>
    <w:p w14:paraId="34FE704A" w14:textId="308D16E7" w:rsidR="00CA2F18" w:rsidRDefault="00CA2F18" w:rsidP="00370FBB">
      <w:pPr>
        <w:spacing w:before="240" w:after="240" w:line="240" w:lineRule="auto"/>
        <w:ind w:left="0" w:right="-1" w:firstLine="567"/>
      </w:pPr>
      <w:r>
        <w:t>UNDER HENVISNING TIL navnlig betragtning 10 i direktiv (EU) 2018/1808, hvorefter "</w:t>
      </w:r>
      <w:r>
        <w:rPr>
          <w:i/>
        </w:rPr>
        <w:t>|I overensstemmelse med retspraksis fra Den Europæiske Unions Domstol (»EU-Domstolen«) er det kun muligt at begrænse den frie udveksling af tjenesteydelser, som er sikret i henhold til traktaten, begrænses, hvis der foreligger tvingende hensyn i offentlighedens interesse, f.eks. opnåelse af et højt forbrugerbeskyttelsesniveau, forudsat at sådanne begrænsninger er begrundede, står i rimeligt forhold til målet og er nødvendige</w:t>
      </w:r>
      <w:r>
        <w:t>.</w:t>
      </w:r>
      <w:r>
        <w:rPr>
          <w:i/>
        </w:rPr>
        <w:t xml:space="preserve"> Derfor bør en medlemsstat kunne træffe visse foranstaltninger for at sikre overholdelse af de af dens forbrugerbeskyttelsesregler, der ikke henhører under de områder, der samordnes ved direktiv 2010/13/EU. Foranstaltninger, der træffes af en medlemsstat for at håndhæve dens nationale forbrugerbeskyttelsesordning, herunder i forbindelse med reklamer for spil, skal være begrundede, stå i rimeligt forhold til det mål, der tilstræbes, og være nødvendige som krævet i EU-Domstolens retspraksis. Under alle omstændigheder må en modtagermedlemsstat ikke træffe nogen foranstaltninger, der vil </w:t>
      </w:r>
      <w:r>
        <w:rPr>
          <w:i/>
        </w:rPr>
        <w:lastRenderedPageBreak/>
        <w:t>være til hinder for retransmission på dens område af fjernsynsudsendelser fra en anden medlemsstat.</w:t>
      </w:r>
      <w:r>
        <w:t>"</w:t>
      </w:r>
    </w:p>
    <w:p w14:paraId="2E3811D7" w14:textId="4CE4E510" w:rsidR="005D47B3" w:rsidRPr="00677735" w:rsidRDefault="005D47B3" w:rsidP="00370FBB">
      <w:pPr>
        <w:spacing w:before="240" w:after="240" w:line="240" w:lineRule="auto"/>
        <w:ind w:left="0" w:firstLine="567"/>
        <w:rPr>
          <w:color w:val="auto"/>
        </w:rPr>
      </w:pPr>
      <w:r>
        <w:rPr>
          <w:color w:val="auto"/>
        </w:rPr>
        <w:t>UNDER HENVISNING TIL Europa-Parlamentets og Rådets forordning (EU) 2022/2065 af 19. oktober 2022 om et indre marked for digitale tjenester og om ændring af direktiv 2000/31/EF (forordning om digitale tjenester), navnlig artikel 6, stk. 4, i henhold til hvilken denne artikel ikke berører "</w:t>
      </w:r>
      <w:r>
        <w:rPr>
          <w:i/>
          <w:color w:val="auto"/>
        </w:rPr>
        <w:t>en retslig eller en administrativ myndigheds muligheder for i overensstemmelse med en medlemsstats retssystem at kræve, at en tjenesteudbyder bringer en overtrædelse til ophør eller forhindrer den</w:t>
      </w:r>
      <w:r>
        <w:rPr>
          <w:color w:val="auto"/>
        </w:rPr>
        <w:t>",</w:t>
      </w:r>
    </w:p>
    <w:p w14:paraId="0E4DD8C1" w14:textId="5CBE2F54" w:rsidR="001219A2" w:rsidRPr="000A6343" w:rsidRDefault="001219A2" w:rsidP="00370FBB">
      <w:pPr>
        <w:spacing w:before="240" w:after="120" w:line="240" w:lineRule="auto"/>
        <w:ind w:left="0" w:firstLine="567"/>
      </w:pPr>
      <w:r>
        <w:t>UNDER HENVISNING TIL lovdekret nr. 208 af 8. november 2021 om "</w:t>
      </w:r>
      <w:r>
        <w:rPr>
          <w:i/>
        </w:rPr>
        <w:t>Gennemførelse af Europa-Parlamentets og Rådets direktiv (EU) 2018/1808 af 14. november 2018 om ændring af direktiv 2010/13/EU om samordning af visse love og administrative bestemmelser i medlemsstaterne om den konsoliderede lov om udbud af audiovisuelle medietjenester i betragtning af de ændrede markedsforhold</w:t>
      </w:r>
      <w:r>
        <w:t>" (i det følgende benævnt "TUSMA" eller "konsolideret lov"), navnlig artiklerne:</w:t>
      </w:r>
    </w:p>
    <w:p w14:paraId="5B811E55" w14:textId="0739D964" w:rsidR="001219A2" w:rsidRDefault="001219A2" w:rsidP="00370FBB">
      <w:pPr>
        <w:pStyle w:val="ListParagraph"/>
        <w:numPr>
          <w:ilvl w:val="0"/>
          <w:numId w:val="25"/>
        </w:numPr>
        <w:spacing w:after="120" w:line="240" w:lineRule="auto"/>
        <w:ind w:left="714" w:hanging="357"/>
      </w:pPr>
      <w:r>
        <w:t xml:space="preserve">3, stk. 1, </w:t>
      </w:r>
      <w:r>
        <w:rPr>
          <w:i/>
        </w:rPr>
        <w:t>litra c)</w:t>
      </w:r>
      <w:r>
        <w:t>, hvor "</w:t>
      </w:r>
      <w:r>
        <w:rPr>
          <w:i/>
        </w:rPr>
        <w:t>videodelingsplatformtjeneste</w:t>
      </w:r>
      <w:r>
        <w:t>" defineres som "</w:t>
      </w:r>
      <w:r>
        <w:rPr>
          <w:i/>
        </w:rPr>
        <w:t>en tjeneste som defineret i artikel 56 og 57 i traktaten om Den Europæiske Unions funktionsmåde, hvor hovedformålet med selve tjenesten, dens særlige karakter eller væsentlige funktionalitet er tilrådighedsstillelse af programmer, brugergenererede videoer eller begge dele rettet til offentligheden, for hvilke udbyderen af videodelingsplatformen ikke har noget redaktionelt ansvar med henblik på at informere, underholde eller uddanne via elektroniske kommunikationsnet som omhandlet i artikel 2, litra a), i Europa-Parlamentets og Rådets direktiv 2002/21/EF af 12. juli 2002, og hvis organisation fastlægges af udbyderen af videodelingsplatformen, herunder ved hjælp af automatiske midler eller algoritmer, navnlig ved visning, mærkning og sekventering</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 stk. 1, i den </w:t>
      </w:r>
      <w:r>
        <w:rPr>
          <w:i/>
        </w:rPr>
        <w:t xml:space="preserve">konsoliderede lov, </w:t>
      </w:r>
      <w:r>
        <w:t>der fastsætter: "</w:t>
      </w:r>
      <w:r>
        <w:rPr>
          <w:i/>
        </w:rPr>
        <w:t xml:space="preserve">1. De grundlæggende principper for systemet af audiovisuelle medietjenester, radiospredning og videodelingsplatformstjenester omfatter sikring af radio- og tv-mediernes frihed og pluralisme, beskyttelse af den enkeltes ytringsfrihed, herunder meningsfrihed og frihed til at modtage eller formidle oplysninger eller idéer uden begrænsninger, samtidig med at den menneskelige værdighed, princippet om ikke-forskelsbehandling og bekæmpelse af hadefuld tale, objektivitet, fuldstændighed, trofasthed og upartiskhed respekteres, beskyttelse af ophavsret og intellektuelle ejendomsrettigheder, åbenhed over for forskellige politiske, sociale, kulturelle og religiøse holdninger og tendenser samt beskyttelse af etnisk mangfoldighed og kulturel, kunstnerisk og miljømæssig arv på nationalt og lokalt plan under overholdelse af friheder og rettigheder, navnlig personens værdighed og beskyttelse af personoplysninger, fremme og beskyttelse af barnets velfærd, sundhed og harmonisk fysisk, mental og moralsk udvikling, som garanteres ved </w:t>
      </w:r>
      <w:r>
        <w:rPr>
          <w:i/>
        </w:rPr>
        <w:lastRenderedPageBreak/>
        <w:t>forfatningen, EU-retten, internationale regler i italiensk ret og statslige og regionale love.</w:t>
      </w:r>
    </w:p>
    <w:p w14:paraId="38386B84" w14:textId="63F7EB9D" w:rsidR="77524313" w:rsidRDefault="77524313" w:rsidP="00370FBB">
      <w:pPr>
        <w:pStyle w:val="ListParagraph"/>
        <w:numPr>
          <w:ilvl w:val="0"/>
          <w:numId w:val="25"/>
        </w:numPr>
        <w:spacing w:after="120" w:line="240" w:lineRule="auto"/>
        <w:ind w:left="714" w:hanging="357"/>
        <w:rPr>
          <w:i/>
          <w:iCs/>
        </w:rPr>
      </w:pPr>
      <w:r>
        <w:t>9, stk. 1, hvorefter "</w:t>
      </w:r>
      <w:r>
        <w:rPr>
          <w:i/>
        </w:rPr>
        <w:t>myndigheden i forbindelse med udøvelsen af de opgaver, den har fået pålagt ved lov, sikrer, at personens grundlæggende rettigheder på kommunikationsområdet respekteres, herunder gennem audiovisuelle medietjenester eller radiomedietjenester</w:t>
      </w:r>
      <w:r>
        <w:t>.</w:t>
      </w:r>
      <w:r>
        <w:rPr>
          <w:i/>
        </w:rPr>
        <w:t xml:space="preserve"> Myndigheden udøver sine beføjelser upartisk og gennemsigtigt og i overensstemmelse med målene i direktiv (EU) 2018/1808, navnlig med hensyn til mediepluralisme, kulturel og sproglig mangfoldighed, forbrugerbeskyttelse, tilgængelighed, ikkeforskelsbehandling, et velfungerende indre marked og fremme af fair konkurrence</w:t>
      </w:r>
      <w:r>
        <w:t>.",</w:t>
      </w:r>
    </w:p>
    <w:p w14:paraId="46F4888F" w14:textId="09DA3482" w:rsidR="0014558F" w:rsidRDefault="001219A2" w:rsidP="00370FBB">
      <w:pPr>
        <w:pStyle w:val="ListParagraph"/>
        <w:numPr>
          <w:ilvl w:val="0"/>
          <w:numId w:val="25"/>
        </w:numPr>
        <w:spacing w:after="120" w:line="240" w:lineRule="auto"/>
        <w:ind w:left="714" w:hanging="357"/>
      </w:pPr>
      <w:r>
        <w:t>9, stk. 2, hvorefter "</w:t>
      </w:r>
      <w:r>
        <w:rPr>
          <w:i/>
        </w:rPr>
        <w:t>myndigheden inden for audiovisuelle medie- og radiomedietjenester og videodelingsplatformstjenester udøver de beføjelser, der er fastsat i reglerne i denne konsoliderede lov, samt de beføjelser, der allerede er tillagt ved de øvrige gældende regler, selv om de ikke er omfattet af den konsoliderede lov, og navnlig de beføjelser, der er omhandlet i lov nr. 223 af 6. august 1990, nr. 481 af 14. november 1995 og nr. 249 af 31. juli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 stk. 7, hvorefter "</w:t>
      </w:r>
      <w:r>
        <w:rPr>
          <w:i/>
        </w:rPr>
        <w:t>Med forbehold af artikel 14-17 i lovdekret nr. 70 af 9. april 2003, og med forbehold af bestemmelserne i de foregående stykker, kan den frie bevægelighed for programmer, brugergenererede videoer og audiovisuel kommerciel kommunikation rettet til den italienske offentlighed og formidlet af en videodelingsplatform, hvis udbyder er etableret i en anden medlemsstat, begrænses efter beslutning af myndigheden efter proceduren i artikel 5, stk. 2, 3 og 4, i lovdekret nr. 70 af</w:t>
      </w:r>
    </w:p>
    <w:p w14:paraId="053D7E3A" w14:textId="4411B169" w:rsidR="005C6706" w:rsidRDefault="005C6706" w:rsidP="00370FBB">
      <w:pPr>
        <w:pStyle w:val="ListParagraph"/>
        <w:spacing w:after="120" w:line="240" w:lineRule="auto"/>
        <w:ind w:left="720" w:firstLine="0"/>
      </w:pPr>
      <w:r>
        <w:rPr>
          <w:i/>
        </w:rPr>
        <w:t xml:space="preserve">2003 for følgende formål: a) beskyttelse af mindreårige mod indhold, der kan skade deres fysiske, mentale eller moralske udvikling i overensstemmelse med artikel 38, stk. 1 b) bekæmpelse af tilskyndelse til racemæssigt, seksuelt, religiøst eller etnisk had og mod krænkelse af den menneskelige værdighed </w:t>
      </w:r>
      <w:r>
        <w:rPr>
          <w:i/>
          <w:iCs/>
        </w:rPr>
        <w:t>c) beskyttelse af forbrugere, herunder investorer, i henhold til denne konsoliderende lov",</w:t>
      </w:r>
    </w:p>
    <w:p w14:paraId="6577AE7E" w14:textId="666992C1" w:rsidR="005C6706" w:rsidRDefault="005C6706" w:rsidP="00370FBB">
      <w:pPr>
        <w:pStyle w:val="ListParagraph"/>
        <w:numPr>
          <w:ilvl w:val="0"/>
          <w:numId w:val="25"/>
        </w:numPr>
        <w:spacing w:after="240" w:line="240" w:lineRule="auto"/>
        <w:contextualSpacing/>
      </w:pPr>
      <w:r>
        <w:t>41, stk. 8, hvorefter "</w:t>
      </w:r>
      <w:r>
        <w:rPr>
          <w:i/>
        </w:rPr>
        <w:t>For at afgøre, om et program, en brugergenereret video eller en audiovisuel kommerciel kommunikation er rettet til den italienske offentlighed, kan kriterier såsom f.eks. sproget, der anvendes, inddragelsen af et betydeligt antal kontakter på det italienske område eller opnåelsen af indtægter i Italien anvendes</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lastRenderedPageBreak/>
        <w:t xml:space="preserve">UNDER HENVISNING TIL artikel 21 (Ikke-forskelsbehandling) i Den Europæiske Unions charter om grundlæggende rettigheder af 2000 og navnlig stk. 1, hvorefter </w:t>
      </w:r>
      <w:r>
        <w:rPr>
          <w:i/>
          <w:color w:val="auto"/>
        </w:rPr>
        <w:t>"Enhver forskelsbehandling på grund af køn, race, farve, etnisk eller social oprindelse, genetiske anlæg, sprog, religion eller tro, politiske eller andre anskuelser, tilhørsforhold til et nationalt mindretal, formueforhold, fødsel, handicap, alder, seksuel orientering eller ethvert andet forhold er forbudt</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UNDER HENVISNING TIL artikel 22 (kulturel, religiøs og sproglig mangfoldighed) i Den Europæiske Unions charter om grundlæggende rettigheder fra år 2000, i henhold til hvilken "Unionen respekterer den kulturelle, religiøse og sproglige mangfoldighed",</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UNDER HENVISNING TIL artikel 3 i forfatningen, ifølge hvilken "</w:t>
      </w:r>
      <w:r>
        <w:rPr>
          <w:i/>
          <w:color w:val="auto"/>
        </w:rPr>
        <w:t>Alle borgere har samme sociale værdighed og er lige for loven, uanset køn, race, sprog, religion, politiske meninger, personlige og sociale forhold</w:t>
      </w:r>
      <w:r>
        <w:rPr>
          <w:color w:val="auto"/>
        </w:rPr>
        <w:t>.</w:t>
      </w:r>
      <w:r>
        <w:rPr>
          <w:i/>
          <w:color w:val="auto"/>
        </w:rPr>
        <w:t xml:space="preserve"> Det er Republikkens pligt at fjerne hindringer af økonomisk og social karakter, som ved effektivt at begrænse borgernes frihed og lighed hindrer menneskers fulde udvikling og alle arbejdstageres effektive deltagelse i landets politiske, økonomiske og sociale organisation",</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UNDER HENVISNING TIL Rådets rammeafgørelse 2008/913/RIA af 28. november 2008 om bekæmpelse af visse former for og tilkendegivelser af racisme og fremmedhad ved hjælp af straffelovgivningen og til direktiv (EU) 2017/541 af 15. marts 2017 om bekæmpelse af terrorisme og om erstatning af Rådets rammeafgørelse 2002/475/RIA og om ændring af Rådets afgørelse 2005/671/RIA,</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UNDER HENVISNING TIL ECRI's generelle politiske henstilling nr. 15 (Europarådets Europæiske Kommission mod Racisme og Intolerance) om bekæmpelse af hadefuld tale, der blev vedtaget den 8. december 2015, og som tilskynder staterne til at træffe konkrete foranstaltninger for at sikre, at alle former for etnisk forskelsbehandling imødegås og udryddes i overensstemmelse med folkeretten om beskyttelse af menneskerettighederne,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UNDER HENVISNING TIL </w:t>
      </w:r>
      <w:r>
        <w:rPr>
          <w:color w:val="auto"/>
          <w:shd w:val="clear" w:color="auto" w:fill="FFFFFF"/>
        </w:rPr>
        <w:t>Rådets rammeafgørelse 2008/913/RIA af 28. november 2008 om bekæmpelse af visse former for og tilkendegivelser af racisme og fremmedhad ved hjælp af straffelovgivningen,</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UNDER HENVISNING TIL adfærdskodeksen for bekæmpelse af ulovlige former for hadefuld tale online oprettet af Europa-Kommissionen den 31. maj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UNDER HENVISNING TIL Kommissionens meddelelse COM(2017) 555 om</w:t>
      </w:r>
      <w:r>
        <w:rPr>
          <w:i/>
          <w:color w:val="auto"/>
        </w:rPr>
        <w:t xml:space="preserve"> "Bekæmpelse af ulovligt indhold på nettet: Større ansvar for onlineplatforme",</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UNDER HENVISNING TIL </w:t>
      </w:r>
      <w:r>
        <w:rPr>
          <w:i/>
          <w:color w:val="auto"/>
        </w:rPr>
        <w:t>"selvregulerende lov om medier og mindreårige"</w:t>
      </w:r>
      <w:r>
        <w:rPr>
          <w:color w:val="auto"/>
        </w:rPr>
        <w:t xml:space="preserve">, godkendt af Kommissionen med henblik på oprettelse af radio- og tv-spredningssystemet </w:t>
      </w:r>
      <w:r>
        <w:rPr>
          <w:color w:val="auto"/>
        </w:rPr>
        <w:lastRenderedPageBreak/>
        <w:t>den 5. november 2002 og underskrevet af radio- og tv-selskaberne og underskrivende sammenslutninger den 29. november 2002,</w:t>
      </w:r>
    </w:p>
    <w:p w14:paraId="20F2FA83" w14:textId="56448EC7" w:rsidR="008E1E2C" w:rsidRPr="008E4345" w:rsidRDefault="466D1E27" w:rsidP="00370FBB">
      <w:pPr>
        <w:spacing w:after="240" w:line="240" w:lineRule="auto"/>
        <w:ind w:left="0" w:firstLine="567"/>
        <w:rPr>
          <w:color w:val="auto"/>
          <w:szCs w:val="24"/>
        </w:rPr>
      </w:pPr>
      <w:r>
        <w:rPr>
          <w:color w:val="auto"/>
        </w:rPr>
        <w:t>UNDER HENVISNING TIL afgørelse nr. 165/06/CSP af 22. november 2006 om "</w:t>
      </w:r>
      <w:r>
        <w:rPr>
          <w:i/>
          <w:color w:val="auto"/>
        </w:rPr>
        <w:t>lov vedrørende respekt for personers grundlæggende rettigheder, personlig værdighed og mindreåriges fysiske, mentale og moralske udvikling i underholdningsprogrammer</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UNDER HENVISNING TIL afgørelse nr. 23/07/CSP af 22. februar 2007 med titlen "</w:t>
      </w:r>
      <w:r>
        <w:rPr>
          <w:i/>
          <w:color w:val="auto"/>
        </w:rPr>
        <w:t>lov om grundlæggende personrettigheder og forbud mod udbredelse af pornografiske scener</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UNDER HENVISNING TIL beslutning 51/13/CSP af 3. maj 2013, der indeholder "</w:t>
      </w:r>
      <w:r>
        <w:rPr>
          <w:i/>
          <w:color w:val="auto"/>
        </w:rPr>
        <w:t>forskrifterne om tekniske foranstaltninger, der skal vedtages for at udelukke, at mindreårige ser og lytter til udsendelser, der stilles til rådighed af udbydere af on-demand audiovisuelle medietjenester, som kan være til alvorlig skade for deres fysiske, mentale eller moralske udvikling i henhold til artikel 34 i lovdekret nr. 177 af 31. juli 2005, som ændret og suppleret ved lovdekret nr. 44 af 15. marts 2010, som ændret ved lovdekret nr. 120 af 28. juni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UNDER HENVISNING TIL afgørelse nr. 52/13/CSP af 3. maj 2013 om "</w:t>
      </w:r>
      <w:r>
        <w:rPr>
          <w:i/>
          <w:color w:val="auto"/>
        </w:rPr>
        <w:t>forskrifter om kriterier for klassificering af tv-udsendelser, som kan være til alvorlig skade for mindreåriges fysiske, psykiske eller moralske udvikling som omhandlet i artikel 34, stk. 1, 5 og 11, i lovdekret nr. 177 af 31. juli 2005, som ændret og suppleret ved lovdekret nr. 44 af 15. marts 2010 og lovdekret nr. 120 af 28. juni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UNDER HENVISNING TIL afgørelse nr. 157/19/CONS om vedtagelse af "</w:t>
      </w:r>
      <w:r>
        <w:rPr>
          <w:i/>
        </w:rPr>
        <w:t>forskriften om bestemmelser om respekt for den menneskelige værdighed og princippet om ikke-forskelsbehandling og bekæmpelse af hadefuld tale</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UNDER HENVISNING TIL afgørelse nr. 37/23/CONS af 22. februar 2023 om "</w:t>
      </w:r>
      <w:r>
        <w:rPr>
          <w:i/>
          <w:color w:val="auto"/>
        </w:rPr>
        <w:t>forskriften om beskyttelse af personens grundlæggende rettigheder i henhold til artikel 30 i lovdekret nr. 208 af 8. november 2021 (konsolideret lov om audiovisuelle medietjenester)</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UNDER HENVISNING TIL afgørelse nr. 22/23/CONS af 8. februar 2023 om "</w:t>
      </w:r>
      <w:r>
        <w:rPr>
          <w:i/>
          <w:color w:val="auto"/>
        </w:rPr>
        <w:t>Indledning af proceduren og den offentlige høring om ændring af regelsættet for tvistbilæggelsesprocedurer mellem brugere og operatører af elektronisk kommunikation eller udbydere af audiovisuelle medietjenester med henblik på gennemførelsen af artikel 42, stk. 9, i TUSMA for så vidt angår videodelingsplatformstjenester</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UNDER HENVISNING TIL afgørelse nr. 223/12/CONS af 27. april 2012 om "</w:t>
      </w:r>
      <w:r>
        <w:rPr>
          <w:i/>
          <w:color w:val="auto"/>
        </w:rPr>
        <w:t>Vedtagelse af den nye forskrift om kommunikationsstyrelsen og dens organisering og funktionsmåde</w:t>
      </w:r>
      <w:r>
        <w:rPr>
          <w:color w:val="auto"/>
        </w:rPr>
        <w:t>", senest ændret ved afgørelse nr. 434/22/CONS,</w:t>
      </w:r>
    </w:p>
    <w:p w14:paraId="1B1F9327" w14:textId="178D3D35" w:rsidR="009F0FEF" w:rsidRPr="008E4345" w:rsidRDefault="009F0FEF" w:rsidP="00370FBB">
      <w:pPr>
        <w:spacing w:after="240" w:line="240" w:lineRule="auto"/>
        <w:ind w:left="0" w:firstLine="567"/>
        <w:rPr>
          <w:color w:val="auto"/>
          <w:szCs w:val="24"/>
        </w:rPr>
      </w:pPr>
      <w:r>
        <w:rPr>
          <w:color w:val="auto"/>
        </w:rPr>
        <w:lastRenderedPageBreak/>
        <w:t>UNDER HENVISNING TIL afgørelse nr. 107/19/CONS af 5. april 2019 om "</w:t>
      </w:r>
      <w:r>
        <w:rPr>
          <w:i/>
          <w:color w:val="auto"/>
        </w:rPr>
        <w:t>forskriften om høringsprocedurer i sager, der henhører under myndighedens kompetence</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UNDER HENVISNING TIL afgørelse nr. 410/14/CONS af 29. juli 2014 om "</w:t>
      </w:r>
      <w:r>
        <w:rPr>
          <w:i/>
          <w:color w:val="auto"/>
        </w:rPr>
        <w:t>Procedurereglerne for administrative bøder og tilsagn samt offentlig høring om dokumentet med retningslinjer for kvantificering af administrative bøder pålagt af kommunikationsstyrelsen</w:t>
      </w:r>
      <w:r>
        <w:rPr>
          <w:color w:val="auto"/>
        </w:rPr>
        <w:t>", som senest ændret ved afgørelse nr. 437/22/CONS,</w:t>
      </w:r>
    </w:p>
    <w:p w14:paraId="467B46AE" w14:textId="49FD8DCE" w:rsidR="00882D55" w:rsidRDefault="000E068B" w:rsidP="00370FBB">
      <w:pPr>
        <w:spacing w:before="240" w:after="120" w:line="240" w:lineRule="auto"/>
        <w:ind w:left="0" w:firstLine="567"/>
      </w:pPr>
      <w:r>
        <w:t xml:space="preserve">I BETRAGTNING AF følgende kriterier for at afgøre, om et program, brugergenererede videoer eller audiovisuel kommerciel kommunikation er rettet til den "italienske offentlighed": </w:t>
      </w:r>
    </w:p>
    <w:p w14:paraId="17577486" w14:textId="1125DF6D" w:rsidR="00982048" w:rsidRDefault="00982048" w:rsidP="00370FBB">
      <w:pPr>
        <w:pStyle w:val="ListParagraph"/>
        <w:numPr>
          <w:ilvl w:val="0"/>
          <w:numId w:val="25"/>
        </w:numPr>
        <w:spacing w:after="120" w:line="240" w:lineRule="auto"/>
        <w:ind w:left="714" w:hanging="357"/>
      </w:pPr>
      <w:r>
        <w:t xml:space="preserve">TUSMA's artikel 41, stk. 7, fastlægger, at med forbehold af artikel 14-17 i lovdekret nr. 70 af 9. april 2003 kan den frie bevægelighed for </w:t>
      </w:r>
      <w:bookmarkStart w:id="0" w:name="_Hlk121046021"/>
      <w:r>
        <w:t>programmer, brugergenererede videoer og audiovisuel kommerciel kommunikation</w:t>
      </w:r>
      <w:bookmarkEnd w:id="0"/>
      <w:r>
        <w:t xml:space="preserve">, der er rettet til den italienske offentlighed, og som formidles af en videodelingsplatform, hvis udbyder er etableret i en anden medlemsstat, begrænses ved myndighedens beslutning efter proceduren i artikel 5, stk. 2, 3 og 4, i lovdekret nr. 70 af 2003 til de formål, der er identificeret ved </w:t>
      </w:r>
      <w:r>
        <w:rPr>
          <w:i/>
        </w:rPr>
        <w:t>litra a)</w:t>
      </w:r>
      <w:r>
        <w:t xml:space="preserve">, </w:t>
      </w:r>
      <w:r>
        <w:rPr>
          <w:i/>
        </w:rPr>
        <w:t xml:space="preserve">b), </w:t>
      </w:r>
      <w:r>
        <w:t xml:space="preserve">og </w:t>
      </w:r>
      <w:r>
        <w:rPr>
          <w:i/>
        </w:rPr>
        <w:t xml:space="preserve">c) </w:t>
      </w:r>
      <w:r>
        <w:t>i stk. 7.</w:t>
      </w:r>
    </w:p>
    <w:p w14:paraId="0BDE2A87" w14:textId="5C706D23" w:rsidR="00D21256" w:rsidRDefault="004577F3" w:rsidP="00370FBB">
      <w:pPr>
        <w:pStyle w:val="ListParagraph"/>
        <w:numPr>
          <w:ilvl w:val="0"/>
          <w:numId w:val="25"/>
        </w:numPr>
        <w:spacing w:after="120" w:line="240" w:lineRule="auto"/>
        <w:ind w:right="-1"/>
      </w:pPr>
      <w:r>
        <w:t xml:space="preserve">Følgende stykke 8 fremhæver som eksempel visse kriterier, der har til formål at afgøre, om et program, en brugergenereret video eller en audiovisuel kommerciel kommunikation er rettet til den italienske offentlighed. </w:t>
      </w:r>
    </w:p>
    <w:p w14:paraId="3CC62852" w14:textId="58C56640" w:rsidR="00172B77" w:rsidRDefault="007B35E5" w:rsidP="00370FBB">
      <w:pPr>
        <w:pStyle w:val="ListParagraph"/>
        <w:numPr>
          <w:ilvl w:val="0"/>
          <w:numId w:val="25"/>
        </w:numPr>
        <w:spacing w:after="120" w:line="240" w:lineRule="auto"/>
        <w:ind w:right="-1"/>
      </w:pPr>
      <w:r>
        <w:t xml:space="preserve">Fastlæggelsen af det subjektive anvendelsesområde for den forskrift, som myndigheden skal vedtage i henhold til artikel 41, stk. 9, med henblik på at fastlægge proceduren for vedtagelse af foranstaltninger, der begrænser den frie bevægelighed for indhold, der formidles på videodelingsplatforme, der er etableret i en anden medlemsstat og er rettet til den italienske offentlighed, indebærer en præcis og detaljeret definition af disse kriterier. </w:t>
      </w:r>
    </w:p>
    <w:p w14:paraId="6CDF755C" w14:textId="6D381F5F" w:rsidR="00A45429" w:rsidRPr="00A45429" w:rsidRDefault="00A45429" w:rsidP="00370FBB">
      <w:pPr>
        <w:pStyle w:val="ListParagraph"/>
        <w:numPr>
          <w:ilvl w:val="0"/>
          <w:numId w:val="25"/>
        </w:numPr>
        <w:spacing w:after="120" w:line="240" w:lineRule="auto"/>
        <w:ind w:right="-1"/>
        <w:rPr>
          <w:szCs w:val="24"/>
        </w:rPr>
      </w:pPr>
      <w:r>
        <w:t>I den primære lovgivning er angivelsen af kriterierne for at identificere det subjektive anvendelsesområde udtrykkeligt klassificeret som et eksempel, og dette er relevant for udøvelsen af myndighedens reguleringsbeføjelser.</w:t>
      </w:r>
    </w:p>
    <w:p w14:paraId="180C20C6" w14:textId="77777777" w:rsidR="00801C14" w:rsidRDefault="00F8120B" w:rsidP="00370FBB">
      <w:pPr>
        <w:pStyle w:val="ListParagraph"/>
        <w:numPr>
          <w:ilvl w:val="0"/>
          <w:numId w:val="25"/>
        </w:numPr>
        <w:spacing w:after="240" w:line="240" w:lineRule="auto"/>
        <w:ind w:right="-1"/>
        <w:rPr>
          <w:szCs w:val="24"/>
        </w:rPr>
      </w:pPr>
      <w:r>
        <w:t xml:space="preserve">Den præcise definition af disse kriterier repræsenterer derfor betingelsen for vedtagelse af reglerne for udøvelse af de restriktive beføjelser til fri udveksling af tjenesteydelser for udbydere, der er etableret i en anden medlemsstat og rettet til den italienske offentlighed, for at sikre en effektiv beskyttelse af de grundlæggende rettigheder, som ifølge lovgiveren er af særlig betydning for en effektiv beskyttelse af brugerne, </w:t>
      </w:r>
    </w:p>
    <w:p w14:paraId="338C6A3B" w14:textId="6822BF27" w:rsidR="00AD44D5" w:rsidRPr="00801C14" w:rsidRDefault="00CB4C7F" w:rsidP="00370FBB">
      <w:pPr>
        <w:spacing w:after="120" w:line="240" w:lineRule="auto"/>
        <w:ind w:left="0" w:firstLine="567"/>
        <w:rPr>
          <w:szCs w:val="24"/>
        </w:rPr>
      </w:pPr>
      <w:r>
        <w:t xml:space="preserve">MED KONSTATERING AF, at det derfor er nødvendigt præcist at definere, i hvilket omfang det indhold, der formidles via en videodelingstjeneste, anses for at være rettet til den italienske offentlighed, idet det specificeres: </w:t>
      </w:r>
    </w:p>
    <w:p w14:paraId="2DA2AAF7" w14:textId="0B4137DC" w:rsidR="005F2264" w:rsidRDefault="00F20E4F" w:rsidP="00370FBB">
      <w:pPr>
        <w:pStyle w:val="ListParagraph"/>
        <w:numPr>
          <w:ilvl w:val="0"/>
          <w:numId w:val="25"/>
        </w:numPr>
        <w:spacing w:after="120" w:line="240" w:lineRule="auto"/>
        <w:ind w:right="-1"/>
      </w:pPr>
      <w:r>
        <w:lastRenderedPageBreak/>
        <w:t xml:space="preserve">under hvilke omstændigheder det italienske sprog anvendes, og på hvilke måder, både med hensyn til det delte indhold og den platform, der formidler det </w:t>
      </w:r>
    </w:p>
    <w:p w14:paraId="194A310A" w14:textId="38107EA9" w:rsidR="00515343" w:rsidRDefault="00F20E4F" w:rsidP="00370FBB">
      <w:pPr>
        <w:pStyle w:val="ListParagraph"/>
        <w:numPr>
          <w:ilvl w:val="0"/>
          <w:numId w:val="25"/>
        </w:numPr>
        <w:spacing w:after="120" w:line="240" w:lineRule="auto"/>
        <w:ind w:right="-1"/>
      </w:pPr>
      <w:r>
        <w:t>platformens størrelse, for så vidt angår unikke månedlige italienske besøgende, med henblik på at identificere en tærskel, der imødekommer det dobbelte behov, på den ene side for at sikre en effektiv beskyttelse af brugerne og på den anden side for at sikre effektivitet og omkostningseffektivitet i administrative foranstaltninger. De data, som foranstaltningen er baseret på, skal derfor være en tredjepartsdata, der leveres af organer med den højeste repræsentation af hele referencesektoren, også i lyset af multimediekonvergensprocesser, hvis organisering også opfylder principperne om upartiskhed, autonomi og uafhængighed, f.eks. i vores system til optagelse af lydoptagelser, der er udarbejdet af et JIC (</w:t>
      </w:r>
      <w:r>
        <w:rPr>
          <w:i/>
        </w:rPr>
        <w:t>det fælles industriudvalg</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indholdets omfang i forhold til det betydelige antal brugere, det er nået frem til: spredningen af ulovligt indhold </w:t>
      </w:r>
      <w:r>
        <w:rPr>
          <w:color w:val="000000" w:themeColor="text1"/>
        </w:rPr>
        <w:t>bliver mere alvorlig, jo flere italienske brugere, det er nået frem til. Tærskelværdien i forbindelse med denne vurdering kan variere i forhold til den subjektive kontekst (mål for brugere, som den henviser til) samt den objektive sammenhæng, hvori indholdet indsættes</w:t>
      </w:r>
      <w:r>
        <w:t xml:space="preserve"> </w:t>
      </w:r>
    </w:p>
    <w:p w14:paraId="3203E8B2" w14:textId="1D1860D9" w:rsidR="00C863B2" w:rsidRDefault="00BB26E9" w:rsidP="00370FBB">
      <w:pPr>
        <w:pStyle w:val="ListParagraph"/>
        <w:numPr>
          <w:ilvl w:val="0"/>
          <w:numId w:val="25"/>
        </w:numPr>
        <w:spacing w:after="240" w:line="240" w:lineRule="auto"/>
        <w:ind w:right="-1"/>
      </w:pPr>
      <w:r>
        <w:t>udbyderens indtægter i Italien, selv om de er opført i regnskaberne for selskaber med hjemsted i udlandet, som et eksempel på henvendelse til den italienske offentlighed,</w:t>
      </w:r>
    </w:p>
    <w:p w14:paraId="0C88B46A" w14:textId="1243BF58" w:rsidR="000559D0" w:rsidRDefault="00146BDC" w:rsidP="00370FBB">
      <w:pPr>
        <w:spacing w:after="240" w:line="240" w:lineRule="auto"/>
        <w:ind w:left="0" w:firstLine="567"/>
      </w:pPr>
      <w:r>
        <w:rPr>
          <w:color w:val="auto"/>
        </w:rPr>
        <w:t>I BETRAGTNING AF, at den frie bevægelighed for programmer, brugergenererede videoer og audiovisuel kommerciel kommunikation, der er rettet til den italienske offentlighed og formidlet af en videodelingsplatform, hvis udbyder er etableret i en anden medlemsstat, kan begrænses</w:t>
      </w:r>
      <w:r>
        <w:t xml:space="preserve"> efter proceduren i artikel 5, stk. 2, 3 og 4, i lovdekret nr. 70 af 2003 med følgende formål:</w:t>
      </w:r>
      <w:r>
        <w:rPr>
          <w:color w:val="auto"/>
        </w:rPr>
        <w:t xml:space="preserve"> </w:t>
      </w:r>
      <w:r>
        <w:t>a) beskyttelse af mindreårige mod indhold, der kan påvirke deres fysiske, mentale eller moralske udvikling negativt i overensstemmelse med artikel 38, stk. 1, i TUSMA b) bekæmpelse af tilskyndelse til racemæssigt, seksuelt, religiøst eller etnisk had samt krænkelse af den menneskelige værdighed og c) forbrugerbeskyttelse, herunder investorer, under TUSMA,</w:t>
      </w:r>
    </w:p>
    <w:p w14:paraId="553E09D6" w14:textId="077AA72F" w:rsidR="00CF29FA" w:rsidRDefault="001E6D13" w:rsidP="00370FBB">
      <w:pPr>
        <w:spacing w:after="240" w:line="240" w:lineRule="auto"/>
        <w:ind w:left="0" w:firstLine="567"/>
      </w:pPr>
      <w:r>
        <w:t>MED KONSTATERING AF, at myndigheden under udøvelsen af sine opgaver skal følge de procedurer, der er omhandlet i artikel 5, stk. 2, 3 og 4, i lovdekret nr. 70 af 2003 i henhold til artikel 41, stk. 7, i TUSMA,</w:t>
      </w:r>
    </w:p>
    <w:p w14:paraId="2B79D31B" w14:textId="06337D04" w:rsidR="00DF269C" w:rsidRDefault="00CF29FA" w:rsidP="00370FBB">
      <w:pPr>
        <w:spacing w:after="240" w:line="240" w:lineRule="auto"/>
        <w:ind w:left="0" w:firstLine="567"/>
      </w:pPr>
      <w:r>
        <w:t>I FORHOLD TIL, at artikel 5, stk. 2, i lovdekret nr. 70 af 2003, hvorefter foranstaltninger, der begrænser den frie bevægelighed for audiovisuelt indhold, kun kan vedtages, hvis de i det konkrete tilfælde a) er nødvendige for en bestemt informationssamfundstjeneste, der skader almene hensyn, eller udgør en alvorlig risiko for at skade de samme formål, og b) står i et rimeligt forhold til disse mål, med henblik på at fastsætte forskriftens generelle principper,</w:t>
      </w:r>
    </w:p>
    <w:p w14:paraId="449B4A78" w14:textId="66DF9209" w:rsidR="00DF269C" w:rsidRDefault="006C706E" w:rsidP="00370FBB">
      <w:pPr>
        <w:spacing w:after="240" w:line="240" w:lineRule="auto"/>
        <w:ind w:left="0" w:firstLine="567"/>
      </w:pPr>
      <w:r>
        <w:lastRenderedPageBreak/>
        <w:t xml:space="preserve">MED KONSTATERING AF, at myndigheden i forbindelse med gennemførelsen af bestemmelserne i artikel 5, stk. 3, i lovdekret nr. 71/2003, uden at dette berører retslige procedurer og handlinger, der foretages i forbindelse med en strafferetlig efterforskning, skal a) anmode den medlemsstat, hvor udbyderen af videodelingstjenester er etableret eller anses for etableret i forbindelse med en strafferetlig efterforskning, om at træffe de relevante foranstaltninger ved at kontrollere, at de ikke er truffet eller er utilstrækkelige, og b) underrette Europa-Kommissionen og den pågældende medlemsstat om, at de har til hensigt at træffe sådanne foranstaltninger, </w:t>
      </w:r>
    </w:p>
    <w:p w14:paraId="156DB742" w14:textId="4B2A5935" w:rsidR="00DF269C" w:rsidRDefault="00CB0F89" w:rsidP="00370FBB">
      <w:pPr>
        <w:spacing w:after="240" w:line="240" w:lineRule="auto"/>
        <w:ind w:left="0" w:firstLine="567"/>
      </w:pPr>
      <w:r>
        <w:t>MED KONSTATERING AF, som det sidste, at myndigheden ved gennemførelsen af bestemmelserne i artikel 5, stk. 4, i lovdekret nr. 70 af 2003 kan gribe ind i hastesager ved at fravige den procedure, der er fastsat i denne doms stykke 3, ved hurtigst muligt at meddele hastesagen og foranstaltningen til Kommissionen og til den medlemsstat, hvor udbyderen af videodelingstjenester er etableret eller anses for etableret,</w:t>
      </w:r>
    </w:p>
    <w:p w14:paraId="6CA46AF5" w14:textId="6BDE7D47" w:rsidR="00D30981" w:rsidRDefault="00D30981" w:rsidP="00370FBB">
      <w:pPr>
        <w:spacing w:after="240" w:line="240" w:lineRule="auto"/>
        <w:ind w:left="0" w:firstLine="567"/>
        <w:rPr>
          <w:szCs w:val="24"/>
        </w:rPr>
      </w:pPr>
      <w:r>
        <w:t>I FORHOLD TIL, at det i forskriften er hensigtsmæssigt at fastsætte, i hvilken situation betingelserne for en hastesag er opfyldt, hvis der som følge af den forberedende undersøgelse foreligger kendsgerninger eller omstændigheder, som ville udgøre en alvorlig, overhængende og uoprettelig skade for brugernes rettigheder,</w:t>
      </w:r>
    </w:p>
    <w:p w14:paraId="251DB57A" w14:textId="4B932D5F" w:rsidR="00825CD6" w:rsidRDefault="00F503DB" w:rsidP="00370FBB">
      <w:pPr>
        <w:spacing w:after="120" w:line="240" w:lineRule="auto"/>
        <w:ind w:left="0" w:firstLine="567"/>
      </w:pPr>
      <w:r>
        <w:t xml:space="preserve">I BETRAGTNING AF følgende med hensyn til proceduren for vedtagelse af restriktive foranstaltninger: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således den lovgivning, som lovgiveren har indført i artikel 41, stk. 7, 8 og 9, i TUSMA, vedrører en effektiv beskyttelse af brugerens grundlæggende rettigheder som beskrevet i stk. 7, litra a), b) og c): med henblik herpå er myndigheden derfor blevet tildelt en specifik beføjelse, selv om platformens udbyder er etableret i en anden medlemsstat. Denne beføjelse kan håndhæves, når disse formål er alvorligt truet af indhold rettet til den italienske offentlighed,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den hastesag, der ligger til grund for denne intervention, kræver en procedure, der opfylder et dobbelt krav: på den ene side at fremskynde vedtagelsen af begrænsningsforanstaltningen og på den anden side at sikre de nødvendige processuelle garantier,</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for at gøre beskyttelsen effektiv, er det fastsat, at alle involverede kan rapportere et indhold til myndigheden, der antages at være i strid med ovennævnte formål. Indberetningsproceduren er imidlertid knyttet til en række betingelser for at modvirke ubegrundede initiativer. Myndigheden kan dog altid handle på eget initiativ og med støtte fra finansstyrelsen og poststyrelsen,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når tilstedeværelsen af et indhold, der er rettet til den italienske offentlighed, er blevet fastslået, og om det synes at være i strid med de formål, som reglen har til formål at beskytte, har de forudgående undersøgelser til formål at kontrollere, at de uopsættelige betingelser, der begrunder myndighedens indgriben i stedet for den kompetente i udbyderens etableringsmedlemsstat, er opfyldt. Disse </w:t>
      </w:r>
      <w:r>
        <w:rPr>
          <w:color w:val="auto"/>
        </w:rPr>
        <w:lastRenderedPageBreak/>
        <w:t xml:space="preserve">betingelser finder anvendelse, når beskyttelsen inden for den tid, der er nødvendig for at underrette myndigheden i den anden stat med henblik på at anmode om indgriben, vil blive uigenkaldeligt berørt eller forværre den forvoldte skade,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tidsplanen for proceduren efter meddelelsen om dens indledning gør det muligt for udbyderen af platformen ikke blot at forsvare sig på grundlag af sagens realiteter, men også at træffe de mest hensigtsmæssige foranstaltninger til hurtig tilpasning og begrænsning af indholdet. For så vidt angår den måde, hvorpå begrænsningen gennemføres, og eftersom formålet er at gøre indholdet utilgængeligt for den italienske offentlighed, og også under hensyntagen til den konstante teknologiske udvikling og de forskellige funktioner og tekniske midler, der er til rådighed for tjenesteyderne, anses det for hensigtsmæssigt ikke at have adgang til detaljerne om de foranstaltninger, der skal træffes for at standse adfærden og forhindre, at den gentages,</w:t>
      </w:r>
    </w:p>
    <w:p w14:paraId="69B61422" w14:textId="7659AAED" w:rsidR="00B642EC" w:rsidRDefault="004148D1" w:rsidP="00370FBB">
      <w:pPr>
        <w:spacing w:before="240" w:after="0" w:line="240" w:lineRule="auto"/>
        <w:ind w:left="0" w:right="-1" w:firstLine="567"/>
        <w:rPr>
          <w:bCs/>
        </w:rPr>
      </w:pPr>
      <w:r>
        <w:t xml:space="preserve">I FORHOLD TIL, i overensstemmelse med bestemmelserne i afgørelse nr. 107/19/CONS, at forelægge udkastet til forskrift om gennemførelse af artikel 41, stk. 7, 8 og 9, i lovdekret nr. 208 af 8. november 2021 om programmer, brugergenererede videoer eller audiovisuel kommerciel kommunikation rettet til den italienske offentlighed og formidlet af en udbyder etableret i en anden medlemsstat, med henblik på at indhente alle de mest nyttige oplysninger og evalueringer fra de interesserede parter, </w:t>
      </w:r>
    </w:p>
    <w:p w14:paraId="658D9B42" w14:textId="6395161B" w:rsidR="007E543F" w:rsidRDefault="00D41051" w:rsidP="00370FBB">
      <w:pPr>
        <w:spacing w:before="240" w:after="360" w:line="240" w:lineRule="auto"/>
        <w:ind w:right="-1" w:firstLine="709"/>
      </w:pPr>
      <w:r>
        <w:t>UNDER HENVISNING TIL formandens rapport —</w:t>
      </w:r>
    </w:p>
    <w:p w14:paraId="70BE3761" w14:textId="226F8AE3" w:rsidR="00B27360" w:rsidRPr="000D6914" w:rsidRDefault="00D73DDB" w:rsidP="00370FBB">
      <w:pPr>
        <w:spacing w:after="240" w:line="240" w:lineRule="auto"/>
        <w:ind w:left="0" w:firstLine="0"/>
        <w:jc w:val="center"/>
        <w:rPr>
          <w:b/>
        </w:rPr>
      </w:pPr>
      <w:r>
        <w:rPr>
          <w:b/>
          <w:sz w:val="23"/>
        </w:rPr>
        <w:t>VEDTAGET FØLGENDE</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Enkelt artikel</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Den offentlige høring om "</w:t>
      </w:r>
      <w:r>
        <w:rPr>
          <w:i/>
          <w:color w:val="auto"/>
        </w:rPr>
        <w:t>udkastet til gennemførelse af artikel 41, stk. 9, i lovdekret nr. 208 af 8. november 2021 om programmer, brugergenererede videoer eller audiovisuel kommerciel kommunikation rettet til den italienske offentlighed og formidlet af en videodelingsplatform, hvis udbyder er etableret i en anden medlemsstat</w:t>
      </w:r>
      <w:r>
        <w:rPr>
          <w:color w:val="auto"/>
        </w:rPr>
        <w:t xml:space="preserve">", jf. bilag A til denne afgørelse, iværksættes hermed.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Den ansvarlige for sagen er advokat Francesco Di Giorgi fra departementet for digitale tjenester.</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Høringsprocedurerne er beskrevet i tillæg B til denne beslutning.</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De oplysninger og data, der er relevante for udarbejdelsen af den lovgivningsmæssige konsekvensanalyse, findes i bilag C til denne beslutning.</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Bilag A, B og C udgør en integrerende og væsentlig del af denne foranstaltning.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Denne foranstaltning offentliggøres på myndighedens websted. Med henblik på de frister, der er fastsat i bilagene, tages datoen for offentliggørelsen i betragtning.</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lastRenderedPageBreak/>
        <w:t>Denne foranstaltning kan indbringes for den regionale forvaltningsdomstol i Lazio senest 60 dage efter offentliggørelsen.</w:t>
      </w:r>
    </w:p>
    <w:p w14:paraId="0C26B4FD" w14:textId="3870673A" w:rsidR="00A33E41" w:rsidRDefault="6F4CE840" w:rsidP="00370FBB">
      <w:pPr>
        <w:spacing w:after="160" w:line="240" w:lineRule="auto"/>
        <w:ind w:left="0" w:firstLine="567"/>
        <w:rPr>
          <w:rFonts w:eastAsia="Calibri"/>
        </w:rPr>
      </w:pPr>
      <w:r>
        <w:t>Rom, den 16. marts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FORMAND</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Attestering af beslutningen overensstemmelse</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GENERALSEKRETÆR</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Bilag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til beslutning nr.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UDKAST TIL FORSKRIFT OM GENNEMFØRELSE AF ARTIKEL 41, STK. 9, I LOVDEKRET NR. 208 AF 8. NOVEMBER 2021 OM PROGRAMMER, BRUGERGENEREREDE VIDEOER ELLER AUDIOVISUEL KOMMERCIEL KOMMUNIKATION RETTET TIL DEN ITALIENSKE OFFENTLIGHED OG FORMIDLET AF EN VIDEODELINGSPLATFORM, HVIS UDBYDER ER ETABLERET I EN ANDEN MEDLEMSSTAT </w:t>
      </w:r>
    </w:p>
    <w:p w14:paraId="4BF1EFDA" w14:textId="77777777" w:rsidR="00B744DC" w:rsidRPr="00B744DC" w:rsidRDefault="00B744DC" w:rsidP="00B744DC">
      <w:pPr>
        <w:spacing w:after="0" w:line="276" w:lineRule="auto"/>
        <w:ind w:left="0" w:hanging="11"/>
        <w:jc w:val="center"/>
        <w:rPr>
          <w:b/>
          <w:szCs w:val="24"/>
        </w:rPr>
      </w:pPr>
      <w:r>
        <w:rPr>
          <w:b/>
        </w:rPr>
        <w:t>DEL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Artikel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Definitioner</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I forhold til denne forskrift er der fastsat følgende definitioner: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Lovdekret nr. 208 af 8. november 2021 om "</w:t>
      </w:r>
      <w:r>
        <w:rPr>
          <w:i/>
          <w:color w:val="auto"/>
        </w:rPr>
        <w:t>Gennemførelse af Europa-Parlamentets og Rådets direktiv (EU) 2018/1808 af 14. november 2018 om ændring af direktiv 2010/13/EU om samordning af visse love og administrative bestemmelser i medlemsstaterne om den konsoliderede lov om udbud af audiovisuelle medietjenester i betragtning af de ændrede markedsforhold</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"Lovdekret": Dekret nr. 70 af 9. april 2003 om "</w:t>
      </w:r>
      <w:r>
        <w:rPr>
          <w:i/>
          <w:color w:val="auto"/>
        </w:rPr>
        <w:t>Gennemførelse af direktiv 2000/31/EF om visse retlige aspekter af informationssamfundstjenester, navnlig elektronisk handel, i det indre marked</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 xml:space="preserve">"Tjenesteudbyder": udbyderen af informationssamfundstjenester </w:t>
      </w:r>
      <w:r>
        <w:t xml:space="preserve">eller </w:t>
      </w:r>
      <w:r>
        <w:rPr>
          <w:color w:val="auto"/>
        </w:rPr>
        <w:t>den fysiske eller juridiske person eller ikke-anerkendte sammenslutning, der leverer en informationssamfundstjeneste, dvs. den tjeneste, der er omhandlet i artikel 1, stk. 1, litra b), i lov nr. 317 af 21. juni 1986 som ændret ved lovdekret nr. 223 af 15. december 2017 med senere ændringer</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"Videodelingsplatformstjeneste": en tjeneste som defineret i artikel 56 og 57 i traktaten om Den Europæiske Unions funktionsmåde, hvor hovedformålet med tjenesten, dens særlige karakter eller væsentlige funktionalitet er at udbyde programmer, brugergenererede videoer eller begge dele rettet til offentligheden, for hvilke udbyderen af videodelingsplatformen ikke har noget redaktionelt ansvar, med henblik på at informere, underholde eller uddanne via elektroniske kommunikationsnet som omhandlet i artikel 2, litra a), i Europa-Parlamentets og </w:t>
      </w:r>
      <w:r>
        <w:lastRenderedPageBreak/>
        <w:t>Rådets direktiv 2002/21/EF af 12. juli 2002, og hvis organisation fastlægges af udbyderen af videodelingsplatformen, herunder ved hjælp af automatiserede midler eller algoritmer, navnlig ved visning, tagging og sekventering</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"Udbyder af videodelingsplatform": den fysiske eller juridiske person, der udbyder en videodelingsplatformstjeneste</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 en række animerede billeder, med eller uden lyd, med undtagelse af den såkaldte </w:t>
      </w:r>
      <w:r>
        <w:rPr>
          <w:i/>
          <w:color w:val="000000" w:themeColor="text1"/>
        </w:rPr>
        <w:t>gif</w:t>
      </w:r>
      <w:r>
        <w:rPr>
          <w:color w:val="000000" w:themeColor="text1"/>
        </w:rPr>
        <w:t>, som udgør et enkelt element, uanset varighed, inden for en tidsplan eller et katalog udarbejdet af en medietjenesteudbyder, herunder spillefilm, videoklip, sportsbegivenheder, sitcom-serier, dokumentarfilm, børneprogrammer og original fiktion</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"Brugergenereret video": en række animerede billeder, med eller uden lyd, som udgør et enkelt element, uanset varighed, skabt af en bruger og uploadet til en videodelingsplatform af den samme eller en anden bruger</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"Audiovisuel kommerciel kommunikation": billeder med eller uden lyd, der direkte eller indirekte skal fremme varer, tjenesteydelser eller billeder af en fysisk eller juridisk person, der udøver en økonomisk aktivitet, herunder bl.a. tv-reklamer, sponsorering, tv-promovering, tv-shopping og produktplacering, indsat eller ledsagende i et brugergenereret program eller i en video mod betaling eller andet vederlag eller med henblik på selvpromovering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"Forbruger”: enhver fysisk person, der handler som led i sit erhverv, sin virksomhed, sit håndværk eller sin erhvervsmæssige virksomhed</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"Bruger": den fysiske eller juridiske person, som uploader det indhold på en videodelingsplatform, der er omhandlet i artikel 3, stk. 1, litra g) og h), i TUSMA, dvs. den fysiske person, der ser det indhold, der er tilgængeligt via en videodelingsplatform</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"Investor": detailkunden eller detailinvestoren i henhold til lovdekret nr. 58 af 24. februar 1998 om finansloven, dvs. den kunde eller investor, der ikke er en professionel kunde eller en professionel investor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"Myndighed": kommunikationsstyrelsen</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"Kollektivt organ": myndighedens råd</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"Direktorat" og "Sagsansvarlige": henholdsvis myndighedens direktorat for digitale tjenester og den sagsansvarlige </w:t>
      </w:r>
      <w:r>
        <w:rPr>
          <w:i/>
          <w:color w:val="auto"/>
        </w:rPr>
        <w:t xml:space="preserve">pro-tempore </w:t>
      </w:r>
      <w:r>
        <w:rPr>
          <w:color w:val="auto"/>
        </w:rPr>
        <w:t xml:space="preserve">(midlertidig)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lastRenderedPageBreak/>
        <w:t>"Kontor": den organisatoriske enhed</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"Kompetent national myndighed": den administrative myndighed i den medlemsstat, hvor udbyderen af en videodelingsplatform er etableret eller anses for at være etableret, og som er kompetent til at håndtere de forhold, der er omfattet af denne forskrift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"Person med ansvar for sagen": den leder eller tjenestemand, der i overensstemmelse med myndighedens regler for organisation og drift har ansvaret for at udføre undersøgelsesaktiviteterne og enhver anden pligt i forbindelse med den procedure, der er omhandlet i disse forskrifter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"Elektroniske kommunikationsnet": netværk som defineret i artikel 2, stk. 1, i Europa-Parlamentets og Rådets direktiv (EU) 2018/1972 af 11. december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"Forskrift om sanktioner": Bilag A til afgørelse nr. 410/14/CONS om "</w:t>
      </w:r>
      <w:r>
        <w:rPr>
          <w:i/>
          <w:color w:val="auto"/>
        </w:rPr>
        <w:t>procedureregler for administrative sanktioner og forpligtelser</w:t>
      </w:r>
      <w:r>
        <w:rPr>
          <w:color w:val="auto"/>
        </w:rPr>
        <w:t>", senest ændret og suppleret ved beslutning nr.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"Direktiv om audiovisuelle medietjenester": Europa-Parlamentets og Rådets direktiv 2010/13/EU af 10. marts 2010 om samordning af visse love og administrative bestemmelser i medlemsstaterne om udbud af audiovisuelle medietjenester som ændret ved Europa-Parlamentets og Rådets direktiv (EU) 2018/1808 af 14. november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gruppen af europæiske tilsynsmyndigheder for audiovisuelle medietjenester, der blev nedsat ved Europa-Kommissionens afgørelse C(2014) 462 af 3. februar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Aftalememorandum</w:t>
      </w:r>
      <w:r>
        <w:rPr>
          <w:color w:val="auto"/>
        </w:rPr>
        <w:t>": dokumentet, som ERGA vedtog den 3. december 2020 med henblik på at fastlægge en ramme for samarbejde og udveksling af oplysninger mellem medlemmerne med henblik på en harmoniseret anvendelse af direktivet om audiovisuelle medietjenester.</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EC194D">
      <w:pPr>
        <w:keepNext/>
        <w:keepLines/>
        <w:spacing w:after="0" w:line="240" w:lineRule="auto"/>
        <w:ind w:left="0" w:firstLine="0"/>
        <w:jc w:val="center"/>
        <w:rPr>
          <w:rFonts w:eastAsiaTheme="minorHAnsi"/>
          <w:b/>
          <w:color w:val="auto"/>
          <w:szCs w:val="24"/>
        </w:rPr>
      </w:pPr>
      <w:r>
        <w:rPr>
          <w:b/>
          <w:color w:val="auto"/>
        </w:rPr>
        <w:lastRenderedPageBreak/>
        <w:t>KAPITEL I</w:t>
      </w:r>
    </w:p>
    <w:p w14:paraId="2BAE26BB" w14:textId="7DE1A287" w:rsidR="00B744DC" w:rsidRPr="00B744DC" w:rsidRDefault="00B744DC" w:rsidP="00EC194D">
      <w:pPr>
        <w:keepNext/>
        <w:keepLines/>
        <w:spacing w:after="0" w:line="240" w:lineRule="auto"/>
        <w:ind w:left="0" w:firstLine="0"/>
        <w:jc w:val="center"/>
        <w:rPr>
          <w:rFonts w:eastAsiaTheme="minorHAnsi"/>
          <w:b/>
          <w:color w:val="auto"/>
          <w:szCs w:val="24"/>
        </w:rPr>
      </w:pPr>
      <w:r>
        <w:rPr>
          <w:b/>
          <w:color w:val="auto"/>
        </w:rPr>
        <w:t>Anvendelsesområde</w:t>
      </w:r>
    </w:p>
    <w:p w14:paraId="53109A11" w14:textId="77777777" w:rsidR="00B744DC" w:rsidRPr="00B744DC" w:rsidRDefault="00B744DC" w:rsidP="00EC194D">
      <w:pPr>
        <w:keepNext/>
        <w:keepLines/>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EC194D">
      <w:pPr>
        <w:keepNext/>
        <w:keepLines/>
        <w:spacing w:after="0" w:line="240" w:lineRule="auto"/>
        <w:ind w:left="0" w:firstLine="0"/>
        <w:jc w:val="center"/>
        <w:rPr>
          <w:rFonts w:eastAsiaTheme="minorHAnsi"/>
          <w:b/>
          <w:color w:val="auto"/>
          <w:szCs w:val="24"/>
        </w:rPr>
      </w:pPr>
      <w:r>
        <w:rPr>
          <w:b/>
          <w:color w:val="auto"/>
        </w:rPr>
        <w:t>Artikel 2</w:t>
      </w:r>
    </w:p>
    <w:p w14:paraId="1C0DDA64" w14:textId="77777777" w:rsidR="00B744DC" w:rsidRPr="00B744DC" w:rsidRDefault="00B744DC" w:rsidP="00EC194D">
      <w:pPr>
        <w:keepNext/>
        <w:keepLines/>
        <w:spacing w:after="0" w:line="240" w:lineRule="auto"/>
        <w:ind w:left="0" w:firstLine="0"/>
        <w:jc w:val="center"/>
        <w:rPr>
          <w:rFonts w:eastAsiaTheme="minorHAnsi"/>
          <w:bCs/>
          <w:i/>
          <w:iCs/>
          <w:color w:val="auto"/>
          <w:szCs w:val="24"/>
        </w:rPr>
      </w:pPr>
      <w:r>
        <w:rPr>
          <w:i/>
          <w:color w:val="auto"/>
        </w:rPr>
        <w:t>Generelle principper</w:t>
      </w:r>
    </w:p>
    <w:p w14:paraId="5A7FE792" w14:textId="77777777" w:rsidR="00B744DC" w:rsidRPr="00B744DC" w:rsidRDefault="00B744DC" w:rsidP="00EC194D">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Med forbehold af bestemmelserne i artikel 41, stk. 1, 2, 3, 4, 5 og 6, i TUSMA regulerer denne forskrift proceduren for ved bekendtgørelse fra myndigheden at begrænse den frie bevægelighed for programmer, brugergenererede videoer og audiovisuel kommerciel kommunikation, der formidles af en videodelingsplatform, hvis udbyder er etableret i en anden medlemsstat, og som er rettet til den italienske offentlighed, i overensstemmelse med kriterierne i artikel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Myndigheden træffer de i stk. 1 omhandlede foranstaltninger, hvis de er: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nødvendige i forhold til de formål, der er omhandlet i artikel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og</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står i rimeligt forhold til disse formål.</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Artikel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Subjektive identifikationskriterier</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For at afgøre, om et program, en brugergenereret video eller en audiovisuel kommerciel kommunikation, der formidles af en udbyder, der er etableret i en anden medlemsstat, er rettet til den italienske offentlighed, skal mindst et af følgende kriterier være opfyldt:</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den fremherskende anvendelse af det italienske sprog i programmet, den brugergenererede video eller audiovisuelle kommercielle kommunikation, der skal vurderes i forhold til lyd, undertekster eller brug af det italienske tegnsprog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brugen af det italienske sprog inden for videodelingsplatformen, der skal vurderes i forhold til tilstedeværelsen af tekstelementer på italiensk i brugergrænsefladen, samt tilgængeligheden af den flersprogede funktion, der omfatter det italienske sprog</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inddragelse gennem videodelingsplatformen eller programmet, den brugergenererede video eller kommercielle kommunikation af et betydeligt gennemsnitligt antal månedlige brugere i Italien på grundlag af data fra organer med den højeste repræsentation af hele referencesektoren, også i lyset af multimediekonvergensprocesser, hvis organisering også opfylder principperne om upartiskhed, autonomi og uafhængighed</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udbyderen af videodelingsplatformens opnåelse af indtægter i Italien, selv om der er taget højde for dem i regnskaberne for virksomheder med hjemsted i udlandet.</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lastRenderedPageBreak/>
        <w:t>Artikel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Formålet med interventionen</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I henhold til artikel 41, stk. 7 og 8, i TUSMA kan den frie bevægelighed for programmer, brugergenererede videoer og audiovisuel kommerciel kommunikation, der formidles af en videodelingsplatform som omhandlet i artikel 2, stk. 1, ved myndighedens afgørelse begrænses til følgende formål:</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beskyttelse af mindreårige mod indhold, der kan skade deres fysiske, mentale eller moralske udvikling i overensstemmelse med artikel 38, stk. 1, i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bekæmpelse af tilskyndelse til racemæssigt, seksuelt, religiøst eller etnisk had og mod krænkelse af den menneskelige værdighed</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forbrugerbeskyttelse, herunder investorer, som beskrevet i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Med henblik på det foregående stykke handler myndigheden: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straks og direkte, i overensstemmelse med artikel 7, stk. 4, første punktum, hvis der ved afslutningen af den i artikel 5 omhandlede forudgående undersøgelse foreligger en hastesag som omhandlet i artikel 5, stk. 4, i </w:t>
      </w:r>
      <w:r>
        <w:rPr>
          <w:i/>
          <w:color w:val="auto"/>
        </w:rPr>
        <w:t xml:space="preserve">lovdekretet </w:t>
      </w:r>
      <w:r>
        <w:rPr>
          <w:color w:val="auto"/>
        </w:rPr>
        <w:t xml:space="preserve">vedrørende fremkomsten af kendsgerninger eller omstændigheder, der udgør en alvorlig, overhængende og uoprettelig skade for brugernes rettigheder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efter proceduren i artikel 10 og i overensstemmelse med bestemmelserne i artikel 7, stk. 4, andet punktum, i tilfælde, hvor der ikke er tale om et uopsætteligt spørgsmål som omhandlet i den foregående skrivelse.</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KAPITEL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Proceduren for vedtagelse af begrænsende foranstaltninger</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Artikel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Interventionsordninger og aktiviteter forud for undersøgelsen</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Direktoratet foretager på eget initiativ eller efter meddelelse fra parten den kontrol, der er nødvendig for at kontrollere tilstedeværelsen af indhold, der er rettet til den italienske offentlighed, og som ikke opfylder formålene i artikel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Direktoratet indsamler alle nødvendige elementer, herunder gennem inspektioner, anmodninger om oplysninger og dokumenter, høringer, undersøgelser og rapporter.</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Med henblik på udførelsen af tilsynsvirksomheden kan direktoratet benytte sig af støtte fra den redaktionelle radiospredningsgruppe, en del af finansstyrelsens særlige hold for varer og tjenester, poststyrelsen og det statslige politis styrelse for kommunikation, i overensstemmelse med de aftalememoranda, der er indgået med myndigheden.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lastRenderedPageBreak/>
        <w:t>Kontrolaktiviteterne forud for undersøgelsen skal afsluttes med særlige og begrundede krav senest 12 dage efter det tidspunkt, hvor direktoratet har fået formelt kendskab til de faktiske forhold.</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Artikel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Rapportering til myndigheden</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Enhver kan til myndigheden indberette udbredelse af programmer, brugergenererede videoer og audiovisuel kommerciel kommunikation, der formidles af en videodelingsplatform som omhandlet i artikel 2, stk. 1, hvis den mener, at indholdet er i strid med de formål, der er anført i artikel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Den i stk. 1 omhandlede anmodning sendes ved at anvende og udfylde hele det skema, der er tilgængeligt på myndighedens websted, med angivelse af særligt:</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personoplysninger for den indberettende person: navn, efternavn og adresse eller bopæl eller navn, retlig repræsentant og vedtægtsmæssigt hjemsted, for så vidt angår juridiske personer</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navnet på den pågældende udbyder af en videodelingsplatform</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det indhold, der formodes at være ulovligt i henhold til denne forskrift, og som tilvejebringer alle relevante elementer til entydig identifikation heraf og, hvor det er muligt, den person, der har uploadet det til videodelingsplatformen</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eventuelle yderligere funktionelle elementer i vurderingen af den indberettede adfærd, kopi af eventuelle rapporter, der allerede er sendt til udbyderen af videodelingstjenester og resultatet heraf, samt en kopi af eventuel korrespondance mellem dem</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begrundelsen for anmodningen og den interesse, der antages at blive skadet ved udbredelsen af indholdet.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Hvis indberetningen ikke indeholder de oplysninger, der er nævnt i stk. 2, kan direktoratet under udøvelsen af sine beføjelser under alle omstændigheder indlede undersøgelsen, når betingelserne for vedtagelse af den i artikel 9 omhandlede foranstaltning på grundlag af en kort gennemgang af den modtagne dokumentation, synes at være opfyldt.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Der kan ikke anlægges sag ved myndigheden, når der verserer en sag ved den retslige myndighed vedrørende samme emne og mellem de samme parter.</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De modtagne rapporter kan opdeles i forhold til sagens genstand, den skadede interesse eller den pågældende platform og blive behandlet samlet.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EC194D">
      <w:pPr>
        <w:keepNext/>
        <w:keepLines/>
        <w:widowControl w:val="0"/>
        <w:autoSpaceDE w:val="0"/>
        <w:autoSpaceDN w:val="0"/>
        <w:adjustRightInd w:val="0"/>
        <w:spacing w:after="0" w:line="240" w:lineRule="auto"/>
        <w:ind w:left="288" w:firstLine="0"/>
        <w:jc w:val="center"/>
        <w:rPr>
          <w:rFonts w:eastAsiaTheme="minorHAnsi"/>
          <w:b/>
          <w:bCs/>
          <w:iCs/>
          <w:color w:val="auto"/>
          <w:szCs w:val="24"/>
        </w:rPr>
      </w:pPr>
      <w:r>
        <w:rPr>
          <w:b/>
          <w:color w:val="auto"/>
        </w:rPr>
        <w:lastRenderedPageBreak/>
        <w:t>Artikel 7</w:t>
      </w:r>
    </w:p>
    <w:p w14:paraId="20176114" w14:textId="54251744" w:rsidR="00B744DC" w:rsidRPr="00B744DC" w:rsidRDefault="00B744DC" w:rsidP="00EC194D">
      <w:pPr>
        <w:keepNext/>
        <w:keepLines/>
        <w:widowControl w:val="0"/>
        <w:autoSpaceDE w:val="0"/>
        <w:autoSpaceDN w:val="0"/>
        <w:adjustRightInd w:val="0"/>
        <w:spacing w:after="240" w:line="240" w:lineRule="auto"/>
        <w:ind w:left="288" w:firstLine="0"/>
        <w:jc w:val="center"/>
        <w:rPr>
          <w:rFonts w:eastAsiaTheme="minorHAnsi"/>
          <w:i/>
          <w:color w:val="auto"/>
          <w:szCs w:val="24"/>
        </w:rPr>
      </w:pPr>
      <w:r>
        <w:rPr>
          <w:i/>
          <w:color w:val="auto"/>
        </w:rPr>
        <w:t>Resultatet af aktiviteter forud for undersøgelsen</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Direktoratet sørger inden for den i artikel 5, stk. 4, omhandlede frist, for administrativ afslutning af ansøgninger, der: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afvises på grund af manglende overholdelse af kravene i artikel 6, stk. 2, eller mangel på væsentlige oplysninger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afvises i henhold til artikel 6, stk. 4, eller for at bringe den påståede overtrædelse til ophør</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afvises, da de ikke falder ind under anvendelsesområdet for denne forskrift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er åbenbart ubegrundede, da der åbenbart mangler de faktiske og retlige betingelser, der kan udgøre en overtrædelse, herunder hvad angår myndighedens beføjelser.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Direktoratet underretter ansøgeren om de dokumenter, der er indgivet i henhold til stk. 1, litra a), b), c) og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Hver tredje måned underretter direktoratet det kollektive organ om, hvilke procedurer der er indledt eller afsluttet.</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Sagsansvarlige indleder indenfor perioden anført i artikel 5, stk. 4, proceduren i henhold til artikel 8, stk. 1, efter at have modtaget det kompetente kontors forslag med en præcis beskrivelse af de faktiske omstændigheder og vurderingen af, om der foreligger en hastesag, jf. artikel 4, stk. 2, litra a), jf. dog de i stk. 1 omhandlede tilfælde, og hvis denne mener, at der rent faktisk foreligger en sådan hastesag. Hvis den sagsansvarlige ikke finder, at der er tale om en hastesag som omhandlet i artikel 4, stk. 2, litra a), og forudsat, at denne ikke påbyder indgivelsen i henhold til stk. 1, retter sagsansvarlige inden for den i artikel 5, stk. 4, nævnte frist henvendelse til det kollektive organ med henblik på de efterfølgende afgørelser, der er omhandlet i artikel 10, stk. 1, og udarbejder en særlig rapport med henblik herpå.</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Artikel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Undersøgelsesproceduren ved direktoratet</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Direktoratet underretter </w:t>
      </w:r>
      <w:r>
        <w:rPr>
          <w:color w:val="000000" w:themeColor="text1"/>
        </w:rPr>
        <w:t>udbyder af videodelingsplatform ved det kontaktpunkt, der er angivet for Italien, hvis angivet, eller på dets vedtægtsmæssige hjemsted. Proceduren afsluttes senest 30 dage efter underretningen, bortset fra enhver suspension, der ikke overstiger 15 dage, med henblik på gennemførelse af specifikke og begrundede tilbundsgående undersøgelser.</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Den indledende meddelelse skal indeholde identifikation af programmet, den brugergenererede video eller den audiovisuelle kommercielle kommunikation, som </w:t>
      </w:r>
      <w:r>
        <w:rPr>
          <w:color w:val="auto"/>
        </w:rPr>
        <w:lastRenderedPageBreak/>
        <w:t xml:space="preserve">hævdes at være i strid med de interesser og formål, der er omhandlet i artikel 4, et sammendrag af de faktiske omstændigheder og resultatet af de foretagne undersøgelser, en angivelse af det kompetente kontor og den person, der er ansvarlig for sagen, samt fristen for indgivelse af svarskrifter og for afslutningen af den procedure, der indledes med underretningen.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Med den samme meddelelse som omhandlet i stk. 1 underretter direktoratet udbyderen af videodelingsplatformen, som frivilligt kan tilpasse sig inden for fem dage efter den indledende meddelelse, ved at underrette direktoratet, som påbyder den administrative afslutning af proceduren efter at have underrettet kollegialudvalget, og medmindre andet bestemmes af sidstnævnte. I sidstnævnte tilfælde forlænges fristen for proceduren med fem dage.</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Bortset fra tilfælde med særlig tilpasning, jf. stk. 3, sender direktoratet, efter resultatet af undersøgelsen, dokumenterne til det kollektive organ med forslag om indgivelse eller vedtagelse af de foranstaltninger, der er omhandlet i artikel 41, stk. 7, i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Hvis rekvirenten under sagens behandling i samme situation henviser til den judicielle myndighed, underretter han straks direktoratet herom. I så fald arrangerer den sagsansvarlige en administrativ registrering.</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Artikel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Endelige foranstaltninger</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Det kollektive organ afslutter proceduren, hvis det finder, at betingelserne i artikel 2, stk. 2, ikke er opfyldt.</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Hvis betingelserne i artikel 2, stk. 2, er opfyldt, påbyder det kollektive organ udbyderen af videodelingsplatformen at træffe alle foranstaltninger, herunder fjernelse, som forhindrer den italienske offentlighed i at få adgang til indhold, der anses for at være i strid med formålene i artikel 4. Påbuddet skal følges omgående og under alle omstændigheder senest tre dage efter meddelelsen.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De i stk. 2 omhandlede foranstaltninger samt sagens hastende karakter meddeles straks og under alle omstændigheder senest tre dage efter meddelelsen til Europa-Kommissionen og den kompetente administrative myndighed i den medlemsstat, hvor udbyderen er etableret eller anses for at være etableret.</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EC194D">
      <w:pPr>
        <w:keepNext/>
        <w:keepLines/>
        <w:spacing w:after="240" w:line="240" w:lineRule="auto"/>
        <w:ind w:left="0" w:firstLine="0"/>
        <w:jc w:val="center"/>
        <w:rPr>
          <w:rFonts w:eastAsiaTheme="minorHAnsi"/>
          <w:b/>
          <w:bCs/>
          <w:color w:val="auto"/>
          <w:szCs w:val="24"/>
        </w:rPr>
      </w:pPr>
      <w:r>
        <w:rPr>
          <w:b/>
          <w:color w:val="auto"/>
        </w:rPr>
        <w:lastRenderedPageBreak/>
        <w:t>KAPITEL III</w:t>
      </w:r>
    </w:p>
    <w:p w14:paraId="5C9CD740" w14:textId="77777777" w:rsidR="00B744DC" w:rsidRPr="00B744DC" w:rsidRDefault="00B744DC" w:rsidP="00EC194D">
      <w:pPr>
        <w:keepNext/>
        <w:keepLines/>
        <w:spacing w:after="0" w:line="240" w:lineRule="auto"/>
        <w:ind w:left="0" w:firstLine="0"/>
        <w:jc w:val="center"/>
        <w:rPr>
          <w:rFonts w:eastAsiaTheme="minorHAnsi"/>
          <w:b/>
          <w:bCs/>
          <w:color w:val="auto"/>
          <w:szCs w:val="24"/>
        </w:rPr>
      </w:pPr>
      <w:r>
        <w:rPr>
          <w:b/>
          <w:color w:val="auto"/>
        </w:rPr>
        <w:t>Indberetningsproceduren til den nationale kompetente myndighed</w:t>
      </w:r>
    </w:p>
    <w:p w14:paraId="07FA97B5" w14:textId="77777777" w:rsidR="00B744DC" w:rsidRPr="00B744DC" w:rsidRDefault="00B744DC" w:rsidP="00EC194D">
      <w:pPr>
        <w:keepNext/>
        <w:keepLines/>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EC194D">
      <w:pPr>
        <w:keepNext/>
        <w:keepLines/>
        <w:spacing w:after="0" w:line="240" w:lineRule="auto"/>
        <w:ind w:left="0" w:firstLine="0"/>
        <w:jc w:val="center"/>
        <w:rPr>
          <w:rFonts w:eastAsiaTheme="minorHAnsi"/>
          <w:b/>
          <w:bCs/>
          <w:color w:val="auto"/>
          <w:szCs w:val="24"/>
        </w:rPr>
      </w:pPr>
      <w:r>
        <w:rPr>
          <w:b/>
          <w:color w:val="auto"/>
        </w:rPr>
        <w:t>Artikel 10</w:t>
      </w:r>
    </w:p>
    <w:p w14:paraId="4FC4A2FC" w14:textId="77777777" w:rsidR="00B744DC" w:rsidRPr="00B744DC" w:rsidRDefault="00B744DC" w:rsidP="00EC194D">
      <w:pPr>
        <w:keepNext/>
        <w:keepLines/>
        <w:spacing w:after="0" w:line="240" w:lineRule="auto"/>
        <w:ind w:left="0" w:firstLine="0"/>
        <w:jc w:val="center"/>
        <w:rPr>
          <w:rFonts w:eastAsiaTheme="minorHAnsi"/>
          <w:i/>
          <w:iCs/>
          <w:color w:val="auto"/>
          <w:szCs w:val="24"/>
        </w:rPr>
      </w:pPr>
      <w:r>
        <w:rPr>
          <w:i/>
          <w:color w:val="auto"/>
        </w:rPr>
        <w:t>Indberetning til den nationale kompetente myndighed</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Efter at have gennemgået dokumenterne og vurderet den rapport, der er indgivet i henhold til artikel 7, stk. 4, andet punktum, fremsender det kollektive organ, medmindre det vurderes, at betingelserne for dokumentation eller, ved hastesager, at proceduren anført i artikel 8 er opfyldt, straks dokumenterne til den nationale kompetente myndighed i den medlemsstat, hvor udbyderen er etableret eller anses for at være etableret, med henblik på at træffe de foranstaltninger, der henhører under dets kompetence, ved at aktivere de relevante samarbejdsprocedurer mellem medlemsstaterne, herunder ved at anvende de relevante oplysninger fra </w:t>
      </w:r>
      <w:r>
        <w:rPr>
          <w:i/>
          <w:color w:val="auto"/>
        </w:rPr>
        <w:t>Aftalememorandummet</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Hvis der ikke er modtaget en meddelelse fra den nationale kompetente myndighed senest syv dage efter fremsendelsen af de i stk. 1 omhandlede dokumenter eller inden for den anden frist, der er fastsat i de relevante samarbejdsprocedurer, underretter direktoratet det kollektive organ og påbyder, at proceduren indledes, jf. artikel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Hvis den nationale kompetente myndighed har fremsendt den vedtagne foranstaltning inden for den i stk. 2 omhandlede frist, vurderer direktoratet dens tilstrækkelighed og udarbejder en specifik rapport, som det fremsender til det kollektive organ inden for syv dage. Den i foregående sætning omhandlede rapport indeholder et forslag til vurdering af tilstrækkeligheden af den foranstaltning, som den nationale kompetente myndighed har vedtaget for at beskytte brugernes interesser eller indlede procedurer i overensstemmelse med artikel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Det kollektive organ skal efter at have gennemgået rapporten og vurderet det i stk. 3 omhandlede forslag, hvis det ikke blot anerkender, at den nationale kompetente myndighed har vedtaget foranstaltningen, påbyde at indlede proceduren, hvis endelige handling, hvis den består af et påbud som omhandlet i forskriftens artikel 9, stk. 2, skal meddeles Europa-Kommissionen og den kompetente nationale myndighed inden vedtagelsen.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EC194D">
      <w:pPr>
        <w:keepNext/>
        <w:keepLines/>
        <w:spacing w:after="0" w:line="240" w:lineRule="auto"/>
        <w:ind w:left="0" w:firstLine="0"/>
        <w:jc w:val="center"/>
        <w:rPr>
          <w:rFonts w:eastAsiaTheme="minorHAnsi"/>
          <w:b/>
          <w:bCs/>
          <w:color w:val="auto"/>
          <w:szCs w:val="24"/>
        </w:rPr>
      </w:pPr>
      <w:r>
        <w:rPr>
          <w:b/>
          <w:color w:val="auto"/>
        </w:rPr>
        <w:lastRenderedPageBreak/>
        <w:t>DEL II</w:t>
      </w:r>
    </w:p>
    <w:p w14:paraId="502538F6" w14:textId="77777777" w:rsidR="00B744DC" w:rsidRPr="00B744DC" w:rsidRDefault="00B744DC" w:rsidP="00EC194D">
      <w:pPr>
        <w:keepNext/>
        <w:keepLines/>
        <w:spacing w:after="0" w:line="240" w:lineRule="auto"/>
        <w:ind w:left="0" w:firstLine="0"/>
        <w:jc w:val="center"/>
        <w:rPr>
          <w:rFonts w:eastAsiaTheme="minorHAnsi"/>
          <w:b/>
          <w:bCs/>
          <w:color w:val="auto"/>
          <w:szCs w:val="24"/>
        </w:rPr>
      </w:pPr>
      <w:r>
        <w:rPr>
          <w:b/>
          <w:color w:val="auto"/>
        </w:rPr>
        <w:t>Afsluttende bestemmelser</w:t>
      </w:r>
    </w:p>
    <w:p w14:paraId="3F0727A2" w14:textId="77777777" w:rsidR="00B744DC" w:rsidRPr="00B744DC" w:rsidRDefault="00B744DC" w:rsidP="00EC194D">
      <w:pPr>
        <w:keepNext/>
        <w:keepLines/>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EC194D">
      <w:pPr>
        <w:keepNext/>
        <w:keepLines/>
        <w:spacing w:after="0" w:line="240" w:lineRule="auto"/>
        <w:ind w:left="0" w:firstLine="0"/>
        <w:jc w:val="center"/>
        <w:rPr>
          <w:rFonts w:eastAsiaTheme="minorHAnsi"/>
          <w:b/>
          <w:bCs/>
          <w:color w:val="auto"/>
          <w:szCs w:val="24"/>
        </w:rPr>
      </w:pPr>
      <w:r>
        <w:rPr>
          <w:b/>
          <w:color w:val="auto"/>
        </w:rPr>
        <w:t>Artikel 11</w:t>
      </w:r>
    </w:p>
    <w:p w14:paraId="57CF76D8" w14:textId="77777777" w:rsidR="00B744DC" w:rsidRPr="00B744DC" w:rsidRDefault="00B744DC" w:rsidP="00EC194D">
      <w:pPr>
        <w:keepNext/>
        <w:keepLines/>
        <w:spacing w:after="0" w:line="240" w:lineRule="auto"/>
        <w:ind w:left="0" w:firstLine="0"/>
        <w:jc w:val="center"/>
        <w:rPr>
          <w:rFonts w:eastAsiaTheme="minorHAnsi"/>
          <w:i/>
          <w:iCs/>
          <w:color w:val="auto"/>
          <w:szCs w:val="24"/>
        </w:rPr>
      </w:pPr>
      <w:r>
        <w:rPr>
          <w:i/>
          <w:color w:val="auto"/>
        </w:rPr>
        <w:t>Frister</w:t>
      </w:r>
    </w:p>
    <w:p w14:paraId="4D0F11BD" w14:textId="77777777" w:rsidR="00B744DC" w:rsidRPr="00B744DC" w:rsidRDefault="00B744DC" w:rsidP="00EC194D">
      <w:pPr>
        <w:keepNext/>
        <w:keepLines/>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EC194D">
      <w:pPr>
        <w:keepNext/>
        <w:keepLines/>
        <w:spacing w:after="0" w:line="240" w:lineRule="auto"/>
        <w:ind w:left="0" w:firstLine="0"/>
        <w:rPr>
          <w:rFonts w:eastAsiaTheme="minorHAnsi"/>
          <w:color w:val="auto"/>
          <w:szCs w:val="24"/>
        </w:rPr>
      </w:pPr>
      <w:r>
        <w:rPr>
          <w:color w:val="auto"/>
        </w:rPr>
        <w:t>1. Ved beregningen af de frister, der er omhandlet i denne forskrift, tages der kun hensyn til arbejdsdage.</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Artikel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Regler om henvisning</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For det, der ikke udtrykkeligt er fastsat i disse forskrifter, finder forskriften om sanktioner anvendelse.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Artikel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Revisionsklausul</w:t>
      </w:r>
    </w:p>
    <w:p w14:paraId="0FF2692B" w14:textId="2A4752D9" w:rsidR="00B744DC" w:rsidRDefault="00B744DC" w:rsidP="00337343">
      <w:pPr>
        <w:spacing w:after="160" w:line="259" w:lineRule="auto"/>
        <w:ind w:left="0" w:firstLine="0"/>
        <w:rPr>
          <w:b/>
          <w:color w:val="auto"/>
          <w:szCs w:val="24"/>
        </w:rPr>
      </w:pPr>
      <w:r>
        <w:rPr>
          <w:color w:val="auto"/>
        </w:rPr>
        <w:t>1. Myndigheden har ret til at revidere denne forskrift på grundlag af erfaringerne fra dens gennemførelse og i lyset af den teknologiske innovation og markedsudviklingen efter at have hørt de berørte interessenter.</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Bilag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til beslutning nr.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HØRINGSPROCEDURER</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Myndigheden har til hensigt gennem offentlig høring at indsamle kommentarer og oplysninger </w:t>
      </w:r>
      <w:r>
        <w:rPr>
          <w:i/>
        </w:rPr>
        <w:t xml:space="preserve">"Udkastet til forskrift om gennemførelse af artikel 41, stk. 9, i lovdekret nr. 208 af 8. november 2021 om programmer, brugergenererede videoer eller audiovisuel kommerciel kommunikation rettet til den italienske offentlighed og formidlet af en platform, hvis udbyder er etableret i en anden medlemsstat" </w:t>
      </w:r>
      <w:r>
        <w:rPr>
          <w:color w:val="auto"/>
        </w:rPr>
        <w:t xml:space="preserve">(se bilag A til resolution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Alle interesserede parter opfordres til at sende deres bidrag til høringen inden for den obligatoriske frist på </w:t>
      </w:r>
      <w:r>
        <w:rPr>
          <w:b/>
          <w:color w:val="auto"/>
        </w:rPr>
        <w:t xml:space="preserve">tredive (30) dage </w:t>
      </w:r>
      <w:r>
        <w:rPr>
          <w:color w:val="auto"/>
        </w:rPr>
        <w:t xml:space="preserve">fra offentliggørelsen af beslutning 76/23/CONS på myndighedens </w:t>
      </w:r>
      <w:r>
        <w:rPr>
          <w:i/>
          <w:color w:val="auto"/>
        </w:rPr>
        <w:t xml:space="preserve">websted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Der kan foreslås ændringer af forskriften i form af en ændring af artiklerne med en kort begrundelse for de aspekter, der vedrører respondentens interesser, sammen med andre elementer, der er nyttige for høringen.</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Meddelelser om den offentlige høring skal sendes via bekræftet e-mail til adressen</w:t>
      </w:r>
      <w:r>
        <w:t xml:space="preserve"> </w:t>
      </w:r>
      <w:hyperlink r:id="rId12">
        <w:r>
          <w:rPr>
            <w:color w:val="0563C1"/>
            <w:u w:val="single"/>
          </w:rPr>
          <w:t>agcom@cert.agcom.it</w:t>
        </w:r>
      </w:hyperlink>
      <w:r>
        <w:rPr>
          <w:color w:val="auto"/>
        </w:rPr>
        <w:t xml:space="preserve"> til advokat Francesco Di Giorgi, eller ved anbefalet brev med kvittering for modtagelse, kurer eller personligt anbefalet brev med følgende indhold "</w:t>
      </w:r>
      <w:r>
        <w:rPr>
          <w:i/>
          <w:color w:val="auto"/>
        </w:rPr>
        <w:t>Navn på den pågældende person - Offentlig høring som omhandlet i beslutning 76/23/CONS</w:t>
      </w:r>
      <w:r>
        <w:rPr>
          <w:color w:val="auto"/>
        </w:rPr>
        <w:t xml:space="preserve">" til følgende adresse: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Kommunikationsstyrelsen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Direktoratet for digitale tjenester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til den person, der er ansvarlig for sagen </w:t>
      </w:r>
    </w:p>
    <w:p w14:paraId="2DA92BEE" w14:textId="77777777" w:rsidR="006500C1" w:rsidRPr="008C361D" w:rsidRDefault="006500C1" w:rsidP="006500C1">
      <w:pPr>
        <w:spacing w:after="0" w:line="276" w:lineRule="auto"/>
        <w:ind w:left="0" w:hanging="11"/>
        <w:rPr>
          <w:i/>
          <w:iCs/>
          <w:color w:val="auto"/>
          <w:szCs w:val="24"/>
        </w:rPr>
      </w:pPr>
      <w:r>
        <w:rPr>
          <w:i/>
          <w:color w:val="auto"/>
        </w:rPr>
        <w:t>Hr.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w:t>
      </w:r>
    </w:p>
    <w:p w14:paraId="1852BA6A" w14:textId="77777777" w:rsidR="006500C1" w:rsidRPr="006500C1" w:rsidRDefault="006500C1" w:rsidP="006500C1">
      <w:pPr>
        <w:spacing w:after="240" w:line="276" w:lineRule="auto"/>
        <w:ind w:left="0" w:hanging="11"/>
        <w:rPr>
          <w:color w:val="auto"/>
          <w:szCs w:val="24"/>
        </w:rPr>
      </w:pPr>
      <w:r>
        <w:rPr>
          <w:color w:val="auto"/>
        </w:rPr>
        <w:t xml:space="preserve">De interesserede parter kan via en specifik ansøgning, anmode om at fremsætte deres bemærkninger under en høring på grundlag af det tidligere fremsendte skriftlige dokument. Ovennævnte ansøgning skal være myndigheden i hænde ved at sende den til </w:t>
      </w:r>
      <w:r>
        <w:rPr>
          <w:color w:val="auto"/>
        </w:rPr>
        <w:lastRenderedPageBreak/>
        <w:t>ovennævnte adresser samt til e-mail-adressen</w:t>
      </w:r>
      <w:r>
        <w:t xml:space="preserve"> </w:t>
      </w:r>
      <w:hyperlink r:id="rId13" w:history="1">
        <w:r>
          <w:rPr>
            <w:color w:val="0563C1"/>
            <w:u w:val="single"/>
          </w:rPr>
          <w:t>segreteria.dsdi@agcom.it</w:t>
        </w:r>
      </w:hyperlink>
      <w:r>
        <w:rPr>
          <w:color w:val="auto"/>
        </w:rPr>
        <w:t xml:space="preserve">, inden for fristen på </w:t>
      </w:r>
      <w:r>
        <w:rPr>
          <w:b/>
          <w:color w:val="auto"/>
        </w:rPr>
        <w:t xml:space="preserve">tredive (30) dage </w:t>
      </w:r>
      <w:r>
        <w:rPr>
          <w:color w:val="auto"/>
        </w:rPr>
        <w:t xml:space="preserve">fra offentliggørelsen af beslutning 76/23/CONS på myndighedens </w:t>
      </w:r>
      <w:r>
        <w:rPr>
          <w:i/>
          <w:color w:val="auto"/>
        </w:rPr>
        <w:t>websted</w:t>
      </w:r>
      <w:r>
        <w:rPr>
          <w:color w:val="auto"/>
        </w:rPr>
        <w:t xml:space="preserve">. En kontaktperson, en telefonkontakt og en </w:t>
      </w:r>
      <w:r>
        <w:rPr>
          <w:i/>
          <w:color w:val="auto"/>
        </w:rPr>
        <w:t xml:space="preserve">e-mail </w:t>
      </w:r>
      <w:r>
        <w:rPr>
          <w:color w:val="auto"/>
        </w:rPr>
        <w:t>skal angives i samme ansøgning til videresendelse af eventuelle efterfølgende meddelelser.</w:t>
      </w:r>
    </w:p>
    <w:p w14:paraId="38C62D3B" w14:textId="77777777" w:rsidR="006500C1" w:rsidRPr="006500C1" w:rsidRDefault="006500C1" w:rsidP="006500C1">
      <w:pPr>
        <w:spacing w:after="240" w:line="276" w:lineRule="auto"/>
        <w:ind w:left="0" w:hanging="11"/>
        <w:rPr>
          <w:color w:val="auto"/>
          <w:szCs w:val="24"/>
        </w:rPr>
      </w:pPr>
      <w:r>
        <w:rPr>
          <w:color w:val="auto"/>
        </w:rPr>
        <w:t xml:space="preserve">Deltagere i høringen, der ønsker at fjerne adgangen til nogle af de fremsendte dokumenter, der er tilsendt sammen med bemærkningerne, skal vedlægge den dokumentation, der er fremlagt, den erklæring, der er omhandlet i artikel 16 i forskriften om adgang, godkendt ved beslutning nr. 383/17/CONS, med angivelse af de dokumenter eller dele af dokumenter, der skal fjernes fra aktindsigt, og de specifikke årsager til fortrolighed eller hemmeligholdelse — for hver del af dokumentet — der begrunder anmodningen.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Meddelelser fra deltagerne i høringen må ikke forudfastsætte nogen titel, betingelse eller forpligtelse i forbindelse med eventuelle efterfølgende afgørelser truffet af myndigheden. </w:t>
      </w:r>
    </w:p>
    <w:p w14:paraId="1D33F215" w14:textId="77777777" w:rsidR="006500C1" w:rsidRPr="006500C1" w:rsidRDefault="006500C1" w:rsidP="006500C1">
      <w:pPr>
        <w:spacing w:after="360" w:line="276" w:lineRule="auto"/>
        <w:ind w:left="0" w:hanging="11"/>
        <w:rPr>
          <w:color w:val="auto"/>
          <w:szCs w:val="24"/>
        </w:rPr>
      </w:pPr>
      <w:r>
        <w:rPr>
          <w:color w:val="auto"/>
        </w:rPr>
        <w:t>Myndigheden forbeholder sig ret til på sit websted på www.agcom.it at offentliggøre de modtagne kommentarer og dokumenter også i ikke-anonym form under hensyntagen til den angivne grad af tilgængelighed.</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Bilag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til beslutning nr.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ANVENDELSE AF KONSEKVENSANALYSE AF LOVGIVNINGEN I HENHOLD TIL BESLUTNING NR.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I henhold til beslutning 125/16/CONS har myndigheden til hensigt at anvende den lovgivningsmæssige konsekvensanalyse af den forskrift, der er omhandlet i bilag A. I lyset af retningslinjerne for den lovgivningsmæssige konsekvensanalyse, der blev vedtaget i beslutning nr. 211/21/CONS, foretages der navnlig en forenklet konsekvensanalyse af lovgivningen. Analysen vil fokusere på vurderingen af interventionsmulighederne, der i det foreliggende tilfælde er væsentlige som gennemførelsesmuligheder, hvilket overlader undersøgelsen af de øvrige elementer i den lovgivningsmæssige konsekvensanalyse til foranstaltningens ræsonnement: analysen af konteksten, definitionen af problemet og identifikationen af modtagerne.</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Det bør antages, at vedtagelsen af den forskrift, der er omhandlet i bilag A, er fastsat i lovdekret nr. 208/2021, hvori det i artikel 41, stk. 9, fastsættes, at </w:t>
      </w:r>
      <w:r>
        <w:rPr>
          <w:i/>
          <w:color w:val="auto"/>
        </w:rPr>
        <w:t>"Proceduren for vedtagelse af de i stk. 7 omhandlede foranstaltninger fastlægges af myndigheden i dens egen forskrift".</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I den forbindelse sikrer reglen myndigheden et begrænset skøn ved valget af makrointerventionsmuligheder, da det ikke er muligt at identificere en mulighed for ikke-intervention, og den indeholder også en liste over de minimumskriterier, der skal tages i betragtning, således at indholdet kan evalueres som rettet til den italienske offentlighed.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Desuden gør forskriftens bestemmelser det temmelig vanskeligt at gennemføre en forudgående vurdering med de forventede virkninger. Som følge heraf agter myndigheden efter vedtagelsen af forskriften at fremlægge en plan for overvågning af fremskridt med henblik på at indhente yderligere oplysninger om dets gennemførelse.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Lovgrundlag</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Lovdekret nr. 208 af 8. november 2021, navnlig artikel 41, stk. 7, 8 og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Begrundelse for interventionen</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I henhold til beslutning 125/16/CONS har myndigheden til hensigt at anvende den lovgivningsmæssige konsekvensanalyse af den forskrift, der er omhandlet i bilag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lastRenderedPageBreak/>
        <w:t>Denne vurdering foretages i lyset af retningslinjerne for den lovgivningsmæssige konsekvensanalyse, der er vedtaget i beslutning nr. 211/21/CONS, i en forenklet form, eftersom vedtagelsen af forskriften er fastsat i artikel 41, stk. 9, i lovdekret nr. 208/2021, for så vidt som den bestemmer, at myndigheden ved en særlig forskrift fastsætter proceduren for vedtagelse af foranstaltninger til begrænsning af den frie bevægelighed for programmer, brugergenererede videoer og audiovisuel kommerciel kommunikation rettet til den italienske offentlighed og formidlet af en videodelingsplatform, hvis udbyder er etableret i en anden medlemsstat.</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Reglen sikrer derfor myndigheden et begrænset skøn ved valget af makrovalgmuligheder for intervention, da der ikke kan identificeres en ikkeinterventionsmulighed.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Interventionsområde</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Direkte adressater for forpligtelserne: udbydere af videodelingsplatforme, der er etableret i en anden medlemsstat, og hvis indhold er rettet til den italienske offentlighed</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Indirekte modtagere: myndigheder, brugere af videodelingsplatformstjenester, sammenslutninger til beskyttelse af grundlæggende rettigheder som omhandlet i artikel 41, stk. 7, litra a), b) og c), i lovdekret nr.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Mål og indikatorer</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For det første beskyttelse af mindreårige, beskyttelse af personens værdighed, bekæmpelse af hadefuld tale, beskyttelse af forbrugerne.</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Definition af de kriterier, på grundlag af hvilke det antages, at et indhold er rettet til den italienske offentlighed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Fastlæggelse af hastesager, hvor myndigheden kan træffe foranstaltninger til at begrænse den frie bevægelighed for programmer, brugergenererede videoer og audiovisuel kommerciel kommunikation rettet til den italienske offentlighed og formidlet af en videodelingsplatform, hvis udbyder er etableret i en anden medlemsstat</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Definition af alternative muligheder</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nulløsning: ingen reguleringsindgreb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løsning 1: gennemførelse af artikel 41, stk. 7, 8 og 9, i lovdekret nr. 208/2021 og fastlæggelse af proceduren for begrænsning af udbredelsen af programmer, brugergenererede videoer og audiovisuel kommerciel kommunikation rettet til den italienske offentlighed og formidlet af en videodelingsplatform, hvis udbyder er etableret i en anden medlemsstat, med henblik på at beskytte mindreårige, bekæmpe hadefuld tale og beskytte forbrugerne.</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lastRenderedPageBreak/>
        <w:t>6. Identifikation af den foretrukne løsningsmodel og begrundelse for valget</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Mulighederne for reguleringsindgreb er begrænset af den primære lovgivning, og nulløsningen er ikke mulig.</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Reguleringsaktiviteten er i dette tilfælde fastsat i den primære lovgivning, og myndigheden regulerer proceduren for vedtagelse af foranstaltninger til begrænsning af udbredelsen af programmer, brugergenererede videoer og audiovisuel kommerciel kommunikation med angivelse af de objektive og subjektive anvendelsesområder for den primære lovgivning.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Reguleringsindgrebet er derfor vedtaget for at gennemføre artikel 41, stk. 7, 8 og 9, i lovdekret nr.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0E3ADC48" w:rsidR="00BB7B08" w:rsidRPr="00EC194D" w:rsidRDefault="00BB7B08" w:rsidP="00BB7B08">
      <w:pPr>
        <w:spacing w:after="160" w:line="259" w:lineRule="auto"/>
        <w:ind w:left="360" w:firstLine="0"/>
        <w:rPr>
          <w:rFonts w:eastAsiaTheme="minorHAnsi"/>
          <w:color w:val="auto"/>
          <w:szCs w:val="24"/>
          <w:lang w:val="el-GR"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1F0" w14:textId="77777777" w:rsidR="00FF4DCF" w:rsidRDefault="00FF4DCF" w:rsidP="00300D52">
      <w:pPr>
        <w:spacing w:after="0" w:line="240" w:lineRule="auto"/>
      </w:pPr>
      <w:r>
        <w:separator/>
      </w:r>
    </w:p>
  </w:endnote>
  <w:endnote w:type="continuationSeparator" w:id="0">
    <w:p w14:paraId="6FD5204C" w14:textId="77777777" w:rsidR="00FF4DCF" w:rsidRDefault="00FF4DCF" w:rsidP="00300D52">
      <w:pPr>
        <w:spacing w:after="0" w:line="240" w:lineRule="auto"/>
      </w:pPr>
      <w:r>
        <w:continuationSeparator/>
      </w:r>
    </w:p>
  </w:endnote>
  <w:endnote w:type="continuationNotice" w:id="1">
    <w:p w14:paraId="157FB90A" w14:textId="77777777" w:rsidR="00FF4DCF" w:rsidRDefault="00FF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B666" w14:textId="77777777" w:rsidR="00FF4DCF" w:rsidRDefault="00FF4DCF" w:rsidP="00300D52">
      <w:pPr>
        <w:spacing w:after="0" w:line="240" w:lineRule="auto"/>
      </w:pPr>
      <w:r>
        <w:separator/>
      </w:r>
    </w:p>
  </w:footnote>
  <w:footnote w:type="continuationSeparator" w:id="0">
    <w:p w14:paraId="78F8AF89" w14:textId="77777777" w:rsidR="00FF4DCF" w:rsidRDefault="00FF4DCF" w:rsidP="00300D52">
      <w:pPr>
        <w:spacing w:after="0" w:line="240" w:lineRule="auto"/>
      </w:pPr>
      <w:r>
        <w:continuationSeparator/>
      </w:r>
    </w:p>
  </w:footnote>
  <w:footnote w:type="continuationNotice" w:id="1">
    <w:p w14:paraId="1315B448" w14:textId="77777777" w:rsidR="00FF4DCF" w:rsidRDefault="00FF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EC194D">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TILSYNSMYNDIGHED </w:t>
                          </w:r>
                          <w:r>
                            <w:rPr>
                              <w:rFonts w:ascii="Arial" w:hAnsi="Arial"/>
                              <w:color w:val="auto"/>
                              <w:shd w:val="clear" w:color="auto" w:fill="FFFFFF"/>
                            </w:rPr>
                            <w:t>FOR KOMMUNIKATION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TILSYNSMYNDIGHED </w:t>
                    </w:r>
                    <w:r>
                      <w:rPr>
                        <w:rFonts w:ascii="Arial" w:hAnsi="Arial"/>
                        <w:color w:val="auto"/>
                        <w:shd w:val="clear" w:color="auto" w:fill="FFFFFF"/>
                      </w:rPr>
                      <w:t>FOR KOMMUNIKATION</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TILSYNSMYNDIGHED </w:t>
                          </w:r>
                          <w:r>
                            <w:rPr>
                              <w:rFonts w:ascii="Arial" w:hAnsi="Arial"/>
                              <w:color w:val="auto"/>
                              <w:shd w:val="clear" w:color="auto" w:fill="FFFFFF"/>
                            </w:rPr>
                            <w:t>FOR KOMMUNIKATION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TILSYNSMYNDIGHED </w:t>
                    </w:r>
                    <w:r>
                      <w:rPr>
                        <w:rFonts w:ascii="Arial" w:hAnsi="Arial"/>
                        <w:color w:val="auto"/>
                        <w:shd w:val="clear" w:color="auto" w:fill="FFFFFF"/>
                      </w:rPr>
                      <w:t>FOR KOMMUNIKATION</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94D"/>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3.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4.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7715</Words>
  <Characters>43977</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