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76/23/CONS SZ. HATÁROZAT</w:t>
      </w:r>
    </w:p>
    <w:p w14:paraId="77FB2A48" w14:textId="78437799" w:rsidR="00FD236D" w:rsidRPr="00FD236D" w:rsidRDefault="00437A11" w:rsidP="00370FBB">
      <w:pPr>
        <w:spacing w:after="360" w:line="240" w:lineRule="auto"/>
        <w:ind w:left="0" w:hanging="11"/>
        <w:jc w:val="center"/>
        <w:rPr>
          <w:b/>
          <w:szCs w:val="24"/>
        </w:rPr>
      </w:pPr>
      <w:r>
        <w:rPr>
          <w:b/>
        </w:rPr>
        <w:t xml:space="preserve">NYILVÁNOS KONZULTÁCIÓ INDÍTÁSA AZ OLASZ KÖZÖNSÉGNEK SZÁNT ÉS EGY MÁSIK TAGÁLLAMBAN LETELEPEDETT SZOLGÁLTATÓ ÁLTAL BIZTOSÍTOTT </w:t>
      </w:r>
      <w:r>
        <w:rPr>
          <w:b/>
          <w:color w:val="000000" w:themeColor="text1"/>
        </w:rPr>
        <w:t>VIDEOMEGOSZTÓ PLATFORMON</w:t>
      </w:r>
      <w:r>
        <w:rPr>
          <w:b/>
        </w:rPr>
        <w:t xml:space="preserve"> KERESZTÜL KÖZVETÍTETT MŰSORSZÁMOKRÓL, FELHASZNÁLÓ ÁLTAL LÉTREHOZOTT VIDEÓKRÓL ÉS AUDIOVIZUÁLIS KERESKEDELMI KÖZLEMÉNYEKRŐL SZÓLÓ, 2021. NOVEMBER 8-I 208. SZ. TÖRVÉNYEREJŰ RENDELET 41. CIKKE (9) BEKEZDÉSÉNEK VÉGREHAJTÁSÁRÓL SZÓLÓ RENDELETTERVEZETTEL KAPCSOLATBAN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A HATÓSÁG</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A </w:t>
      </w:r>
      <w:r>
        <w:rPr>
          <w:sz w:val="24"/>
        </w:rPr>
        <w:t>Tanács 2023. március 16-i ülésén</w:t>
      </w:r>
      <w:r>
        <w:t>,</w:t>
      </w:r>
    </w:p>
    <w:p w14:paraId="1885E2F1" w14:textId="766E5BE1" w:rsidR="00964E0E" w:rsidRDefault="00964E0E" w:rsidP="00370FBB">
      <w:pPr>
        <w:spacing w:after="240" w:line="240" w:lineRule="auto"/>
        <w:ind w:left="0" w:right="23" w:firstLine="567"/>
        <w:rPr>
          <w:szCs w:val="24"/>
        </w:rPr>
      </w:pPr>
      <w:r>
        <w:t xml:space="preserve">TEKINTETTEL </w:t>
      </w:r>
      <w:r>
        <w:rPr>
          <w:i/>
        </w:rPr>
        <w:t>„A versenyre vonatkozó szabályok és a közüzemi szolgáltatások szabályozása. A közüzemi szolgáltatások szabályozó hatóságainak létrehozása</w:t>
      </w:r>
      <w:r>
        <w:t>” című, 1995. november 14-i 481. számú törvényre,</w:t>
      </w:r>
    </w:p>
    <w:p w14:paraId="469C504D" w14:textId="02C7C11A" w:rsidR="00F166C6" w:rsidRPr="00F57A7D" w:rsidRDefault="00D33E49" w:rsidP="00370FBB">
      <w:pPr>
        <w:spacing w:after="240" w:line="240" w:lineRule="auto"/>
        <w:ind w:left="0" w:right="23" w:firstLine="567"/>
        <w:rPr>
          <w:szCs w:val="24"/>
        </w:rPr>
      </w:pPr>
      <w:r>
        <w:t xml:space="preserve">TEKINTETTEL </w:t>
      </w:r>
      <w:r>
        <w:rPr>
          <w:i/>
        </w:rPr>
        <w:t>a hírközlési szabályozó hatóság létrehozásáról és a hírközlési és rádiótelevíziós rendszerekre vonatkozó szabályok megállapításáról</w:t>
      </w:r>
      <w:r>
        <w:t xml:space="preserve"> szóló, 1997. július 31-i 249. sz. törvényre,</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TEKINTETTEL </w:t>
      </w:r>
      <w:r>
        <w:rPr>
          <w:i/>
        </w:rPr>
        <w:t>a belső piacon az információs társadalommal összefüggő szolgáltatások, különösen az elektronikus kereskedelem, egyes jogi vonatkozásairól szóló 2000/31/EK irányelv végrehajtásáról</w:t>
      </w:r>
      <w:r>
        <w:t xml:space="preserve"> szóló, 2003. április 9-i 70. sz. törvényerejű rendeletre és különösen annak 5., 14., 15., 16. és 17. cikkére,</w:t>
      </w:r>
    </w:p>
    <w:p w14:paraId="54A663C1" w14:textId="0E8FB7E0" w:rsidR="001219A2" w:rsidRDefault="001219A2" w:rsidP="00370FBB">
      <w:pPr>
        <w:spacing w:before="240" w:after="240" w:line="240" w:lineRule="auto"/>
        <w:ind w:left="0" w:right="-1" w:firstLine="567"/>
      </w:pPr>
      <w:r>
        <w:t xml:space="preserve">TEKINTETTEL </w:t>
      </w:r>
      <w:r>
        <w:rPr>
          <w:i/>
        </w:rPr>
        <w:t>a tagállamok audiovizuális médiaszolgáltatások nyújtására vonatkozó egyes törvényi, rendeleti vagy közigazgatási rendelkezéseinek összehangolásáról szóló 2010/13/EU irányelvnek (Audiovizuális médiaszolgáltatásokról szóló irányelv) a változó piaci körülményekre tekintettel való módosításáról</w:t>
      </w:r>
      <w:r>
        <w:t xml:space="preserve"> szóló, 2018. november 14-i (EU) 2018/1808 európai parlamenti és tanácsi irányelvre,</w:t>
      </w:r>
    </w:p>
    <w:p w14:paraId="34FE704A" w14:textId="308D16E7" w:rsidR="00CA2F18" w:rsidRDefault="00CA2F18" w:rsidP="00370FBB">
      <w:pPr>
        <w:spacing w:before="240" w:after="240" w:line="240" w:lineRule="auto"/>
        <w:ind w:left="0" w:right="-1" w:firstLine="567"/>
      </w:pPr>
      <w:r>
        <w:t>TEKINTETTEL különösen az (EU) 2018/1808 irányelv (10) preambulumbekezdésére, amely szerint „</w:t>
      </w:r>
      <w:r>
        <w:rPr>
          <w:i/>
        </w:rPr>
        <w:t xml:space="preserve">Az Európai Unió Bíróságának (a továbbiakban: a Bíróság) ítélkezési gyakorlatával összhangban a szolgáltatásnyújtás Szerződésben biztosított szabadságát közérdeken alapuló kényszerítő indokok – például a fogyasztóvédelem magas szintjének megvalósítása – miatt korlátozni lehet, feltéve, hogy ez a korlátozás indokolt, arányos és szükséges. A tagállamok számára ezért lehetővé kell tenni bizonyos intézkedések meghozatalát annak érdekében, hogy biztosítsák az olyan </w:t>
      </w:r>
      <w:r>
        <w:rPr>
          <w:i/>
        </w:rPr>
        <w:lastRenderedPageBreak/>
        <w:t>fogyasztóvédelmi szabályaik tiszteletben tartását, amelyek nem tartoznak a 2010/13/EU irányelv által összehangolt területekhez. A tagállamok által a nemzeti fogyasztóvédelmi rendszereik érvényesítése érdekében – többek között a szerencsejátékok reklámozásával kapcsolatban – hozott intézkedéseknek a Bíróság ítélkezési gyakorlata szerint indokoltnak, a kitűzött célhoz mérten arányosnak, és szükségesnek kell lenniük. A fogadó tagállam semmilyen esetben sem hozhat olyan intézkedéseket, amelyek akadályoznák a valamely másik tagállamból származó televíziós műsorszolgáltatásoknak a területén való továbbközvetítését</w:t>
      </w:r>
      <w:r>
        <w:t>”.</w:t>
      </w:r>
    </w:p>
    <w:p w14:paraId="2E3811D7" w14:textId="4CE4E510" w:rsidR="005D47B3" w:rsidRPr="00677735" w:rsidRDefault="005D47B3" w:rsidP="00370FBB">
      <w:pPr>
        <w:spacing w:before="240" w:after="240" w:line="240" w:lineRule="auto"/>
        <w:ind w:left="0" w:firstLine="567"/>
        <w:rPr>
          <w:color w:val="auto"/>
        </w:rPr>
      </w:pPr>
      <w:r>
        <w:rPr>
          <w:color w:val="auto"/>
        </w:rPr>
        <w:t>TEKINTETTEL a digitális szolgáltatások egységes piacáról és a 2000/31/EK irányelv módosításáról szóló, 2022. október 19-i (EU) 2022/2065 európai parlamenti és tanácsi rendeletre (digitális szolgáltatásokról szóló rendelet) és különösen annak 6. cikke (4) bekezdésére, amelynek értelmében „</w:t>
      </w:r>
      <w:r>
        <w:rPr>
          <w:i/>
          <w:color w:val="auto"/>
        </w:rPr>
        <w:t>ez a cikk nem érinti az igazságügyi vagy közigazgatási hatóságok arra vonatkozó lehetőségét, hogy valamely tagállam jogrendszerével összhangban a szolgáltatót a jogsértés megszüntetésére vagy megelőzésére kötelezzék</w:t>
      </w:r>
      <w:r>
        <w:rPr>
          <w:color w:val="auto"/>
        </w:rPr>
        <w:t>”,</w:t>
      </w:r>
    </w:p>
    <w:p w14:paraId="0E4DD8C1" w14:textId="5CBE2F54" w:rsidR="001219A2" w:rsidRPr="000A6343" w:rsidRDefault="001219A2" w:rsidP="00370FBB">
      <w:pPr>
        <w:spacing w:before="240" w:after="120" w:line="240" w:lineRule="auto"/>
        <w:ind w:left="0" w:firstLine="567"/>
      </w:pPr>
      <w:r>
        <w:t xml:space="preserve">TEKINTETTEL </w:t>
      </w:r>
      <w:r>
        <w:rPr>
          <w:i/>
        </w:rPr>
        <w:t>a tagállamok audiovizuális médiaszolgáltatások nyújtására vonatkozó egyes törvényi, rendeleti vagy közigazgatási rendelkezéseinek összehangolásáról szóló 2010/13/EU irányelvnek a változó piaci körülményekre tekintettel való módosításáról szóló, 2018. november 14-i (EU) 2018/1808 európai parlamenti és tanácsi irányelvnek az egységes szerkezetbe foglalt törvény tekintetében történő végrehajtásáról</w:t>
      </w:r>
      <w:r>
        <w:t xml:space="preserve"> szóló, 2021. november 8-i 208. sz. törvényerejű rendeletre (a továbbiakban: TUSMA vagy egységes szerkezetbe foglalt törvény), és különösen</w:t>
      </w:r>
    </w:p>
    <w:p w14:paraId="5B811E55" w14:textId="0739D964" w:rsidR="001219A2" w:rsidRDefault="001219A2" w:rsidP="00370FBB">
      <w:pPr>
        <w:pStyle w:val="ListParagraph"/>
        <w:numPr>
          <w:ilvl w:val="0"/>
          <w:numId w:val="25"/>
        </w:numPr>
        <w:spacing w:after="120" w:line="240" w:lineRule="auto"/>
        <w:ind w:left="714" w:hanging="357"/>
      </w:pPr>
      <w:r>
        <w:t xml:space="preserve">a 3. cikk (1) bekezdésének </w:t>
      </w:r>
      <w:r>
        <w:rPr>
          <w:i/>
        </w:rPr>
        <w:t>c)</w:t>
      </w:r>
      <w:r>
        <w:t xml:space="preserve"> </w:t>
      </w:r>
      <w:r>
        <w:rPr>
          <w:i/>
        </w:rPr>
        <w:t>pontjára</w:t>
      </w:r>
      <w:r>
        <w:t>, amely szerint „</w:t>
      </w:r>
      <w:r>
        <w:rPr>
          <w:i/>
        </w:rPr>
        <w:t>videomegosztóplatform-szolgáltatás</w:t>
      </w:r>
      <w:r>
        <w:t>”: „</w:t>
      </w:r>
      <w:r>
        <w:rPr>
          <w:i/>
        </w:rPr>
        <w:t>az Európai Unió működéséről szóló szerződés 56. és 57. cikkében meghatározott olyan szolgáltatás, amelynek, vagy amely egy elválasztható részének vagy egy alapvető funkciójának elsődleges célja, hogy tájékoztatás, szórakoztatás vagy oktatás céljából a 2002. július 12-i 2002/21/EK európai parlamenti és tanácsi irányelv 2. cikkének a) pontja értelmében vett elektronikus hírközlő hálózatokon keresztül olyan műsorszámokat, felhasználó által létrehozott videókat, vagy mindkettőt juttasson el a közönséghez, amelyekért a videómegosztó platform szolgáltatója nem tartozik szerkesztői felelősséggel, és amelyeket a videómegosztó platform szolgáltatója rendszerez például automatikus eszközökkel vagy algoritmusokkal, különösen megjelenítés, címkézés és sorba rendezés révén</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az </w:t>
      </w:r>
      <w:r>
        <w:rPr>
          <w:i/>
        </w:rPr>
        <w:t>egységes szerkezetbe foglalt törvény</w:t>
      </w:r>
      <w:r>
        <w:t xml:space="preserve"> 4. cikkének (1) bekezdésére, amely megállapítja, hogy: </w:t>
      </w:r>
      <w:r>
        <w:rPr>
          <w:i/>
        </w:rPr>
        <w:t xml:space="preserve">„1. Az audiovizuális médiaszolgáltatások, a rádióműsor- és videomegosztóplatform-szolgáltatások rendszerének alapelvei közé tartozik a műsorszolgáltató média szabadságának és pluralizmusának garantálása, minden egyén véleménynyilvánítási szabadságának védelme, beleértve a véleményalkotás szabadságát, valamint az információk vagy eszmék korlátozás nélküli </w:t>
      </w:r>
      <w:r>
        <w:rPr>
          <w:i/>
        </w:rPr>
        <w:lastRenderedPageBreak/>
        <w:t>fogadásának és közlésének szabadságát, tiszteletben tartva az emberi méltóságot, a megkülönböztetésmentesség elve, valamint a gyűlöletbeszéd elleni küzdelem, a tájékoztatás objektivitása, teljessége, hitelessége és pártatlansága, a szerzői jogok és a szellemitulajdon-jogok védelme, a különböző politikai, társadalmi, kulturális és vallási vélemények és tendenciák iránti nyitottság, valamint az etnikai sokszínűség és a kulturális, művészeti és környezeti örökség nemzeti és helyi szintű védelme, tiszteletben tartva ugyanakkor a szabadságokat és jogokat, különösen az emberi méltóságot és a személyes adatok védelmét, a gyermekek jóllétének, egészségének és harmonikus fizikai, szellemi és erkölcsi fejlődésének előmozdítása és védelme, amelyet az Alkotmány, az európai uniós jog, az olasz jogban hatályos nemzetközi szabályok, valamint az állami és regionális jogszabályok garantálnak.</w:t>
      </w:r>
    </w:p>
    <w:p w14:paraId="38386B84" w14:textId="63F7EB9D" w:rsidR="77524313" w:rsidRDefault="77524313" w:rsidP="00370FBB">
      <w:pPr>
        <w:pStyle w:val="ListParagraph"/>
        <w:numPr>
          <w:ilvl w:val="0"/>
          <w:numId w:val="25"/>
        </w:numPr>
        <w:spacing w:after="120" w:line="240" w:lineRule="auto"/>
        <w:ind w:left="714" w:hanging="357"/>
        <w:rPr>
          <w:i/>
          <w:iCs/>
        </w:rPr>
      </w:pPr>
      <w:r>
        <w:t>a 9. cikk (1) bekezdésére, amely szerint „</w:t>
      </w:r>
      <w:r>
        <w:rPr>
          <w:i/>
        </w:rPr>
        <w:t>a hatóság a törvény által ráruházott feladatok ellátása során biztosítja a személyek alapvető jogainak tiszteletben tartását a hírközlés területén, beleértve az audiovizuális vagy rádiós médiaszolgáltatásokat. A hatóság hatásköreit pártatlanul és átláthatóan és az (EU) 2018/1808 irányelv célkitűzéseivel összhangban gyakorolja, különösen a médiapluralizmus, a kulturális és nyelvi sokszínűség, a fogyasztóvédelem, a hozzáférhetőség, a megkülönböztetésmentesség, a belső piac megfelelő működése és a tisztességes verseny előmozdítása tekintetében.</w:t>
      </w:r>
      <w:r>
        <w:t>”,</w:t>
      </w:r>
    </w:p>
    <w:p w14:paraId="46F4888F" w14:textId="09DA3482" w:rsidR="0014558F" w:rsidRDefault="001219A2" w:rsidP="00370FBB">
      <w:pPr>
        <w:pStyle w:val="ListParagraph"/>
        <w:numPr>
          <w:ilvl w:val="0"/>
          <w:numId w:val="25"/>
        </w:numPr>
        <w:spacing w:after="120" w:line="240" w:lineRule="auto"/>
        <w:ind w:left="714" w:hanging="357"/>
      </w:pPr>
      <w:r>
        <w:t>a 9. cikk (2) bekezdésére, amely szerint „</w:t>
      </w:r>
      <w:r>
        <w:rPr>
          <w:i/>
        </w:rPr>
        <w:t>a hatóság az audiovizuális és rádiós médiaszolgáltatások, valamint a videomegosztóplatform-szolgáltatások területén az ezen egységes szerkezetbe foglalt törvény szerinti, valamint az egyéb hatályos szabályok által ráruházott hatásköröket gyakorolja, még akkor is, ha azok nem szerepelnek az egységes szerkezetbe foglalt törvényben, és különösen az 1990. augusztus 6-i 223. számú, az 1995. november 14-i 481. számú és az 1997. július 31-i 249. számú törvényben meghatározott hatásköröket</w:t>
      </w:r>
      <w:r>
        <w:t>”,</w:t>
      </w:r>
    </w:p>
    <w:p w14:paraId="3B174D75" w14:textId="56C3928A" w:rsidR="005C6706" w:rsidRPr="005C6706" w:rsidRDefault="001219A2" w:rsidP="00370FBB">
      <w:pPr>
        <w:pStyle w:val="ListParagraph"/>
        <w:numPr>
          <w:ilvl w:val="0"/>
          <w:numId w:val="25"/>
        </w:numPr>
        <w:spacing w:after="0" w:line="240" w:lineRule="auto"/>
        <w:contextualSpacing/>
        <w:rPr>
          <w:i/>
          <w:iCs/>
        </w:rPr>
      </w:pPr>
      <w:r>
        <w:t>a 41. cikk (7) bekezdésére, amely szerint „</w:t>
      </w:r>
      <w:r>
        <w:rPr>
          <w:i/>
        </w:rPr>
        <w:t>a 2003. április 9-i 70. sz. törvényerejű rendelet 14–17. cikkének sérelme nélkül és az előző bekezdések rendelkezéseinek sérelme nélkül az olasz közönségnek szánt és egy másik tagállamban letelepedett szolgáltató által biztosított videomegosztó platformon keresztül közvetített műsorszámok, felhasználó által létrehozott videók és audiovizuális kereskedelmi közlemények szabad mozgása hatósági határozat útján a 2003. évi 70. sz. törvényerejű rendelet 5. cikkének (2), (3) és (4) bekezdésében említett eljárással összhangban</w:t>
      </w:r>
    </w:p>
    <w:p w14:paraId="053D7E3A" w14:textId="4411B169" w:rsidR="005C6706" w:rsidRDefault="005C6706" w:rsidP="00370FBB">
      <w:pPr>
        <w:pStyle w:val="ListParagraph"/>
        <w:spacing w:after="120" w:line="240" w:lineRule="auto"/>
        <w:ind w:left="720" w:firstLine="0"/>
      </w:pPr>
      <w:r>
        <w:rPr>
          <w:i/>
        </w:rPr>
        <w:t>a következő célokból korlátozható: a) a 38. cikk (1) bekezdése értelmében a kiskorúak védelme olyan tartalmakkal szemben, amelyek hátrányosan befolyásolhatják fizikai, szellemi, illetve erkölcsi fejlődésüket; b) a faji, szexuális, vallási vagy etnikai gyűlöletre való uszítás és az emberi méltóság megsértése elleni küzdelem; c) a fogyasztóknak, köztük a befektetőknek az ezen egységes szerkezetbe foglalt törvény szerinti védelme</w:t>
      </w:r>
      <w:r>
        <w:t>”,</w:t>
      </w:r>
    </w:p>
    <w:p w14:paraId="6577AE7E" w14:textId="666992C1" w:rsidR="005C6706" w:rsidRDefault="005C6706" w:rsidP="00370FBB">
      <w:pPr>
        <w:pStyle w:val="ListParagraph"/>
        <w:numPr>
          <w:ilvl w:val="0"/>
          <w:numId w:val="25"/>
        </w:numPr>
        <w:spacing w:after="240" w:line="240" w:lineRule="auto"/>
        <w:contextualSpacing/>
      </w:pPr>
      <w:r>
        <w:lastRenderedPageBreak/>
        <w:t>a 41. cikk (8) bekezdésére, amely szerint „[</w:t>
      </w:r>
      <w:r>
        <w:rPr>
          <w:i/>
        </w:rPr>
        <w:t>A</w:t>
      </w:r>
      <w:r>
        <w:t>]</w:t>
      </w:r>
      <w:r>
        <w:rPr>
          <w:i/>
        </w:rPr>
        <w:t>nnak meghatározására, hogy adott műsorszám, felhasználó által létrehozott videó vagy audiovizuális kereskedelmi közlemény valóban az olasz közönségnek szól-e, kritériumok szolgálnak, mint például az alkalmazott nyelv, az olasz területen jelentős számú kapcsolatfelvétel vagy olaszországi bevételek realizálása</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TEKINTETTEL az Európai Unió 2000. évi Alapjogi Chartájának 21. cikkére (A megkülönböztetés tilalma), és különösen annak (1) bekezdésére, amely szerint </w:t>
      </w:r>
      <w:r>
        <w:rPr>
          <w:i/>
          <w:color w:val="auto"/>
        </w:rPr>
        <w:t>„Tilos minden megkülönböztetés, így különösen a nem, faj, szín, etnikai vagy társadalmi származás, genetikai tulajdonság, nyelv, vallás vagy meggyőződés, politikai vagy más vélemény, nemzeti kisebbséghez tartozás, vagyoni helyzet, születés, fogyatékosság, kor vagy szexuális irányultság alapján történő megkülönböztetés</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TEKINTETTEL az Európai Unió 2000. évi Alapjogi Chartájának 22. cikkére (A kulturális, vallási és nyelvi sokféleség), amely szerint „Az Unió tiszteletben tartja a kulturális, vallási és nyelvi sokféleséget”,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TEKINTETTEL az Alkotmány 3. cikkére, amely szerint </w:t>
      </w:r>
      <w:r>
        <w:rPr>
          <w:i/>
          <w:color w:val="auto"/>
        </w:rPr>
        <w:t>„Minden polgár azonos társadalmi megbecsüléssel rendelkezik és a törvény előtt egyenlő, nemtől, fajtól, nyelvtől, vallástól, politikai véleménytől, személyes és társadalmi körülményektől függetlenül. A Köztársaság feladata, hogy felszámolja azokat a gazdasági és társadalmi jellegű akadályokat, amelyek a polgárok szabadságának és egyenlőségének tényleges korlátozásával akadályozzák az emberi személyiség teljes kibontakozását és az összes munkavállalónak az ország politikai, gazdasági és társadalmi szervezetében való tényleges részvételét”,</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TEKINTETTEL a rasszizmus és az idegengyűlölet egyes formái és megnyilvánulásai elleni, büntetőjogi eszközökkel történő küzdelemről szóló, 2008. november 28-i 2008/913/IB tanácsi kerethatározatra és a terrorizmus elleni küzdelemről, a 2002/475/IB tanácsi kerethatározat felváltásáról, valamint a 2005/671/IB tanácsi határozat módosításáról szóló, 2017. március 15-i (EU) 2017/541 irányelvre,</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TEKINTETTEL a Rasszizmus és Intolerancia Elleni Európai Bizottságnak a gyűlöletbeszéd elleni küzdelemről szóló, 2015. december 8-án elfogadott, 15. számú általános politikai ajánlására, amely arra ösztönzi az államokat, hogy tegyenek konkrét lépéseket az etnikai megkülönböztetés valamennyi formája elleni fellépés, illetve annak felszámolása érdekében, összhangban az emberi jogokat védő nemzetközi joggal,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TEKINTETTEL </w:t>
      </w:r>
      <w:r>
        <w:rPr>
          <w:color w:val="auto"/>
          <w:shd w:val="clear" w:color="auto" w:fill="FFFFFF"/>
        </w:rPr>
        <w:t>a rasszizmus és az idegengyűlölet egyes formái és megnyilvánulásai elleni, büntetőjogi eszközökkel történő küzdelemről szóló, 2008. november 28-i 2008/913/IB tanácsi kerethatározatra,</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TEKINTETTEL az Európai Bizottság által 2016. május 31-én aláírt, az online gyűlöletbeszéd jogellenes formái elleni küzdelemről szóló magatartási kódexre,</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lastRenderedPageBreak/>
        <w:t xml:space="preserve">TEKINTETTEL az Európai Bizottság </w:t>
      </w:r>
      <w:r>
        <w:rPr>
          <w:i/>
          <w:color w:val="auto"/>
        </w:rPr>
        <w:t>„Fellépés a jogellenes online tartalmak ellen: Az online platformok megnövelt felelőssége felé” című közleményére (COM(2017) 555),</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TEKINTETTEL a Bizottság által 2002. november 5-én a műsorszolgáltatási rendszer felállítása kapcsán jóváhagyott és a műsorszolgáltatók és az aláíró szervezetek által 2002. november 29-én aláírt, </w:t>
      </w:r>
      <w:r>
        <w:rPr>
          <w:i/>
          <w:color w:val="auto"/>
        </w:rPr>
        <w:t>„A médiára és a kiskorúakra vonatkozó önszabályozási kódexre”</w:t>
      </w:r>
      <w:r>
        <w:rPr>
          <w:color w:val="auto"/>
        </w:rPr>
        <w:t>,</w:t>
      </w:r>
    </w:p>
    <w:p w14:paraId="20F2FA83" w14:textId="56448EC7" w:rsidR="008E1E2C" w:rsidRPr="008E4345" w:rsidRDefault="466D1E27" w:rsidP="00370FBB">
      <w:pPr>
        <w:spacing w:after="240" w:line="240" w:lineRule="auto"/>
        <w:ind w:left="0" w:firstLine="567"/>
        <w:rPr>
          <w:color w:val="auto"/>
          <w:szCs w:val="24"/>
        </w:rPr>
      </w:pPr>
      <w:r>
        <w:rPr>
          <w:color w:val="auto"/>
        </w:rPr>
        <w:t xml:space="preserve">TEKINTETTEL </w:t>
      </w:r>
      <w:r>
        <w:rPr>
          <w:i/>
          <w:color w:val="auto"/>
        </w:rPr>
        <w:t>a szórakoztató műsorszámok kapcsán a személyek alapvető jogainak tiszteletben tartásáról, a személyes méltóságról és a kiskorúak helyes fizikai, szellemi és erkölcsi fejlődéséről</w:t>
      </w:r>
      <w:r>
        <w:rPr>
          <w:color w:val="auto"/>
        </w:rPr>
        <w:t xml:space="preserve"> szóló törvényről szóló, 2006. november 22-i 165/06/CSP határozatra,</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TEKINTETTEL </w:t>
      </w:r>
      <w:r>
        <w:rPr>
          <w:i/>
          <w:color w:val="auto"/>
        </w:rPr>
        <w:t>a személyek alapvető jogainak tiszteletben tartásáról és a pornográf jeleneteket tartalmazó műsorszolgáltatás tilalmáról szóló törvényről</w:t>
      </w:r>
      <w:r>
        <w:rPr>
          <w:color w:val="auto"/>
        </w:rPr>
        <w:t xml:space="preserve"> szóló, 2007. február 22-i 23/07/CSP határozatra, </w:t>
      </w:r>
    </w:p>
    <w:p w14:paraId="0017C28E" w14:textId="7370BCC7" w:rsidR="008E1E2C" w:rsidRPr="008E4345" w:rsidRDefault="466D1E27" w:rsidP="00370FBB">
      <w:pPr>
        <w:spacing w:after="240" w:line="240" w:lineRule="auto"/>
        <w:ind w:left="0" w:firstLine="567"/>
        <w:rPr>
          <w:color w:val="auto"/>
          <w:szCs w:val="24"/>
        </w:rPr>
      </w:pPr>
      <w:r>
        <w:rPr>
          <w:color w:val="auto"/>
        </w:rPr>
        <w:t>TEKINTETTEL „</w:t>
      </w:r>
      <w:r>
        <w:rPr>
          <w:i/>
          <w:color w:val="auto"/>
        </w:rPr>
        <w:t>a különösen a 2012. június 28-i 120. sz. törvényerejű rendelettel módosított 2010. március 15-i 44. sz. törvényerejű rendelettel módosított és kiegészített 2005. július 31-i 177. sz. törvényerejű rendelet 34. cikke értelmében a kiskorúak fizikai, szellemi vagy erkölcsi fejlődését esetlegesen súlyosan károsító, a lekérhető audiovizuális médiaszolgáltatásokat nyújtó szolgáltatók által rendelkezésre bocsátott műsorok kiskorúak általi megtekintésének és hallgatásának kizárása érdekében elfogadandó technikai intézkedésekről szóló rendeletet</w:t>
      </w:r>
      <w:r>
        <w:rPr>
          <w:color w:val="auto"/>
        </w:rPr>
        <w:t>” magában foglaló, 2013. május 3-i 51/13/CSP határozatra,</w:t>
      </w:r>
    </w:p>
    <w:p w14:paraId="15042B8F" w14:textId="74CE2D6F" w:rsidR="008E1E2C" w:rsidRDefault="466D1E27" w:rsidP="00370FBB">
      <w:pPr>
        <w:spacing w:after="240" w:line="240" w:lineRule="auto"/>
        <w:ind w:left="0" w:firstLine="567"/>
        <w:rPr>
          <w:color w:val="auto"/>
          <w:szCs w:val="24"/>
        </w:rPr>
      </w:pPr>
      <w:r>
        <w:rPr>
          <w:color w:val="auto"/>
        </w:rPr>
        <w:t>TEKINTETTEL „</w:t>
      </w:r>
      <w:r>
        <w:rPr>
          <w:i/>
          <w:color w:val="auto"/>
        </w:rPr>
        <w:t>a 2005. július 31-i 177. sz. törvényerejű rendelet 34. cikkének (1), (5) és (11) bekezdésében említett, a különösen a 2010. március 15-i 44. sz. törvényerejű rendelettel és a 2012. június 28-i 120. sz. törvényerejű rendelettel módosított és kiegészített, a kiskorúak fizikai, szellemi, illetve erkölcsi fejlődését esetlegesen súlyosan károsító televíziós műsorok minősítési kritériumairól szóló rendeletről</w:t>
      </w:r>
      <w:r>
        <w:rPr>
          <w:color w:val="auto"/>
        </w:rPr>
        <w:t>” szóló, 2013. május 3-i 52/13/CSP határozatra,</w:t>
      </w:r>
    </w:p>
    <w:p w14:paraId="3DE6EA92" w14:textId="75F62E8F" w:rsidR="00585912" w:rsidRPr="008E4345" w:rsidRDefault="00585912" w:rsidP="00370FBB">
      <w:pPr>
        <w:spacing w:after="240" w:line="240" w:lineRule="auto"/>
        <w:ind w:left="0" w:firstLine="567"/>
        <w:rPr>
          <w:color w:val="auto"/>
          <w:szCs w:val="24"/>
        </w:rPr>
      </w:pPr>
      <w:r>
        <w:t>TEKINTETTEL „</w:t>
      </w:r>
      <w:r>
        <w:rPr>
          <w:i/>
        </w:rPr>
        <w:t>az emberi méltóságnak és a megkülönböztetésmentesség elvének tiszteletben tartására, valamint a gyűlöletbeszéd elleni küzdelemre vonatkozó rendelkezések megállapításáról szóló rendelet</w:t>
      </w:r>
      <w:r>
        <w:t>” elfogadásáról szóló 157/19/CONS határozatra,</w:t>
      </w:r>
    </w:p>
    <w:p w14:paraId="687F94D3" w14:textId="77777777" w:rsidR="00577B17" w:rsidRPr="00A97D51" w:rsidRDefault="00577B17" w:rsidP="00370FBB">
      <w:pPr>
        <w:spacing w:after="240" w:line="240" w:lineRule="auto"/>
        <w:ind w:left="0" w:firstLine="567"/>
        <w:rPr>
          <w:i/>
          <w:iCs/>
          <w:color w:val="auto"/>
          <w:szCs w:val="24"/>
        </w:rPr>
      </w:pPr>
      <w:r>
        <w:rPr>
          <w:color w:val="auto"/>
        </w:rPr>
        <w:t>TEKINTETTEL „</w:t>
      </w:r>
      <w:r>
        <w:rPr>
          <w:i/>
          <w:color w:val="auto"/>
        </w:rPr>
        <w:t>a 2021. november 8-i 208. sz. törvényerejű rendelet (az audiovizuális médiaszolgáltatásokról szóló egységes szerkezetbe foglalt törvény) 30. cikke szerinti, a személyek alapvető jogainak védelméről szóló rendeletről</w:t>
      </w:r>
      <w:r>
        <w:rPr>
          <w:color w:val="auto"/>
        </w:rPr>
        <w:t>” szóló, 2023. február 22-i 37/23/CONS határozatra,</w:t>
      </w:r>
    </w:p>
    <w:p w14:paraId="6289F78E" w14:textId="640156F2" w:rsidR="00F71076" w:rsidRPr="008E4345" w:rsidRDefault="00F71076" w:rsidP="00370FBB">
      <w:pPr>
        <w:spacing w:after="240" w:line="240" w:lineRule="auto"/>
        <w:ind w:left="0" w:firstLine="567"/>
        <w:rPr>
          <w:color w:val="auto"/>
          <w:szCs w:val="24"/>
        </w:rPr>
      </w:pPr>
      <w:r>
        <w:rPr>
          <w:color w:val="auto"/>
        </w:rPr>
        <w:lastRenderedPageBreak/>
        <w:t>TEKINTETTEL „</w:t>
      </w:r>
      <w:r>
        <w:rPr>
          <w:i/>
          <w:color w:val="auto"/>
        </w:rPr>
        <w:t>a felhasználók és az elektronikus hírközlési szolgáltatók, illetve audiovizuális médiaszolgáltatók közötti vitarendezési eljárásokra vonatkozó szabályozási keretnek a TUSMA 42. cikke (9) bekezdésének a videomegosztóplatform-szolgáltatások tekintetében történő végrehajtása érdekében történő módosítására vonatkozó eljárás kezdeményezéséről és nyilvános konzultációról</w:t>
      </w:r>
      <w:r>
        <w:rPr>
          <w:color w:val="auto"/>
        </w:rPr>
        <w:t>” szóló, 2023. február 8-i 22/23/CONS határozatra,</w:t>
      </w:r>
    </w:p>
    <w:p w14:paraId="4C34A80B" w14:textId="2071CD0F" w:rsidR="009F0FEF" w:rsidRPr="008E4345" w:rsidRDefault="009F0FEF" w:rsidP="00370FBB">
      <w:pPr>
        <w:spacing w:after="240" w:line="240" w:lineRule="auto"/>
        <w:ind w:left="0" w:firstLine="567"/>
        <w:rPr>
          <w:color w:val="auto"/>
          <w:szCs w:val="24"/>
        </w:rPr>
      </w:pPr>
      <w:r>
        <w:rPr>
          <w:color w:val="auto"/>
        </w:rPr>
        <w:t>TEKINTETTEL a legutóbb a 434/22/CONS határozattal módosított, a „</w:t>
      </w:r>
      <w:r>
        <w:rPr>
          <w:i/>
          <w:color w:val="auto"/>
        </w:rPr>
        <w:t>Hírközlési Szabályozó Hatóság szervezeti felépítéséről és működéséről szóló új rendelet elfogadásáról</w:t>
      </w:r>
      <w:r>
        <w:rPr>
          <w:color w:val="auto"/>
        </w:rPr>
        <w:t>” szóló, 2012. április 27-i 223/12/CONS határozatra,</w:t>
      </w:r>
    </w:p>
    <w:p w14:paraId="1B1F9327" w14:textId="178D3D35" w:rsidR="009F0FEF" w:rsidRPr="008E4345" w:rsidRDefault="009F0FEF" w:rsidP="00370FBB">
      <w:pPr>
        <w:spacing w:after="240" w:line="240" w:lineRule="auto"/>
        <w:ind w:left="0" w:firstLine="567"/>
        <w:rPr>
          <w:color w:val="auto"/>
          <w:szCs w:val="24"/>
        </w:rPr>
      </w:pPr>
      <w:r>
        <w:rPr>
          <w:color w:val="auto"/>
        </w:rPr>
        <w:t>TEKINTETTEL „</w:t>
      </w:r>
      <w:r>
        <w:rPr>
          <w:i/>
          <w:color w:val="auto"/>
        </w:rPr>
        <w:t>a hatóság hatáskörébe tartozó eljárások során lefolytatott konzultációs eljárásokról szóló rendeletről</w:t>
      </w:r>
      <w:r>
        <w:rPr>
          <w:color w:val="auto"/>
        </w:rPr>
        <w:t xml:space="preserve">” szóló, 2019. április 5-i 107/19/CONS határozatra, </w:t>
      </w:r>
    </w:p>
    <w:p w14:paraId="255CFAE3" w14:textId="7E997B5B" w:rsidR="009F0FEF" w:rsidRDefault="009F0FEF" w:rsidP="00370FBB">
      <w:pPr>
        <w:spacing w:after="0" w:line="240" w:lineRule="auto"/>
        <w:ind w:left="0" w:firstLine="567"/>
        <w:contextualSpacing/>
        <w:rPr>
          <w:color w:val="auto"/>
          <w:szCs w:val="24"/>
        </w:rPr>
      </w:pPr>
      <w:r>
        <w:rPr>
          <w:color w:val="auto"/>
        </w:rPr>
        <w:t>TEKINTETTEL a legutóbb a 437/22/CONS határozattal módosított, „</w:t>
      </w:r>
      <w:r>
        <w:rPr>
          <w:i/>
          <w:color w:val="auto"/>
        </w:rPr>
        <w:t>a közigazgatási bírságokra és kötelezettségvállalásokra vonatkozó eljárási szabályokról, valamint a Hírközlési Szabályozó Hatóság által kiszabott közigazgatási bírságok számszerűsítésére vonatkozó iránymutatásokat tartalmazó dokumentummal kapcsolatos nyilvános konzultációról</w:t>
      </w:r>
      <w:r>
        <w:rPr>
          <w:color w:val="auto"/>
        </w:rPr>
        <w:t>” szóló, 2014. július 29-i 410/14/CONS határozatra,</w:t>
      </w:r>
    </w:p>
    <w:p w14:paraId="467B46AE" w14:textId="49FD8DCE" w:rsidR="00882D55" w:rsidRDefault="000E068B" w:rsidP="00370FBB">
      <w:pPr>
        <w:spacing w:before="240" w:after="120" w:line="240" w:lineRule="auto"/>
        <w:ind w:left="0" w:firstLine="567"/>
      </w:pPr>
      <w:r>
        <w:t xml:space="preserve">MIVEL annak meghatározásához, hogy egy műsorszám, felhasználó által létrehozott videó vagy audiovizuális kereskedelmi közlemény valóban az olasz közönségnek szól-e: </w:t>
      </w:r>
    </w:p>
    <w:p w14:paraId="17577486" w14:textId="1125DF6D" w:rsidR="00982048" w:rsidRDefault="00982048" w:rsidP="00370FBB">
      <w:pPr>
        <w:pStyle w:val="ListParagraph"/>
        <w:numPr>
          <w:ilvl w:val="0"/>
          <w:numId w:val="25"/>
        </w:numPr>
        <w:spacing w:after="120" w:line="240" w:lineRule="auto"/>
        <w:ind w:left="714" w:hanging="357"/>
      </w:pPr>
      <w:r>
        <w:t xml:space="preserve">a TUSMA 41. cikkének (7) bekezdése úgy rendelkezik, hogy a 2003. április 9-i 70. sz. törvényerejű rendelet 14–17. cikkének sérelme nélkül az olasz közönségnek szánt és egy másik tagállamban letelepedett szolgáltató által biztosított videomegosztó platformon keresztül közvetített </w:t>
      </w:r>
      <w:bookmarkStart w:id="0" w:name="_Hlk121046021"/>
      <w:r>
        <w:t>műsorszámok, felhasználó által létrehozott videók és audiovizuális kereskedelmi közlemények</w:t>
      </w:r>
      <w:bookmarkEnd w:id="0"/>
      <w:r>
        <w:t xml:space="preserve"> szabad mozgása a 2003. évi 70. számú törvényerejű rendelet 5. cikke (2), (3) és (4) bekezdése szerinti eljárásnak megfelelően hatósági határozattal a (7) bekezdés </w:t>
      </w:r>
      <w:r>
        <w:rPr>
          <w:i/>
        </w:rPr>
        <w:t>a)</w:t>
      </w:r>
      <w:r>
        <w:t xml:space="preserve">, </w:t>
      </w:r>
      <w:r>
        <w:rPr>
          <w:i/>
        </w:rPr>
        <w:t>b)</w:t>
      </w:r>
      <w:r>
        <w:t xml:space="preserve"> és </w:t>
      </w:r>
      <w:r>
        <w:rPr>
          <w:i/>
        </w:rPr>
        <w:t>c)</w:t>
      </w:r>
      <w:r>
        <w:t xml:space="preserve"> pontjában meghatározott célokból korlátozható;</w:t>
      </w:r>
    </w:p>
    <w:p w14:paraId="0BDE2A87" w14:textId="5C706D23" w:rsidR="00D21256" w:rsidRDefault="004577F3" w:rsidP="00370FBB">
      <w:pPr>
        <w:pStyle w:val="ListParagraph"/>
        <w:numPr>
          <w:ilvl w:val="0"/>
          <w:numId w:val="25"/>
        </w:numPr>
        <w:spacing w:after="120" w:line="240" w:lineRule="auto"/>
        <w:ind w:right="-1"/>
      </w:pPr>
      <w:r>
        <w:t xml:space="preserve">a következő (8) bekezdés példaként kiemeli azokat a kritériumokat, amelyek annak meghatározására szolgálnak, hogy egy adott műsorszám, felhasználó által létrehozott videó vagy audiovizuális kereskedelmi közlemény valóban az olasz közönségnek szól-e; </w:t>
      </w:r>
    </w:p>
    <w:p w14:paraId="3CC62852" w14:textId="58C56640" w:rsidR="00172B77" w:rsidRDefault="007B35E5" w:rsidP="00370FBB">
      <w:pPr>
        <w:pStyle w:val="ListParagraph"/>
        <w:numPr>
          <w:ilvl w:val="0"/>
          <w:numId w:val="25"/>
        </w:numPr>
        <w:spacing w:after="120" w:line="240" w:lineRule="auto"/>
        <w:ind w:right="-1"/>
      </w:pPr>
      <w:r>
        <w:t xml:space="preserve">a rendelet személyi hatályának meghatározása, melyet a 41. cikk (9) bekezdése értelmében a hatóság azzal a céllal tervez elfogadni, hogy meghatározza az olasz közönségnek szánt és egy másik tagállamban letelepedett szolgáltató által biztosított videomegosztó platformon keresztül közvetített tartalmak szabad mozgását korlátozó intézkedések elfogadásának eljárását, e kritériumok pontos és részletes meghatározását igényli; </w:t>
      </w:r>
    </w:p>
    <w:p w14:paraId="6CDF755C" w14:textId="6D381F5F" w:rsidR="00A45429" w:rsidRPr="00A45429" w:rsidRDefault="00A45429" w:rsidP="00370FBB">
      <w:pPr>
        <w:pStyle w:val="ListParagraph"/>
        <w:numPr>
          <w:ilvl w:val="0"/>
          <w:numId w:val="25"/>
        </w:numPr>
        <w:spacing w:after="120" w:line="240" w:lineRule="auto"/>
        <w:ind w:right="-1"/>
        <w:rPr>
          <w:szCs w:val="24"/>
        </w:rPr>
      </w:pPr>
      <w:r>
        <w:lastRenderedPageBreak/>
        <w:t>az elsődleges jogszabályban a személyi hatály meghatározásának kritériumait kifejezetten példaként adják meg, és ez a hatóság szabályozási hatáskörének gyakorlása szempontjából releváns,</w:t>
      </w:r>
    </w:p>
    <w:p w14:paraId="180C20C6" w14:textId="77777777" w:rsidR="00801C14" w:rsidRDefault="00F8120B" w:rsidP="00370FBB">
      <w:pPr>
        <w:pStyle w:val="ListParagraph"/>
        <w:numPr>
          <w:ilvl w:val="0"/>
          <w:numId w:val="25"/>
        </w:numPr>
        <w:spacing w:after="240" w:line="240" w:lineRule="auto"/>
        <w:ind w:right="-1"/>
        <w:rPr>
          <w:szCs w:val="24"/>
        </w:rPr>
      </w:pPr>
      <w:r>
        <w:t>e kritériumok pontos meghatározása ezért olyan</w:t>
      </w:r>
      <w:r>
        <w:rPr>
          <w:b/>
        </w:rPr>
        <w:t xml:space="preserve"> </w:t>
      </w:r>
      <w:r>
        <w:t>feltételt</w:t>
      </w:r>
      <w:r>
        <w:rPr>
          <w:b/>
        </w:rPr>
        <w:t xml:space="preserve"> </w:t>
      </w:r>
      <w:r>
        <w:t xml:space="preserve">jelent, amely az alapvető jogok hatékony védelmének biztosítása érdekében a másik tagállamban letelepedett szolgáltató által biztosított és az olasz közönségnek szánt szolgáltatások szabad mozgására vonatkozó korlátozó hatáskörök gyakorlására vonatkozó szabályok elfogadásához szükséges, amelyek a jogalkotó szerint különösen fontosak a felhasználók hatékony védelméhez, </w:t>
      </w:r>
    </w:p>
    <w:p w14:paraId="338C6A3B" w14:textId="6822BF27" w:rsidR="00AD44D5" w:rsidRPr="00801C14" w:rsidRDefault="00CB4C7F" w:rsidP="00370FBB">
      <w:pPr>
        <w:spacing w:after="120" w:line="240" w:lineRule="auto"/>
        <w:ind w:left="0" w:firstLine="567"/>
        <w:rPr>
          <w:szCs w:val="24"/>
        </w:rPr>
      </w:pPr>
      <w:r>
        <w:t xml:space="preserve">MIUTÁN MEGÁLLAPÍTOTTA, hogy ezért pontosan meg kell határozni azt, hogy mikor kell a videomegosztó szolgáltatáson keresztül közvetített tartalmat az olasz közönségnek szólónak tekinteni, meghatározva a következőket: </w:t>
      </w:r>
    </w:p>
    <w:p w14:paraId="2DA2AAF7" w14:textId="0B4137DC" w:rsidR="005F2264" w:rsidRDefault="00F20E4F" w:rsidP="00370FBB">
      <w:pPr>
        <w:pStyle w:val="ListParagraph"/>
        <w:numPr>
          <w:ilvl w:val="0"/>
          <w:numId w:val="25"/>
        </w:numPr>
        <w:spacing w:after="120" w:line="240" w:lineRule="auto"/>
        <w:ind w:right="-1"/>
      </w:pPr>
      <w:r>
        <w:t xml:space="preserve">milyen körülmények között és milyen módon használják az olasz nyelvet, mind a megosztott tartalom, mind az azokat közvetítő platform tekintetében, </w:t>
      </w:r>
    </w:p>
    <w:p w14:paraId="194A310A" w14:textId="38107EA9" w:rsidR="00515343" w:rsidRDefault="00F20E4F" w:rsidP="00370FBB">
      <w:pPr>
        <w:pStyle w:val="ListParagraph"/>
        <w:numPr>
          <w:ilvl w:val="0"/>
          <w:numId w:val="25"/>
        </w:numPr>
        <w:spacing w:after="120" w:line="240" w:lineRule="auto"/>
        <w:ind w:right="-1"/>
      </w:pPr>
      <w:r>
        <w:t>a platform mérete a havi olasz egyéni látogatók tekintetében egy olyan küszöbérték meghatározása érdekében, amelyen belül még kezelhető annak kettős igénye, hogy egyrészt biztosítsák a felhasználók hatékony védelmét, másrészt pedig garantálják a közigazgatási intézkedések eredményességét és költséghatékonyságát. Az intézkedés alapjául szolgáló adatoknak tehát olyan szervezetek által biztosított, harmadik féltől származó adatoknak kell lenniük, amelyek a teljes referenciaágazatot a legnagyobb mértékben lefedik, és amelyek szervezete – figyelembe véve a multimédiás konvergenciafolyamatokat is – megfelel a pártatlanság, az autonómia és a függetlenség elvének, úgy mint például a közönségmérési rendszerünkben a JIC (</w:t>
      </w:r>
      <w:r>
        <w:rPr>
          <w:i/>
        </w:rPr>
        <w:t>Joint Industry Committee</w:t>
      </w:r>
      <w:r>
        <w:t xml:space="preserve">) által előállított adatok, </w:t>
      </w:r>
    </w:p>
    <w:p w14:paraId="11991BE0" w14:textId="6410D19E" w:rsidR="00C91815" w:rsidRDefault="00F20E4F" w:rsidP="00370FBB">
      <w:pPr>
        <w:pStyle w:val="ListParagraph"/>
        <w:numPr>
          <w:ilvl w:val="0"/>
          <w:numId w:val="25"/>
        </w:numPr>
        <w:spacing w:after="120" w:line="240" w:lineRule="auto"/>
        <w:ind w:right="-1"/>
      </w:pPr>
      <w:r>
        <w:t xml:space="preserve">a tartalom káros terjedése a jelentős számú elért felhasználóhoz viszonyítva: </w:t>
      </w:r>
      <w:r>
        <w:rPr>
          <w:color w:val="000000" w:themeColor="text1"/>
        </w:rPr>
        <w:t>annál súlyosabb az illegális tartalmak terjedése, minél nagyobb az elért olasz felhasználók köre. Az ezen értékeléshez kapcsolódó küszöbérték a szubjektív kontextustól (felhasználói célcsoport, amelyre vonatkozik) és attól az objektív kontextustól függően változhat, amelybe a tartalom illeszkedik</w:t>
      </w:r>
      <w:r>
        <w:t xml:space="preserve">, </w:t>
      </w:r>
    </w:p>
    <w:p w14:paraId="3203E8B2" w14:textId="1D1860D9" w:rsidR="00C863B2" w:rsidRDefault="00BB26E9" w:rsidP="00370FBB">
      <w:pPr>
        <w:pStyle w:val="ListParagraph"/>
        <w:numPr>
          <w:ilvl w:val="0"/>
          <w:numId w:val="25"/>
        </w:numPr>
        <w:spacing w:after="240" w:line="240" w:lineRule="auto"/>
        <w:ind w:right="-1"/>
      </w:pPr>
      <w:r>
        <w:t>a szolgáltató által Olaszországban realizált bevételek, még akkor is, ha azok a külföldi székhelyű vállalatok pénzügyi kimutatásaiban szerepelnek, példaként szolgálnak az olasz közönség megszólítására,</w:t>
      </w:r>
    </w:p>
    <w:p w14:paraId="0C88B46A" w14:textId="1243BF58" w:rsidR="000559D0" w:rsidRDefault="00146BDC" w:rsidP="00370FBB">
      <w:pPr>
        <w:spacing w:after="240" w:line="240" w:lineRule="auto"/>
        <w:ind w:left="0" w:firstLine="567"/>
      </w:pPr>
      <w:r>
        <w:rPr>
          <w:color w:val="auto"/>
        </w:rPr>
        <w:t xml:space="preserve">MIVEL az olasz közönségnek szánt és egy másik tagállamban letelepedett szolgáltató által biztosított videomegosztó platformon keresztül közvetített műsorszámok, felhasználó által létrehozott videók és audiovizuális kereskedelmi közlemények szabad mozgása </w:t>
      </w:r>
      <w:r>
        <w:t>a 2003. évi 70. sz. törvényerejű rendelet 5. cikkének (2), (3) és (4) bekezdésében meghatározott eljárásnak megfelelően a következő célokból korlátozható:</w:t>
      </w:r>
      <w:r>
        <w:rPr>
          <w:color w:val="auto"/>
        </w:rPr>
        <w:t xml:space="preserve"> </w:t>
      </w:r>
      <w:r>
        <w:t xml:space="preserve">a) a TUSMA 38. cikkének (1) bekezdése értelmében a kiskorúak védelme </w:t>
      </w:r>
      <w:r>
        <w:lastRenderedPageBreak/>
        <w:t>olyan tartalmakkal szemben, amelyek hátrányosan befolyásolhatják a fizikai, szellemi, illetve erkölcsi fejlődésüket, b) a faji, szexuális, vallási vagy etnikai gyűlöletre való uszítás és az emberi méltóság megsértése elleni küzdelem, valamint c) a fogyasztóvédelem, beleértve a befektetőket is, a TUSMA alapján,</w:t>
      </w:r>
    </w:p>
    <w:p w14:paraId="553E09D6" w14:textId="077AA72F" w:rsidR="00CF29FA" w:rsidRDefault="001E6D13" w:rsidP="00370FBB">
      <w:pPr>
        <w:spacing w:after="240" w:line="240" w:lineRule="auto"/>
        <w:ind w:left="0" w:firstLine="567"/>
      </w:pPr>
      <w:r>
        <w:t>MIUTÁN MEGÁLLAPÍTOTTA különösen, hogy a hatóságnak a feladatai ellátása során a TUSMA 41. cikkének (7) bekezdése alapján a 2003. évi 70. sz. törvényerejű rendelet 5. cikkének (2), (3) és (4) bekezdésében említett eljárásokat kell követnie,</w:t>
      </w:r>
    </w:p>
    <w:p w14:paraId="2B79D31B" w14:textId="06337D04" w:rsidR="00DF269C" w:rsidRDefault="00CF29FA" w:rsidP="00370FBB">
      <w:pPr>
        <w:spacing w:after="240" w:line="240" w:lineRule="auto"/>
        <w:ind w:left="0" w:firstLine="567"/>
      </w:pPr>
      <w:r>
        <w:t>TEKINTETTEL arra, hogy annak érdekében, hogy a rendelet általános elvei között szerepeljen a 2003. évi 70. sz. törvényerejű rendelet 5. cikkének (2) bekezdésében előírt követelmény, amely szerint az audiovizuális tartalmak szabad mozgását korlátozó intézkedések csak akkor fogadhatók el, ha a) az információs társadalommal összefüggő, a közérdekű célokat hátrányosan érintő vagy ugyanezen célok sérülésének súlyos veszélyét jelentő, valamely meghatározott szolgáltatás tekintetében szükségesek és b) e célokkal arányosak.</w:t>
      </w:r>
    </w:p>
    <w:p w14:paraId="449B4A78" w14:textId="66DF9209" w:rsidR="00DF269C" w:rsidRDefault="006C706E" w:rsidP="00370FBB">
      <w:pPr>
        <w:spacing w:after="240" w:line="240" w:lineRule="auto"/>
        <w:ind w:left="0" w:firstLine="567"/>
      </w:pPr>
      <w:r>
        <w:t xml:space="preserve">Továbbá MIUTÁN MEGÁLLAPÍTOTTA, hogy a 71/2003. sz. törvényerejű rendelet 5. cikke (3) bekezdése rendelkezéseinek végrehajtása során a hatóságnak – a bírósági eljárások és a bűnügyi nyomozás keretében végzett cselekmények sérelme nélkül – az intézkedés elfogadása előtt a) fel kell kérnie azt a tagállamot, amelyben videomegosztó szolgáltató letelepedett vagy letelepedettnek minősül, hogy tegye meg a megfelelő intézkedéseket, ellenőrizve azt, hogy ilyen intézkedésekre nem került sor vagy azok nem voltak kellő mértékűek, és b) értesítenie kell az Európai Bizottságot és az említett tagállamot az ilyen intézkedések meghozatalának szándékáról. </w:t>
      </w:r>
    </w:p>
    <w:p w14:paraId="156DB742" w14:textId="4B2A5935" w:rsidR="00DF269C" w:rsidRDefault="00CB0F89" w:rsidP="00370FBB">
      <w:pPr>
        <w:spacing w:after="240" w:line="240" w:lineRule="auto"/>
        <w:ind w:left="0" w:firstLine="567"/>
      </w:pPr>
      <w:r>
        <w:t>Végül MIUTÁN MEGÁLLAPÍTOTTA, hogy a 2003. évi 70. sz. törvényerejű rendelet 5. cikke (4) bekezdésében foglalt rendelkezések végrehajtása során a hatóság a fenti (3) bekezdésben előírt eljárástól való eltéréssel beavatkozhat a sürgős esetekbe azáltal, hogy az intézkedést a lehető legrövidebb időn belül közli a Bizottsággal és azzal a tagállammal, amelyben a videomegosztó szolgáltató letelepedett vagy letelepedettnek minősül, a sürgősség okával együtt,</w:t>
      </w:r>
    </w:p>
    <w:p w14:paraId="6CA46AF5" w14:textId="6BDE7D47" w:rsidR="00D30981" w:rsidRDefault="00D30981" w:rsidP="00370FBB">
      <w:pPr>
        <w:spacing w:after="240" w:line="240" w:lineRule="auto"/>
        <w:ind w:left="0" w:firstLine="567"/>
        <w:rPr>
          <w:szCs w:val="24"/>
        </w:rPr>
      </w:pPr>
      <w:r>
        <w:t>FIGYELEMBE VÉVE e tekinteteben, hogy helyénvaló a rendeletben rendelkezni arról a helyzetről, amikor a sürgősség feltételei fennállnak, amennyiben a vizsgálat előtti tevékenység következtében olyan tények vagy körülmények merülnek fel, amelyek a felhasználók jogainak súlyos, közvetlen és helyrehozhatatlan sérelmét jelentenék.</w:t>
      </w:r>
    </w:p>
    <w:p w14:paraId="251DB57A" w14:textId="4B932D5F" w:rsidR="00825CD6" w:rsidRDefault="00F503DB" w:rsidP="00370FBB">
      <w:pPr>
        <w:spacing w:after="120" w:line="240" w:lineRule="auto"/>
        <w:ind w:left="0" w:firstLine="567"/>
      </w:pPr>
      <w:r>
        <w:t xml:space="preserve">FIGYELEMBE VÉVE az alábbiakat a korlátozó intézkedések elfogadására vonatkozó eljárás tekintetében: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a jogalkotó által a TUSMA 41. cikkének (7), (8) és (9) bekezdésében bevezetett jogszabály a felhasználó alapvető jogainak a (7) bekezdés a), b) és c) pontjában részletezett hatékony és eredményes védelméhez kapcsolódik: e célból a hatóság </w:t>
      </w:r>
      <w:r>
        <w:rPr>
          <w:color w:val="auto"/>
        </w:rPr>
        <w:lastRenderedPageBreak/>
        <w:t xml:space="preserve">különleges hatáskört kapott, amely még akkor is érvényesíthető, ha a platformszolgáltató székhelye egy másik tagállamban van. A hatáskör akkor érvényesíthető, ha a fenti célokat súlyosan veszélyezteti az olasz közönségnek szóló tartalom;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a beavatkozás sürgőssége kettős követelménynek megfelelő eljárást igényel: egyrészt a korlátozó intézkedés elfogadásának felgyorsítását, másrészt a szükséges eljárási garanciák biztosítását igényli;</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annak érdekében, hogy a védelem hatékony legyen, minden érintett jelentést tehet a hatóságnak olyan tartalomról, amely feltételezhetően ellentétes a fent említett célokkal. A bejelentés elfogadhatósága azonban számos feltételhez van kötve, hogy megakadályozhatók legyenek az alaptalan kezdeményezések. A hatóság ugyanakkor mindig eljárhat hivatalból, akár a pénzügyőrség és a postai rendőrség csoportjának támogatásával;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miután megállapítást nyert, hogy van olyan tartalom, amely az olasz közönségnek szól, és amely ellentétesnek tűnik a szabály által védendő célokkal, a vizsgálat előtti tevékenységek célja annak ellenőrzése, hogy fennállnak-e olyan sürgősségi feltételek, amelyek – a szolgáltató székhelye szerinti tagállamban illetékes hatóság helyett – az olasz hatóság beavatkozását indokolják. Ezek a feltételek akkor állnak fenn, ha a másik állam hatóságának a beavatkozás kérelmezése érdekében történő tájékoztatásához szükséges időn belül a védelem valószínűleg helyrehozhatatlanul sérülne, vagy súlyosbodna az okozott kár;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az eljárás időzítése – miután az eljárás megindításáról az értesítés megtörtént – lehetővé teszi a platform szolgáltatója számára, hogy ne csak érdemben védekezzen, hanem a tartalom korlátozásával a legmegfelelőbb intézkedéseket is megtegye, ily módon spontán kiigazításokat téve. Ami a korlátozás végrehajtásának módjait illeti, tekintettel arra, hogy az elérni kívánt cél az, hogy a tartalom többé ne legyen hozzáférhető az olasz közönség számára, valamint figyelembe véve az állandó technológiai fejlődést, és a szolgáltatók rendelkezésére álló különböző funkciókat és műszaki eszközöket, helyénvalónak tűnik, hogy a helytelen magatartási forma megszüntetéséhez és újbóli előfordulásának megakadályozásához ne a meghozandó intézkedések teljes körére támaszkodjanak,</w:t>
      </w:r>
    </w:p>
    <w:p w14:paraId="69B61422" w14:textId="7659AAED" w:rsidR="00B642EC" w:rsidRDefault="004148D1" w:rsidP="00370FBB">
      <w:pPr>
        <w:spacing w:before="240" w:after="0" w:line="240" w:lineRule="auto"/>
        <w:ind w:left="0" w:right="-1" w:firstLine="567"/>
        <w:rPr>
          <w:bCs/>
        </w:rPr>
      </w:pPr>
      <w:r>
        <w:t xml:space="preserve">MÉRLEGELVE annak lehetőségét, hogy a 107/19/CONS határozat rendelkezéseivel összhangban nyilvános konzultációra bocsássa az olasz közönségnek szánt és egy másik tagállamban letelepedett szolgáltató által biztosított platformon keresztül közvetített műsorszámokról, felhasználó által létrehozott videókról és audiovizuális kereskedelmi közleményekről szóló, 2021. november 8-i 208. sz. törvényerejű rendelet 41. cikke (7), (8) és (9) bekezdésének végrehajtásáról szóló rendelettervezetet annak érdekében, hogy minden érdekelt féltől beszerezhesse a leghasznosabb információkat és értékelési elemeket, </w:t>
      </w:r>
    </w:p>
    <w:p w14:paraId="658D9B42" w14:textId="6395161B" w:rsidR="007E543F" w:rsidRDefault="00D41051" w:rsidP="00370FBB">
      <w:pPr>
        <w:spacing w:before="240" w:after="360" w:line="240" w:lineRule="auto"/>
        <w:ind w:right="-1" w:firstLine="709"/>
      </w:pPr>
      <w:r>
        <w:lastRenderedPageBreak/>
        <w:t>MIUTÁN MEGHALLGATTA az elnök beszámolóját;</w:t>
      </w:r>
    </w:p>
    <w:p w14:paraId="70BE3761" w14:textId="226F8AE3" w:rsidR="00B27360" w:rsidRPr="000D6914" w:rsidRDefault="00D73DDB" w:rsidP="00370FBB">
      <w:pPr>
        <w:spacing w:after="240" w:line="240" w:lineRule="auto"/>
        <w:ind w:left="0" w:firstLine="0"/>
        <w:jc w:val="center"/>
        <w:rPr>
          <w:b/>
        </w:rPr>
      </w:pPr>
      <w:r>
        <w:rPr>
          <w:b/>
          <w:sz w:val="23"/>
        </w:rPr>
        <w:t>A KÖVETKEZŐKET RENDELI EL:</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Egyetlen cikk</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Az e határozat A. mellékletében foglalt, „</w:t>
      </w:r>
      <w:r>
        <w:rPr>
          <w:i/>
          <w:color w:val="auto"/>
        </w:rPr>
        <w:t>az olasz közönségnek szánt és egy másik tagállamban letelepedett szolgáltató által biztosított videomegosztó platformon keresztül közvetített műsorszámokról, felhasználó által létrehozott videókról és audiovizuális kereskedelmi közleményekről szóló, 2021. november 8-i 208. sz. törvényerejű rendelet 41. cikke (9) bekezdésének végrehajtásáról szóló rendelettervezettel</w:t>
      </w:r>
      <w:r>
        <w:rPr>
          <w:color w:val="auto"/>
        </w:rPr>
        <w:t xml:space="preserve">” kapcsolatos nyilvános konzultáció elindul.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Az eljárásért felelős személy Francesco Di Giorgi, a Digitális Szolgáltatások Osztályának ügyvédje.</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A konzultációs eljárásokat e határozat B. melléklete ismerteti.</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A szabályozási hatásvizsgálat megszövegezéséhez szükséges információkat és adatokat e határozat C. melléklete tartalmazza.</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Az A., B. és C. melléklet ezen intézkedés szerves és lényeges részét képezi.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Az intézkedést közzé kell tenni a hatóság honlapján. A mellékletekben meghatározott határidők alkalmazásában a közzététel időpontja az irányadó.</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Ez az intézkedés a kihirdetésétől számított 60 napon belül Lazio Regionális Közigazgatási Bírósága előtt megtámadható.</w:t>
      </w:r>
    </w:p>
    <w:p w14:paraId="0C26B4FD" w14:textId="3870673A" w:rsidR="00A33E41" w:rsidRDefault="6F4CE840" w:rsidP="00370FBB">
      <w:pPr>
        <w:spacing w:after="160" w:line="240" w:lineRule="auto"/>
        <w:ind w:left="0" w:firstLine="567"/>
        <w:rPr>
          <w:rFonts w:eastAsia="Calibri"/>
        </w:rPr>
      </w:pPr>
      <w:r>
        <w:t>Róma, 2023. március 16.</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AZ ELNÖK</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A határozat megfelelőségét igazolta</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A FŐTITKÁR</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 melléklet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a 76/23/CONS sz. határozathoz</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RENDELETTERVEZET AZ OLASZ KÖZÖNSÉGNEK SZÁNT ÉS EGY MÁSIK TAGÁLLAMBAN LETELEPEDETT SZOLGÁLTATÓ ÁLTAL BIZTOSÍTOTT VIDEOMEGOSZTÓ PLATFORMON KERESZTÜL KÖZVETÍTETT MŰSORSZÁMOKRÓL, FELHASZNÁLÓ ÁLTAL LÉTREHOZOTT VIDEÓKRÓL ÉS AUDIOVIZUÁLIS KERESKEDELMI KÖZLEMÉNYEKRŐL SZÓLÓ, 2021. NOVEMBER 8-I 208. SZ. TÖRVÉNYEREJŰ RENDELET 41. CIKKE (9) BEKEZDÉSÉNEK VÉGREHAJTÁSÁRÓL </w:t>
      </w:r>
    </w:p>
    <w:p w14:paraId="4BF1EFDA" w14:textId="77777777" w:rsidR="00B744DC" w:rsidRPr="00B744DC" w:rsidRDefault="00B744DC" w:rsidP="00B744DC">
      <w:pPr>
        <w:spacing w:after="0" w:line="276" w:lineRule="auto"/>
        <w:ind w:left="0" w:hanging="11"/>
        <w:jc w:val="center"/>
        <w:rPr>
          <w:b/>
          <w:szCs w:val="24"/>
        </w:rPr>
      </w:pPr>
      <w:r>
        <w:rPr>
          <w:b/>
        </w:rPr>
        <w:t>I. RÉSZ</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1. cikk</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Fogalommeghatározások</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E rendelet alkalmazásában: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w:t>
      </w:r>
      <w:r>
        <w:rPr>
          <w:i/>
          <w:color w:val="auto"/>
        </w:rPr>
        <w:t>a tagállamok audiovizuális médiaszolgáltatások nyújtására vonatkozó egyes törvényi, rendeleti vagy közigazgatási rendelkezéseinek összehangolásáról szóló 2010/13/EU irányelvnek a változó piaci körülményekre tekintettel való módosításáról szóló, 2018. november 14-i (EU) 2018/1808 európai parlamenti és tanácsi irányelvnek az egységes szerkezetbe foglalt törvény tekintetében történő végrehajtásáról</w:t>
      </w:r>
      <w:r>
        <w:rPr>
          <w:color w:val="auto"/>
        </w:rPr>
        <w:t>” szóló, 2021. november 8-i 208. sz. törvényerejű rendelet;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„törvényerejű rendelet”: „</w:t>
      </w:r>
      <w:r>
        <w:rPr>
          <w:i/>
          <w:color w:val="auto"/>
        </w:rPr>
        <w:t>a belső piacon az információs társadalommal összefüggő szolgáltatások, különösen az elektronikus kereskedelem, egyes jogi vonatkozásairól szóló 2000/31/EK irányelvet végrehajtó</w:t>
      </w:r>
      <w:r>
        <w:rPr>
          <w:color w:val="auto"/>
        </w:rPr>
        <w:t xml:space="preserve">”, 2003. április 9-i 70. sz. rendelet;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„szolgáltató”: az információs társadalommal összefüggő szolgáltatásokat nyújtó szolgáltató,</w:t>
      </w:r>
      <w:r>
        <w:t xml:space="preserve"> illetve </w:t>
      </w:r>
      <w:r>
        <w:rPr>
          <w:color w:val="auto"/>
        </w:rPr>
        <w:t>konkrétan a 2017. december 15-i 223. sz. törvényerejű rendelettel és annak későbbi módosításaival módosított, 1986. június 21-i 317. számú törvény 1. cikke (1) bekezdésének b) pontja szerinti, az információs társadalommal összefüggő szolgáltatásokat nyújtó természetes vagy jogi személy, illetve elismert szervezet;</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„videomegosztóplatform-szolgáltatás”: az Európai Unió működéséről szóló szerződés 56. és 57. cikkében meghatározott olyan szolgáltatás, amelynek, vagy amely egy elválasztható részének vagy egy alapvető funkciójának elsődleges célja, hogy tájékoztatás, szórakoztatás vagy oktatás céljából a 2002. július 12-i 2002/21/EK </w:t>
      </w:r>
      <w:r>
        <w:lastRenderedPageBreak/>
        <w:t>európai parlamenti és tanácsi irányelv 2. cikkének a) pontja értelmében vett elektronikus hírközlő hálózatokon keresztül olyan műsorszámokat, felhasználó által létrehozott videókat, vagy mindkettőt juttasson el a közönséghez, amelyekért a videómegosztó platform szolgáltatója nem tartozik szerkesztői felelősséggel, és amelyeket a videómegosztó platform szolgáltatója rendszerez például automatikus eszközökkel vagy algoritmusokkal, különösen megjelenítés, címkézés és sorba rendezés révén;</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„videomegosztóplatform-szolgáltató”: videómegosztóplatform-szolgáltatást nyújtó természetes vagy jogi személy;</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„műsorszám”: hangos vagy néma mozgóképek sorozata (az úgynevezett </w:t>
      </w:r>
      <w:r>
        <w:rPr>
          <w:i/>
          <w:color w:val="000000" w:themeColor="text1"/>
        </w:rPr>
        <w:t>gif</w:t>
      </w:r>
      <w:r>
        <w:rPr>
          <w:color w:val="000000" w:themeColor="text1"/>
        </w:rPr>
        <w:t>-ek kivételével), amely – hosszától függetlenül – egy médiaszolgáltató által kialakított műsorrendben vagy műsorkínálatban önálló egységet alkot, ideértve többek között az egész estés filmeket, a videóklipeket, a sporteseményeket, a szituációs komédiákat (sitcomok), a dokumentumfilmeket, a gyermekműsorokat és az eredeti drámákat;</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„felhasználó által létrehozott videó”: hangos vagy néma mozgóképek sorozata, amely – hosszától függetlenül – önálló egységet alkot, és amelyet egy felhasználó hoz létre és ugyanezen felhasználó vagy valamely másik felhasználó tölt fel a videómegosztó platformra;</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„audiovizuális kereskedelmi közlemény”: olyan hangos vagy néma képek, amelyek célja egy gazdasági tevékenységet folytató természetes vagy jogi személy árujának, szolgáltatásának vagy arculatának közvetlen vagy közvetett népszerűsítése; az ilyen képek fizetés vagy hasonló ellenszolgáltatás ellenében vagy önreklámozás céljából kísérnek egy műsorszámot vagy egy felhasználó által létrehozott videót, vagy szerepelnek abban. Az audiovizuális kereskedelmi közlemény formái közé tartozik többek között a televíziós reklám, a támogatás, televíziós promóciós műsor, a televíziós vásárlás és a termékmegjelenítés;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„fogyasztó”: minden olyan természetes személy, aki olyan célból jár el, amely kívül esik saját szakmája, üzleti tevékenysége vagy foglalkozása körén;</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„felhasználó”: az a természetes vagy jogi személy, aki vagy amely valamely videomegosztó platformra a TUSMA 3. cikke (1) bekezdésének g) és h) pontjában említett tartalmat tölt fel, nevezetesen a videomegosztó platformon keresztül elérhető tartalmat felhasználó természetes személy;</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„befektető”: az egységes szerkezetbe foglalt pénzügyi törvényről szóló, 1998. február 24-i 58. sz. törvényerejű rendelet szerinti lakossági ügyfél vagy lakossági befektető, vagyis az az ügyfél vagy befektető, aki nem szakmai ügyfél vagy szakmai befektető;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lastRenderedPageBreak/>
        <w:t>„hatóság”: a Hírközlési Szabályozó Hatóság;</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„testületi szerv”: a hatóság tanácsa;</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„igazgatóság” és „igazgató”: a hatóság Digitális Szolgáltatások Igazgatósága és a </w:t>
      </w:r>
      <w:r>
        <w:rPr>
          <w:i/>
          <w:color w:val="auto"/>
        </w:rPr>
        <w:t>pro-tempore</w:t>
      </w:r>
      <w:r>
        <w:rPr>
          <w:color w:val="auto"/>
        </w:rPr>
        <w:t xml:space="preserve"> (ideiglenes) igazgató;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„hivatal”: második szintű szervezeti egység;</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„illetékes nemzeti hatóság”: azon tagállam közigazgatási hatósága, amelyben a videomegosztó platform szolgáltatója letelepedett vagy letelepedettnek minősül, és amely hatáskörrel rendelkezik az e rendelet hatálya alá tartozó körülmények kezelésére;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„az eljárásért felelős személy”: az a vezető vagy tisztviselő, aki a hatóság szervezeti és működési szabályzatával összhangban felelős a vizsgálati tevékenységek és az e szabályzatban említett eljárással kapcsolatos bármely egyéb feladat elvégzéséért;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„elektronikus hírközlő hálózatok”: a 2018. december 11-i (EU) 2018/1972 európai parlamenti és tanácsi irányelv 2. cikkének 1. pontjában meghatározott hálózatok;</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„szankciórendelet”: a legutóbb a 697/20/CONS határozattal módosított és kiegészített 410/14/CONS határozat A. melléklete „</w:t>
      </w:r>
      <w:r>
        <w:rPr>
          <w:i/>
          <w:color w:val="auto"/>
        </w:rPr>
        <w:t>a közigazgatási szankciókról és kötelezettségvállalásokról szóló eljárási szabályzatról</w:t>
      </w:r>
      <w:r>
        <w:rPr>
          <w:color w:val="auto"/>
        </w:rPr>
        <w:t>”;</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„audiovizuális médiaszolgáltatásokról szóló irányelv”: a 2018. november 14-i (EU) 2018/1808 európai parlamenti és tanácsi irányelvvel módosított, a tagállamok audiovizuális médiaszolgáltatások nyújtására vonatkozó egyes törvényi, rendeleti vagy közigazgatási rendelkezéseinek összehangolásáról szóló, 2010. március 10-i 2010/13/EU európai parlamenti és tanácsi irányelv;</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az Európai Bizottság 2014. február 3-i C(2014) 462 határozatával létrehozott Audiovizuális Médiaszolgáltatásokat Szabályozó Hatóságok Európai Csoportja;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egyetértési megállapodás</w:t>
      </w:r>
      <w:r>
        <w:rPr>
          <w:color w:val="auto"/>
        </w:rPr>
        <w:t>”: az ERGA által 2020. december 3-án elfogadott dokumentum, amelynek célja a tagok közötti együttműködés és információcsere keretének létrehozása az audiovizuális médiaszolgáltatásokról szóló irányelv harmonizált alkalmazása céljából.</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I. FEJEZET</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Hatály</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2. cikk</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Általános alapelvek</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A TUSMA 41. cikkének (1), (2), (3), (4), (5) és (6) bekezdésében foglalt rendelkezések sérelme nélkül ez a rendelet – a 3. cikkben meghatározott kritériumoknak megfelelően – az olasz közönségnek szánt és egy másik tagállamban letelepedett szolgáltató által biztosított videomegosztó platformon keresztül közvetített műsorszámok, felhasználó által létrehozott videók és audiovizuális kereskedelmi közlemények szabad mozgásának hatósági rendelet útján történő korlátozására vonatkozó eljárást szabályozza.</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A hatóság meghozza az (1) bekezdésben említett intézkedéseket, amennyiben azok: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a 4. cikkben említett célokkal kapcsolatban szükségesek</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és</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e célokkal arányosak.</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3. cikk</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Szubjektív azonosítási kritériumok</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Annak megállapításához, hogy egy másik tagállamban letelepedett szolgáltató által közvetített műsorszám, felhasználó által létrehozott videó vagy audiovizuális kereskedelmi közlemény az olasz közönségnek szól-e, az alábbi kritériumok legalább egyikének teljesülnie kell:</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az olasz nyelvnek a műsorszámban, a felhasználó által létrehozott videóban, illetve az audiovizuális kereskedelmi közleményben való domináns használata, melyet az olasz jelnyelv használatával, a feliratozással és a hanggal összefüggésben kell értékelni;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az olasz nyelv használata a videomegosztóplatform-szolgáltatáson belül, amelyet az olasz nyelvű szöveges elemeknek a felhasználói felületen való megjelenésével, valamint az olasz nyelvet is magában foglaló többnyelvű funkció rendelkezésre állásával összefüggésben kell értékelni;</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egyedi havi felhasználók jelentős átlagos számban való elérése Olaszországban a videomegosztóplatform-szolgáltatáson keresztül, illetve a műsorszám, a felhasználó által létrehozott videó vagy a kereskedelmi közlemény révén, a teljes referenciaágazatot legnagyobb mértékben lefedő olyan szervezetek által szolgáltatott adatok alapján, amelyek szervezete – figyelembe véve a multimédiás konvergenciafolyamatokat is – megfelel a pártatlanság, az autonómia és a függetlenség elvének;</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lastRenderedPageBreak/>
        <w:t>a videomegosztóplatform-szolgáltató által realizált olaszországi bevételek, még akkor is, ha azt külföldi székhellyel rendelkező vállalatok pénzügyi kimutatásaiban számolják el.</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4. cikk</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A beavatkozás célja</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A TUSMA 41. cikkének (7) és (8) bekezdése értelmében a 2. cikk (1) bekezdésében említett videomegosztó platform által közvetített műsorszámok, felhasználó által létrehozott videók és audiovizuális kereskedelmi közlemények szabad mozgása hatósági határozat útján a következő célokból korlátozható:</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a TUSMA 38. cikkének (1) bekezdése értelmében a kiskorúak védelme olyan tartalmakkal szemben, amelyek hátrányosan befolyásolhatják a fizikai, értelmi, illetve erkölcsi fejlődésüket;</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a faji, szexuális, vallási vagy etnikai gyűlöletre való uszítás és az emberi méltóság megsértése elleni küzdelem;</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a TUSMA értelmében vett fogyasztóvédelem, beleértve a befektetőket is.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Az előző bekezdés alkalmazásában a hatóság köteles eljárni: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a 7. cikk (4) bekezdésének első mondatával összhangban azonnal és közvetlenül, ha az 5. cikkben említett előzetes vizsgálat végén megállapítást nyer, hogy a </w:t>
      </w:r>
      <w:r>
        <w:rPr>
          <w:i/>
          <w:color w:val="auto"/>
        </w:rPr>
        <w:t>törvényerejű rendelet</w:t>
      </w:r>
      <w:r>
        <w:rPr>
          <w:color w:val="auto"/>
        </w:rPr>
        <w:t xml:space="preserve"> 5. cikkének (4) bekezdése értelmében vett sürgős esetről van szó a felhasználók jogainak súlyos, közvetlen és helyrehozhatatlan sérelmét jelentő tények vagy körülmények felmerülésével kapcsolatban;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a 10. cikkben említett eljárásnak megfelelően, a 7. cikk (4) bekezdése második mondatának rendelkezéseivel összhangban azokban az esetekben, amikor nem az előző pont szerinti</w:t>
      </w:r>
      <w:r>
        <w:rPr>
          <w:rFonts w:asciiTheme="minorHAnsi" w:hAnsiTheme="minorHAnsi"/>
          <w:color w:val="auto"/>
          <w:sz w:val="22"/>
        </w:rPr>
        <w:t xml:space="preserve"> </w:t>
      </w:r>
      <w:r>
        <w:rPr>
          <w:color w:val="auto"/>
        </w:rPr>
        <w:t>sürgős esetről van szó.</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II. FEJEZET</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A korlátozó intézkedések elfogadására irányuló eljárás</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5. cikk</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Beavatkozási módszerek és vizsgálat előtti tevékenységek</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Az igazgatóság hivatalból vagy valamely fél bejelentése nyomán elvégzi a szükséges ellenőrzéseket annak megállapítása céljából, hogy előfordul-e olyan, az olasz közönségnek szóló tartalom, amely a 4. cikkben meghatározott céloknak nem felel meg.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Az igazgatóság minden szükséges elemet begyűjt, többek között ellenőrzések, </w:t>
      </w:r>
      <w:r>
        <w:rPr>
          <w:color w:val="auto"/>
        </w:rPr>
        <w:lastRenderedPageBreak/>
        <w:t>információkérések és dokumentumok, meghallgatások, tényfeltáró vizsgálatok és jelentések révén.</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A felügyeleti tevékenység ellátásához az igazgatóság a hatósággal kötött egyetértési megállapodásokkal összhangban igénybe veheti a pénzügyőrség árukkal és szolgáltatásokkal foglalkozó speciális csoportjának részét képező szerkesztői műsorszolgáltatási csoport, valamint az Állami Rendőrség részét képező postai és hírközlési rendőrség támogatását.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A vizsgálat előtti ellenőrzési tevékenységet – egyedi és kellően indokolt igények alapján – attól az időponttól számított tizenkét napon belül be kell fejezni, amikor az igazgatóság a tényekről tudomást szerzett.</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6. cikk</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A hatóságnak történő bejelentés</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Bárki bejelentheti a hatóságnak a 2. cikk (1) bekezdésében említett videomegosztó platformon keresztül közvetített műsorszámok, felhasználó által létrehozott videók és audiovizuális kereskedelmi közlemények terjesztését, amennyiben úgy ítéli meg, hogy a tartalom ellentétes a 4. cikkben meghatározott célokkal.</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Az (1) bekezdésben említett kérelmet – az elfogadhatatlanság terhe mellett – a hatóság honlapján közzétett minta felhasználásával, hiánytalanul kitöltve kell megküldeni, feltüntetve különösen a következőket:</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 bejelentő személy személyes adatai: név, vezetéknév, lakóhely vagy tartózkodási hely, illetve jogi személy esetében név, jogi képviselő és bejegyzett székhely;</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az érintett videomegosztóplatform</w:t>
      </w:r>
      <w:r>
        <w:rPr>
          <w:color w:val="auto"/>
          <w:u w:val="single"/>
        </w:rPr>
        <w:t>-</w:t>
      </w:r>
      <w:r>
        <w:rPr>
          <w:color w:val="auto"/>
        </w:rPr>
        <w:t>szolgáltató neve;</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az e rendelet értelmében jogellenesnek vélt tartalom, megadva minden, annak egyértelmű azonosításához szükséges lényeges elemet, és lehetőség szerint azt a személyt, aki azt a videomegosztó platformra feltöltötte;</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 bejelentett magatartás vizsgálatához szükséges bármely további funkcionális elem, a videomegosztó szolgáltatónak már megküldött bejelentések másolata és azok eredménye, valamint az érintettek közötti levelezés másolata;</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a kérelmet alátámasztó indokok és a tartalom terjesztése által vélhetően sérült érdek;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Amennyiben a bejelentés nem tartalmazza a fenti (2) bekezdésben említett elemeket, az igazgatóság hatásköreit gyakorolva minden esetben megindíthatja a vizsgálatot, ha a beérkezett dokumentumok összefoglaló vizsgálata alapján úgy tűnik, hogy a 9. cikkben említett intézkedés elfogadásának feltételei teljesülnek.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lastRenderedPageBreak/>
        <w:t>Nem indítható eljárás a hatóságnál akkor, ha az igazságügyi hatóság előtt ugyanazon tárgyban és ugyanazon felek között másik eljárás már folyamatban van.</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A beérkezett bejelentések a tárgy, a sérült érdek, illetve az érintett platform alapján csoportosíthatók, és azokat együttesen lehet kezelni.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7. cikk</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A vizsgálat előtti tevékenység eredménye</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Az igazgatóság az 5. cikk (4) bekezdésében említett időszakon belül gondoskodik azon kérelmek adminisztratív úton történő elutasítását, amelyek: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nem fogadhatók el a 6. cikk (2) bekezdésében meghatározott követelményeknek való meg nem felelés vagy az alapvető információk hiánya miatt;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nem fogadhatók el a 6. cikk (4) bekezdése alapján vagy az állítólagos jogsértés megszűnése okán;</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nem fogadhatók el, mivel nem tartoznak e rendelet hatálya alá;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egyértelműen megalapozatlanok, mivel egyértelműen hiányoznak a jogsértésnek minősülő ténybeli és jogi előfeltételek, többek között a hatóság hatásköre szempontjából.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Az igazgatóság értesíti a kérelmezőt az (1) bekezdés a), b), c) és d) pontja alapján történt elutasításokról.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Az igazgatóság háromhavonta tájékoztatja a testületi szervet a megindított, illetve lezárt eljárásokról.</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Az igazgató – miután megkapta az illetékes hivatal javaslatát, amely magában foglalja a tények pontos leírását és a 4. cikk (2) bekezdésének a) pontja szerinti sürgősség fennállásának értékelését – az (1) bekezdésben említett esetek sérelme nélkül, és amennyiben úgy ítéli meg, hogy a sürgősség valóban fennáll, az 5. cikk (4) bekezdésében említett határidőn belül megindítja a 8. cikk (1) bekezdése szerinti eljárást. Amennyiben az igazgató úgy ítéli meg, hogy nem áll fenn a 4. cikk (2) bekezdésének a) pontja értelmében vett sürgősség esete, és feltéve, hogy nem rendelkezik az (1) bekezdés szerinti elutasításról, az igazgató az 5. cikk (4) bekezdésében említett ugyanezen határidőn belül a testületi szervhez fordul a 10. cikk (1) bekezdésében említett, ebből következő határozatok ügyében, e célból külön jelentést készítve.</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8. cikk</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Az igazgatóság előtti vizsgálati eljárás</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Az igazgatóság értesíti </w:t>
      </w:r>
      <w:r>
        <w:rPr>
          <w:color w:val="000000" w:themeColor="text1"/>
        </w:rPr>
        <w:t xml:space="preserve">a videomegosztóplatform-szolgáltatót az eljárás </w:t>
      </w:r>
      <w:r>
        <w:rPr>
          <w:color w:val="000000" w:themeColor="text1"/>
        </w:rPr>
        <w:lastRenderedPageBreak/>
        <w:t>megindításáról az Olaszország esetében megjelölt kapcsolattartó ponton, ha van ilyen, vagy a bejegyzett székhelyén. Az eljárást az értesítéstől számított 30 napon belül le kell zárni, kivéve az egyedi és indokolt részletes vizsgálatok lefolytatását érintő, 15 napot meg nem haladó felfüggesztéseket.</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Az eljárás megindításáról szóló értesítésnek tartalmaznia kell a – vélhetőleg a 4. cikkben említett érdekekkel és célokkal ellentétes – műsorszám, felhasználó által létrehozott videó, illetve audiovizuális kereskedelmi közlemény azonosítását, a tényeknek és az elvégzett vizsgálatok eredményének az összefoglalását, az illetékes hivatal és az eljárásért felelős személy megjelölését, valamint a védekező beadványok benyújtásának és az értesítéssel megkezdődő eljárás lezárásának határidejét.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Az (1) bekezdésben említett értesítéssel az igazgatóság a videomegosztóplatform-szolgáltatót is tájékoztatja, amely az eljárás megkezdéséről szóló értesítéstől számított 5 napon belül önkéntesen kiigazításokat tehet, erről tájékoztatva az igazgatóságot, amely elrendeli az eljárás adminisztratív úton történő lezárását</w:t>
      </w:r>
      <w:r>
        <w:rPr>
          <w:rFonts w:asciiTheme="minorHAnsi" w:hAnsiTheme="minorHAnsi"/>
          <w:color w:val="auto"/>
          <w:sz w:val="22"/>
        </w:rPr>
        <w:t xml:space="preserve"> </w:t>
      </w:r>
      <w:r>
        <w:rPr>
          <w:color w:val="auto"/>
        </w:rPr>
        <w:t>a testületi szerv tájékoztatását követően, hacsak utóbbi másként nem rendelkezik. Ez utóbbi esetben az eljárás határideje 5 nappal meghosszabbodik.</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 (3) bekezdésben említett spontán kiigazítás esetét kivéve az igazgatóság a vizsgálat eredményét követően továbbítja a dokumentumokat a testületi szervnek, javaslatot téve az elutasításra, vagy a TUSMA 41. cikkének (7) bekezdésében említett intézkedések elfogadására.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Ha az eljárás során a kérelmező ugyanazon kérdésben az igazságügyi hatósághoz fordul, erről haladéktalanul tájékoztatja az igazgatóságot. Ebben az esetben az igazgató elrendeli az adminisztratív úton történő elutasítást.</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9. cikk</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Záró intézkedések</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A testületi szerv megszünteti az eljárást, ha úgy ítéli meg, hogy a 2. cikk (2) bekezdésében meghatározott feltételek nem teljesülnek.</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Amennyiben a 2. cikk (2) bekezdésében meghatározott feltételek teljesülnek, a testületi szerv utasítja a videomegosztóplatform-szolgáltatót, hogy tegyen meg minden intézkedést – beleértve az eltávolítást is –, amellyel megakadályozható, hogy az olasz közönség hozzáférjen a 4. cikkben meghatározott célokkal ellentétesnek bizonyuló tartalmakhoz. A rendelkezést haladéktalanul, de legkésőbb az értesítéstől számított 3 napon belül végre kell hajtani.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 xml:space="preserve">A (2) bekezdésben említett intézkedésekről és a sürgősségről haladéktalanul, de legkésőbb az értesítést követő 3 napon belül tájékoztatni kell az Európai Bizottságot és azon tagállam illetékes közigazgatási hatóságát, amelyben a szolgáltató </w:t>
      </w:r>
      <w:r>
        <w:rPr>
          <w:color w:val="auto"/>
        </w:rPr>
        <w:lastRenderedPageBreak/>
        <w:t>letelepedett, illetve letelepedettnek minősül.</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III. FEJEZET</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Az illetékes nemzeti hatóság felé történő bejelentésre irányuló eljárás</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10. cikk</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Az illetékes nemzeti hatóságnak történő bejelentés</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A testületi szerv – miután megvizsgálta a dokumentumokat és értékelte a 7. cikk (4) bekezdésének második mondata alapján benyújtott jelentést, kivéve, ha úgy ítéli meg, hogy teljesülnek az elutasítás feltételei, illetve sürgősség esetén a 8. cikk szerinti eljárás megindításának feltételei, – haladéktalanul továbbítja a dokumentumokat azon tagállam illetékes nemzeti hatóságának, amelyben a szolgáltató letelepedett, illetve letelepedettnek minősül, hogy az saját hatáskörében megtegye a megfelelő intézkedéseket a tagállamok közötti kapcsolódó együttműködési eljárások életbe léptetésével, többek között az </w:t>
      </w:r>
      <w:r>
        <w:rPr>
          <w:i/>
          <w:color w:val="auto"/>
        </w:rPr>
        <w:t>egyetértési megállapodás</w:t>
      </w:r>
      <w:r>
        <w:rPr>
          <w:color w:val="auto"/>
        </w:rPr>
        <w:t xml:space="preserve"> által biztosított releváns információk felhasználásával.</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Amennyiben az illetékes nemzeti hatóságtól az (1) bekezdésben említett dokumentumok továbbításától számított 7 napon belül vagy a kapcsolódó együttműködési eljárásokban előírt ettől eltérő határidőn belül nem érkezik értesítés, az igazgatóság tájékoztatja a testületi szervet, és a 8. cikknek megfelelően elrendeli az eljárás megindítását.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Abban az esetben, ha az illetékes nemzeti hatóság a (2) bekezdésben említett határidőn belül továbbította az elfogadott intézkedést, az igazgatóság megvizsgálja annak megfelelőségét, és erről külön jelentést készít, amelyet hét napon belül továbbít a testületi szervnek. Az előző mondatban említett jelentés javaslatot tartalmaz a felhasználók érdekeinek védelme, illetve a 8. cikk szerinti eljárás megindítása érdekében az illetékes nemzeti hatóság által hozott intézkedés megfelelőségének</w:t>
      </w:r>
      <w:r>
        <w:rPr>
          <w:rFonts w:asciiTheme="minorHAnsi" w:hAnsiTheme="minorHAnsi"/>
          <w:color w:val="auto"/>
          <w:sz w:val="22"/>
        </w:rPr>
        <w:t xml:space="preserve"> </w:t>
      </w:r>
      <w:r>
        <w:rPr>
          <w:color w:val="auto"/>
        </w:rPr>
        <w:t xml:space="preserve">értékelésére vonatkozóan.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A testületi szerv – miután megvizsgálta a jelentést és értékelte a (3) bekezdésben említett javaslatot –, amennyiben nem csupán tudomásul veszi az intézkedés illetékes nemzeti hatóság általi elfogadását, elrendeli az eljárás megindítását, amelynek záróokmányát– amennyiben az a rendelet 9. cikkének (2) bekezdése szerinti határozatból áll – elfogadás előtt közölni kell az Európai Bizottsággal és az illetékes nemzeti hatósággal.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II. RÉSZ</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Záró rendelkezések</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11. cikk</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lastRenderedPageBreak/>
        <w:t>Határidők</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Az e rendeletben említett határidők kiszámításakor csak a munkanapok veendők figyelembe.</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12. cikk</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Utaló rendelkezések</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Azon esetekre, melyekről e rendelet kifejezetten nem rendelkezik, a szankciórendelet alkalmazandó.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13. cikk</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Felülvizsgálati záradék</w:t>
      </w:r>
    </w:p>
    <w:p w14:paraId="0FF2692B" w14:textId="2A4752D9" w:rsidR="00B744DC" w:rsidRDefault="00B744DC" w:rsidP="00337343">
      <w:pPr>
        <w:spacing w:after="160" w:line="259" w:lineRule="auto"/>
        <w:ind w:left="0" w:firstLine="0"/>
        <w:rPr>
          <w:b/>
          <w:color w:val="auto"/>
          <w:szCs w:val="24"/>
        </w:rPr>
      </w:pPr>
      <w:r>
        <w:rPr>
          <w:color w:val="auto"/>
        </w:rPr>
        <w:t>1. A hatóságnak az érintett érdekelt felek meghallgatását követően jogában áll e rendeletet a végrehajtása során szerzett tapasztalatok alapján, valamint a technológiai innováció és a piaci fejlemények fényében felülvizsgálni.</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 melléklet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a 76/23/CONS sz. határozathoz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KONZULTÁCIÓS ELJÁRÁSOK</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A hatóság nyilvános konzultáció útján kíván információkat és észrevételeket gyűjteni </w:t>
      </w:r>
      <w:r>
        <w:rPr>
          <w:i/>
          <w:color w:val="auto"/>
        </w:rPr>
        <w:t xml:space="preserve">„az </w:t>
      </w:r>
      <w:r>
        <w:rPr>
          <w:i/>
        </w:rPr>
        <w:t>olasz közönségnek szánt és egy másik tagállamban letelepedett szolgáltató által biztosított platformon keresztül közvetített műsorszámokról, felhasználó által létrehozott videókról és audiovizuális kereskedelmi közleményekről szóló, 2021. november 8-i 208. számú törvényerejű rendelet 41. cikke (9) bekezdésének végrehajtásáról szóló rendelettervezettel”</w:t>
      </w:r>
      <w:r>
        <w:rPr>
          <w:color w:val="auto"/>
        </w:rPr>
        <w:t xml:space="preserve"> kapcsolatban (lásd a 76/23/CONS sz. határozat A. mellékletét).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Minden érdekelt felet felkér arra, hogy a 76/23/CONS határozatnak a hatóság </w:t>
      </w:r>
      <w:hyperlink r:id="rId11">
        <w:r>
          <w:rPr>
            <w:color w:val="0563C1"/>
            <w:u w:val="single"/>
          </w:rPr>
          <w:t>www.agcom.it</w:t>
        </w:r>
      </w:hyperlink>
      <w:r>
        <w:rPr>
          <w:color w:val="auto"/>
        </w:rPr>
        <w:t xml:space="preserve"> </w:t>
      </w:r>
      <w:r>
        <w:rPr>
          <w:i/>
          <w:color w:val="auto"/>
        </w:rPr>
        <w:t xml:space="preserve">honlapján </w:t>
      </w:r>
      <w:r>
        <w:rPr>
          <w:color w:val="auto"/>
        </w:rPr>
        <w:t xml:space="preserve">történő közzétételétől számított kötelezően </w:t>
      </w:r>
      <w:r>
        <w:rPr>
          <w:b/>
          <w:color w:val="auto"/>
        </w:rPr>
        <w:t xml:space="preserve">harminc (30) napos </w:t>
      </w:r>
      <w:r>
        <w:rPr>
          <w:color w:val="auto"/>
        </w:rPr>
        <w:t>határidőn belül küldjék meg észrevételeiket a konzultáció keretében.</w:t>
      </w:r>
    </w:p>
    <w:p w14:paraId="6CEBF103" w14:textId="77777777" w:rsidR="006500C1" w:rsidRPr="006500C1" w:rsidRDefault="006500C1" w:rsidP="006500C1">
      <w:pPr>
        <w:spacing w:after="240" w:line="276" w:lineRule="auto"/>
        <w:ind w:left="0" w:hanging="11"/>
        <w:rPr>
          <w:color w:val="auto"/>
          <w:sz w:val="23"/>
          <w:szCs w:val="23"/>
        </w:rPr>
      </w:pPr>
      <w:r>
        <w:rPr>
          <w:color w:val="auto"/>
        </w:rPr>
        <w:t>A rendelet módosítására a cikkek módosításának formájában lehet javaslatot tenni, a válaszadó érdekkörébe tartozó szempontok rövid indoklásával és a konzultáció szempontjából fontos egyéb elemekkel együtt.</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A nyilvános konzultációval kapcsolatos közleményeket hitelesített e-mail útján kell megküldeni az </w:t>
      </w:r>
      <w:hyperlink r:id="rId12">
        <w:r>
          <w:rPr>
            <w:color w:val="0563C1"/>
            <w:u w:val="single"/>
          </w:rPr>
          <w:t>agcom@cert.agcom.it</w:t>
        </w:r>
      </w:hyperlink>
      <w:r>
        <w:rPr>
          <w:color w:val="auto"/>
        </w:rPr>
        <w:t xml:space="preserve"> címre, Francesco Di Giorgi ügyvéd részére, illetve tértivevényes ajánlott levélben, futárszolgálattal vagy személyesen kézbesített ajánlott levélben, a tárgyban </w:t>
      </w:r>
      <w:r>
        <w:rPr>
          <w:i/>
          <w:color w:val="auto"/>
        </w:rPr>
        <w:t>„Az érintett személy neve –</w:t>
      </w:r>
      <w:r>
        <w:rPr>
          <w:color w:val="auto"/>
        </w:rPr>
        <w:t xml:space="preserve"> </w:t>
      </w:r>
      <w:r>
        <w:rPr>
          <w:i/>
          <w:color w:val="auto"/>
        </w:rPr>
        <w:t>A 76/23/CONS határozat szerinti nyilvános konzultáció</w:t>
      </w:r>
      <w:r>
        <w:rPr>
          <w:color w:val="auto"/>
        </w:rPr>
        <w:t xml:space="preserve">” szöveget feltüntetve, a következő címre: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Hírközlési Szabályozó Hatóság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Digitális Szolgáltatások Igazgatósága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az eljárásért felelős személy figyelmébe </w:t>
      </w:r>
    </w:p>
    <w:p w14:paraId="2DA92BEE" w14:textId="77777777" w:rsidR="006500C1" w:rsidRPr="008C361D" w:rsidRDefault="006500C1" w:rsidP="006500C1">
      <w:pPr>
        <w:spacing w:after="0" w:line="276" w:lineRule="auto"/>
        <w:ind w:left="0" w:hanging="11"/>
        <w:rPr>
          <w:i/>
          <w:iCs/>
          <w:color w:val="auto"/>
          <w:szCs w:val="24"/>
        </w:rPr>
      </w:pPr>
      <w:r>
        <w:rPr>
          <w:i/>
          <w:color w:val="auto"/>
        </w:rPr>
        <w:t>Francesco Di Giorgi úr</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Róma</w:t>
      </w:r>
    </w:p>
    <w:p w14:paraId="1852BA6A" w14:textId="77777777" w:rsidR="006500C1" w:rsidRPr="006500C1" w:rsidRDefault="006500C1" w:rsidP="006500C1">
      <w:pPr>
        <w:spacing w:after="240" w:line="276" w:lineRule="auto"/>
        <w:ind w:left="0" w:hanging="11"/>
        <w:rPr>
          <w:color w:val="auto"/>
          <w:szCs w:val="24"/>
        </w:rPr>
      </w:pPr>
      <w:r>
        <w:rPr>
          <w:color w:val="auto"/>
        </w:rPr>
        <w:t>Az érdekelt felek a korábban megküldött írásbeli dokumentum alapján külön kérelemben kérhetik, hogy észrevételeiket a meghallgatás során tegyék közzé. Az említett kérelemnek a 76/23/CONS határozatnak a hatóság</w:t>
      </w:r>
      <w:r>
        <w:t xml:space="preserve"> </w:t>
      </w:r>
      <w:r>
        <w:rPr>
          <w:i/>
        </w:rPr>
        <w:t>honlapján</w:t>
      </w:r>
      <w:r>
        <w:t xml:space="preserve"> </w:t>
      </w:r>
      <w:r>
        <w:rPr>
          <w:color w:val="auto"/>
        </w:rPr>
        <w:t xml:space="preserve">való közzétételétől számított </w:t>
      </w:r>
      <w:r>
        <w:rPr>
          <w:b/>
          <w:color w:val="auto"/>
        </w:rPr>
        <w:t xml:space="preserve">harminc </w:t>
      </w:r>
      <w:r>
        <w:rPr>
          <w:b/>
          <w:color w:val="auto"/>
        </w:rPr>
        <w:lastRenderedPageBreak/>
        <w:t>(30) napon</w:t>
      </w:r>
      <w:r>
        <w:rPr>
          <w:color w:val="auto"/>
        </w:rPr>
        <w:t xml:space="preserve"> belül el kell jutnia a hatósághoz a fenti címekre, illetve a </w:t>
      </w:r>
      <w:hyperlink r:id="rId13" w:history="1">
        <w:r>
          <w:rPr>
            <w:color w:val="0563C1"/>
            <w:u w:val="single"/>
          </w:rPr>
          <w:t>segreteria.dsdi@agcom.it</w:t>
        </w:r>
      </w:hyperlink>
      <w:r>
        <w:rPr>
          <w:color w:val="auto"/>
        </w:rPr>
        <w:t xml:space="preserve"> e-mail-címre. Ugyanezen kérelemben meg kell adni a kapcsolattartó személyét, a telefonos elérhetőséget és az </w:t>
      </w:r>
      <w:r>
        <w:rPr>
          <w:i/>
          <w:color w:val="auto"/>
        </w:rPr>
        <w:t>e-mail-címet</w:t>
      </w:r>
      <w:r>
        <w:rPr>
          <w:color w:val="auto"/>
        </w:rPr>
        <w:t xml:space="preserve"> a későbbi közlemények továbbítása végett.</w:t>
      </w:r>
    </w:p>
    <w:p w14:paraId="38C62D3B" w14:textId="77777777" w:rsidR="006500C1" w:rsidRPr="006500C1" w:rsidRDefault="006500C1" w:rsidP="006500C1">
      <w:pPr>
        <w:spacing w:after="240" w:line="276" w:lineRule="auto"/>
        <w:ind w:left="0" w:hanging="11"/>
        <w:rPr>
          <w:color w:val="auto"/>
          <w:szCs w:val="24"/>
        </w:rPr>
      </w:pPr>
      <w:r>
        <w:rPr>
          <w:color w:val="auto"/>
        </w:rPr>
        <w:t xml:space="preserve">A konzultációban érintett azon résztvevőknek, akik kizárják a hozzáférést az észrevételekkel együtt továbbított egyes dokumentációs elemekhez, a benyújtott dokumentációhoz csatolniuk kell a 383/17/CONS sz. határozattal jóváhagyott, a hozzáférésről szóló rendelet 16. cikkében említett nyilatkozatot, amely tartalmazza azon dokumentumok vagy dokumentumrészek megjelölését, amelyek esetében kizárják a hozzáférést, valamint a bizalmas kezelés, illetve a titoktartás konkrét, a kérelmet alátámasztó okait a dokumentum minden egyes része tekintetében.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A konzultáció során a résztvevőktől érkező közlemények nem alapozhatnak meg semmilyen jogcímet, feltételt vagy kötelezettséget a hatóság későbbi határozataival kapcsolatban. </w:t>
      </w:r>
    </w:p>
    <w:p w14:paraId="1D33F215" w14:textId="77777777" w:rsidR="006500C1" w:rsidRPr="006500C1" w:rsidRDefault="006500C1" w:rsidP="006500C1">
      <w:pPr>
        <w:spacing w:after="360" w:line="276" w:lineRule="auto"/>
        <w:ind w:left="0" w:hanging="11"/>
        <w:rPr>
          <w:color w:val="auto"/>
          <w:szCs w:val="24"/>
        </w:rPr>
      </w:pPr>
      <w:r>
        <w:rPr>
          <w:color w:val="auto"/>
        </w:rPr>
        <w:t>A hatóság fenntartja magának a jogot, hogy a honlapján a www.agcom.it címen közzétegye a beérkezett észrevételeket és dokumentumokat, akár nem anonim formában is, figyelembe véve a hozzáférhetőség jelzett mértékét.</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C. melléklet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a 76/23/CONS sz. határozathoz</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A 125/16/CONS SZ. HATÁROZAT SZERINTI SZABÁLYOZÁSI HATÁSVIZSGÁLAT ALKALMAZÁSA</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A 125/16/CONS határozat értelmében a hatóság szabályozási hatásvizsgálatot kíván alkalmazni az A. mellékletben említett rendeletre. A 211/21/CONS határozatban elfogadott, a szabályozási hatásvizsgálatra vonatkozó iránymutatások fényében elsősorban egyszerűsített szabályozási hatásvizsgálatra kerül sor; az elemzés a beavatkozási lehetőségek értékelésére összpontosít, amelyek jelen esetben lényegében végrehajtási lehetőségek, az intézkedés indokolására hagyva a szabályozási hatásvizsgálat többi alkotóelemének vizsgálatát: ezek közé tartozik a kontextus vizsgálata, a probléma meghatározása és a címzettek azonosítása.</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Úgy kell tekinteni, hogy az A. mellékletben említett rendelet elfogadását a 208/2021. sz. törvényerejű rendelet írja elő, amely a 41. cikk (9) bekezdésében megállapítja, hogy </w:t>
      </w:r>
      <w:r>
        <w:rPr>
          <w:i/>
          <w:color w:val="auto"/>
        </w:rPr>
        <w:t>„A (7) bekezdésben említett intézkedések elfogadására vonatkozó eljárást a hatóság saját rendelete útján határozza meg.”</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E tekintetben a szabály korlátozott mérlegelési jogkört biztosít a hatóság számára a makroszintű beavatkozási lehetőségek megválasztása terén, mivel beavatkozás nélküli lehetőség nem határozható meg, valamint felsorolja azokat a minimumkövetelményeket, amelyeket figyelembe kell venni ahhoz, hogy a tartalmat az olasz közönségnek szóló tartalomként lehessen értékelni.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Ezenkívül a rendelet rendelkezéseinek újszerűsége és alkalmazásának esetleges összetettsége meglehetősen megnehezíti a várható hatásokra is kiterjedő </w:t>
      </w:r>
      <w:r>
        <w:rPr>
          <w:i/>
          <w:color w:val="auto"/>
        </w:rPr>
        <w:t>előzetes</w:t>
      </w:r>
      <w:r>
        <w:rPr>
          <w:color w:val="auto"/>
        </w:rPr>
        <w:t xml:space="preserve"> értékelés elvégzését. Következésképpen a hatóság a rendelet elfogadását követően tervet kíván kidolgozni az elért eredmények nyomon követésére, amelynek célja további információk beszerzése az alkalmazás során.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Jogi keret</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A 2021. november 8-i 208. sz. törvényerejű rendelet és különösen a 41. cikk (7), (8) és (9) bekezdése.</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A beavatkozás okai</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lastRenderedPageBreak/>
        <w:t xml:space="preserve">A 125/16/CONS határozat értelmében a hatóság szabályozási hatásvizsgálatot kíván alkalmazni az A. mellékletben említett rendeletre.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Ez az értékelés a 211/21/CONS határozatban elfogadott, a szabályozási hatásvizsgálatra vonatkozó iránymutatásra tekintettel egyszerűsített formában történik, mivel a rendelet elfogadásáról a 208/2021. sz. törvényerejű rendelet 41. cikkének (9) bekezdése rendelkezik, amely előírja, hogy a hatóság külön rendeletben állapítja meg az olasz közönségnek szánt és egy másik tagállamban letelepedett szolgáltató által biztosított videomegosztó platformon keresztül közvetített műsorszámok, felhasználó által létrehozott videók és audiovizuális kereskedelmi közlemények szabad mozgásának korlátozására irányuló intézkedések elfogadására vonatkozó eljárást.</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Ezért a szabály korlátozott mérlegelési jogkört biztosít a hatóság számára a makroszintű beavatkozási lehetőségek megválasztása terén, mivel beavatkozás nélküli lehetőség nem határozható meg.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Beavatkozási terület</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A kötelezettségek közvetlen címzettjei: más tagállamban letelepedett olyan videomegosztó platformok szolgáltatói, amelyek tartalma az olasz közönségnek szól.</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Közvetett címzettek: hatóságok, a videomegosztóplatform-szolgáltatások felhasználói, a 208/2021. sz. törvényerejű rendelet 41. cikke (7) bekezdésének a), b) és c) pontjában említett alapvető jogok védelmével foglalkozó szervezetek.</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Célkitűzések és mutatók:</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Elsősorban a kiskorúak védelme, az emberi méltóság védelme, a gyűlöletbeszéd elleni küzdelem, a fogyasztók védelme.</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Azon kritériumok meghatározása, amelyek alapján feltételezhető, hogy adott tartalom az olasz közönségnek szól.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Azon sürgős esetek meghatározása, amelyeknél a hatóság intézkedéseket hozhat az olasz közönségnek szánt és egy más tagállamban letelepedett szolgáltató által biztosított videomegosztó platform által közvetített műsorszámok, felhasználó által létrehozott videók és audiovizuális kereskedelmi közlemények szabad mozgásának korlátozására.</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Alternatív választási lehetőségek meghatározása</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nulladik opció: nincs szabályozási intézkedés;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1. opció: a 208/2021. sz. törvényerejű rendelet 41. cikke (7), (8) és (9) bekezdésének végrehajtása, valamint a kiskorúak védelme, a gyűlöletbeszéd elleni küzdelem és a fogyasztók védelme céljából az olasz közönségnek szánt és egy másik tagállamban </w:t>
      </w:r>
      <w:r>
        <w:rPr>
          <w:color w:val="auto"/>
        </w:rPr>
        <w:lastRenderedPageBreak/>
        <w:t>letelepedett szolgáltató által biztosított videomegosztó platformon keresztül közvetített műsorszámok, felhasználó által létrehozott videók és audiovizuális kereskedelmi közlemények terjesztésének korlátozására vonatkozó eljárás meghatározása.</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Az előnyben részesített választási lehetőség meghatározása és a választás indokolása</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A szabályozási beavatkozási lehetőségeket az elsődleges jogszabály korlátozza, és a nulladik opció nem megvalósítható.</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A szabályozói tevékenységről ebben az esetben az elsődleges jogszabály rendelkezik, és a hatóság szabályozza a műsorszámok, felhasználó által létrehozott videók és audiovizuális kereskedelmi közlemények terjesztésének korlátozására irányuló intézkedések elfogadására vonatkozó eljárást, meghatározva az elsődleges jogszabály alkalmazásának tárgyi és személyi hatályát.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A rendeleti intézkedés elfogadására tehát a 208/2021. sz. törvényerejű rendelet 41. cikke (7), (8) és (9) bekezdésének végrehajtása céljából kerül sor.</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940F43">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HÍRKÖZLÉSI </w:t>
                          </w:r>
                          <w:r>
                            <w:rPr>
                              <w:rFonts w:ascii="Arial" w:hAnsi="Arial"/>
                              <w:color w:val="auto"/>
                              <w:shd w:val="clear" w:color="auto" w:fill="FFFFFF"/>
                            </w:rPr>
                            <w:t>SZABÁLYOZÓ</w:t>
                          </w:r>
                          <w:r>
                            <w:rPr>
                              <w:rFonts w:ascii="Arial" w:hAnsi="Arial"/>
                              <w:i/>
                              <w:color w:val="auto"/>
                              <w:shd w:val="clear" w:color="auto" w:fill="FFFFFF"/>
                            </w:rPr>
                            <w:t xml:space="preserve"> </w:t>
                          </w:r>
                          <w:r>
                            <w:rPr>
                              <w:rFonts w:ascii="Arial" w:hAnsi="Arial"/>
                              <w:color w:val="auto"/>
                              <w:shd w:val="clear" w:color="auto" w:fill="FFFFFF"/>
                            </w:rPr>
                            <w:t>HATÓSÁG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HÍRKÖZLÉSI </w:t>
                    </w:r>
                    <w:r>
                      <w:rPr>
                        <w:color w:val="auto"/>
                        <w:shd w:val="clear" w:color="auto" w:fill="FFFFFF"/>
                        <w:rFonts w:ascii="Arial" w:hAnsi="Arial"/>
                      </w:rPr>
                      <w:t xml:space="preserve">SZABÁLYOZÓ</w:t>
                    </w:r>
                    <w:r>
                      <w:rPr>
                        <w:color w:val="auto"/>
                        <w:shd w:val="clear" w:color="auto" w:fill="FFFFFF"/>
                        <w:i/>
                        <w:rFonts w:ascii="Arial" w:hAnsi="Arial"/>
                      </w:rPr>
                      <w:t xml:space="preserve"> </w:t>
                    </w:r>
                    <w:r>
                      <w:rPr>
                        <w:color w:val="auto"/>
                        <w:shd w:val="clear" w:color="auto" w:fill="FFFFFF"/>
                        <w:rFonts w:ascii="Arial" w:hAnsi="Arial"/>
                      </w:rPr>
                      <w:t xml:space="preserve">HATÓSÁG</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HÍRKÖZLÉSI </w:t>
                          </w:r>
                          <w:r>
                            <w:rPr>
                              <w:rFonts w:ascii="Arial" w:hAnsi="Arial"/>
                              <w:color w:val="auto"/>
                              <w:shd w:val="clear" w:color="auto" w:fill="FFFFFF"/>
                            </w:rPr>
                            <w:t>SZABÁLYOZÓ</w:t>
                          </w:r>
                          <w:r>
                            <w:rPr>
                              <w:rFonts w:ascii="Arial" w:hAnsi="Arial"/>
                              <w:i/>
                              <w:color w:val="auto"/>
                              <w:shd w:val="clear" w:color="auto" w:fill="FFFFFF"/>
                            </w:rPr>
                            <w:t xml:space="preserve"> </w:t>
                          </w:r>
                          <w:r>
                            <w:rPr>
                              <w:rFonts w:ascii="Arial" w:hAnsi="Arial"/>
                              <w:color w:val="auto"/>
                              <w:shd w:val="clear" w:color="auto" w:fill="FFFFFF"/>
                            </w:rPr>
                            <w:t>HATÓSÁG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HÍRKÖZLÉSI </w:t>
                    </w:r>
                    <w:r>
                      <w:rPr>
                        <w:color w:val="auto"/>
                        <w:shd w:val="clear" w:color="auto" w:fill="FFFFFF"/>
                        <w:rFonts w:ascii="Arial" w:hAnsi="Arial"/>
                      </w:rPr>
                      <w:t xml:space="preserve">SZABÁLYOZÓ</w:t>
                    </w:r>
                    <w:r>
                      <w:rPr>
                        <w:color w:val="auto"/>
                        <w:shd w:val="clear" w:color="auto" w:fill="FFFFFF"/>
                        <w:i/>
                        <w:rFonts w:ascii="Arial" w:hAnsi="Arial"/>
                      </w:rPr>
                      <w:t xml:space="preserve"> </w:t>
                    </w:r>
                    <w:r>
                      <w:rPr>
                        <w:color w:val="auto"/>
                        <w:shd w:val="clear" w:color="auto" w:fill="FFFFFF"/>
                        <w:rFonts w:ascii="Arial" w:hAnsi="Arial"/>
                      </w:rPr>
                      <w:t xml:space="preserve">HATÓSÁG</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43"/>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8116</Words>
  <Characters>46266</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