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UZNESENIE Č. 76/23/CONS</w:t>
      </w:r>
    </w:p>
    <w:p w14:paraId="77FB2A48" w14:textId="78437799" w:rsidR="00FD236D" w:rsidRPr="00FD236D" w:rsidRDefault="00437A11" w:rsidP="00370FBB">
      <w:pPr>
        <w:spacing w:after="360" w:line="240" w:lineRule="auto"/>
        <w:ind w:left="0" w:hanging="11"/>
        <w:jc w:val="center"/>
        <w:rPr>
          <w:b/>
          <w:szCs w:val="24"/>
        </w:rPr>
      </w:pPr>
      <w:r>
        <w:rPr>
          <w:b/>
        </w:rPr>
        <w:t xml:space="preserve">ZAČATIE VEREJNEJ KONZULTÁCIE O NÁVRHU NARIADENIA, KTORÝM SA VYKONÁVA ČLÁNOK 41 ODS. 9 LEGISLATÍVNEHO DEKRÉTU Č. 208 Z 8. NOVEMBRA 2021 O PROGRAMOCH, VIDEÁCH VYTVORENÝCH POUŽÍVATEĽMI ALEBO AUDIOVIZUÁLNYCH KOMERČNÝCH OZNÁMENIACH URČENÝCH TALIANSKEJ VEREJNOSTI A ŠÍRENÝCH PLATFORMOU NA ZDIEĽANIE VIDEÍ, KTOREJ DODÁVATEĽ MÁ SÍDLO V INOM ČLENSKOM ŠTÁTE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ÚRAD</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t>NA</w:t>
      </w:r>
      <w:r>
        <w:rPr>
          <w:sz w:val="22"/>
        </w:rPr>
        <w:t xml:space="preserve"> </w:t>
      </w:r>
      <w:r>
        <w:rPr>
          <w:sz w:val="24"/>
        </w:rPr>
        <w:t>zasadnutí Rady 16. marca 2023,</w:t>
      </w:r>
    </w:p>
    <w:p w14:paraId="1885E2F1" w14:textId="766E5BE1" w:rsidR="00964E0E" w:rsidRDefault="00964E0E" w:rsidP="00370FBB">
      <w:pPr>
        <w:spacing w:after="240" w:line="240" w:lineRule="auto"/>
        <w:ind w:left="0" w:right="23" w:firstLine="567"/>
        <w:rPr>
          <w:szCs w:val="24"/>
        </w:rPr>
      </w:pPr>
      <w:r>
        <w:t>SO ZRETEĽOM NA zákon č. 481 zo 14. novembra 1995 o „</w:t>
      </w:r>
      <w:r>
        <w:rPr>
          <w:i/>
        </w:rPr>
        <w:t>Pravidlách týkajúcich sa hospodárskej súťaže a regulácie verejnoprospešných služieb. Zriadenie regulačných úradov pre verejnoprospešné služby</w:t>
      </w:r>
      <w:r>
        <w:t>“,</w:t>
      </w:r>
    </w:p>
    <w:p w14:paraId="469C504D" w14:textId="02C7C11A" w:rsidR="00F166C6" w:rsidRPr="00F57A7D" w:rsidRDefault="00D33E49" w:rsidP="00370FBB">
      <w:pPr>
        <w:spacing w:after="240" w:line="240" w:lineRule="auto"/>
        <w:ind w:left="0" w:right="23" w:firstLine="567"/>
        <w:rPr>
          <w:szCs w:val="24"/>
        </w:rPr>
      </w:pPr>
      <w:r>
        <w:t>SO ZRETEĽOM NA zákon č. 249 z 31. júla 1997 o „</w:t>
      </w:r>
      <w:r>
        <w:rPr>
          <w:i/>
        </w:rPr>
        <w:t>Zriadení Úradu pre reguláciu komunikácií a o ustanovení pravidiel týkajúcich sa telekomunikačných a rádiotelevíznych systémov</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SO ZRETEĽOM NA legislatívny dekrét č. 70 z 9. apríla 2003 o „</w:t>
      </w:r>
      <w:r>
        <w:rPr>
          <w:i/>
        </w:rPr>
        <w:t>Vykonávaní smernice 2000/31/ES o určitých právnych aspektoch služieb informačnej spoločnosti na vnútornom trhu, najmä o elektronickom obchode“</w:t>
      </w:r>
      <w:r>
        <w:t xml:space="preserve"> a najmä na jeho články 5, 14, 15, 16 a 17,</w:t>
      </w:r>
    </w:p>
    <w:p w14:paraId="54A663C1" w14:textId="0E8FB7E0" w:rsidR="001219A2" w:rsidRDefault="001219A2" w:rsidP="00370FBB">
      <w:pPr>
        <w:spacing w:before="240" w:after="240" w:line="240" w:lineRule="auto"/>
        <w:ind w:left="0" w:right="-1" w:firstLine="567"/>
      </w:pPr>
      <w:r>
        <w:t xml:space="preserve">SO ZRETEĽOM NA smernicu Európskeho parlamentu a Rady (EÚ) 2018/1808 zo 14. novembra 2018, </w:t>
      </w:r>
      <w:r>
        <w:rPr>
          <w:i/>
        </w:rPr>
        <w:t>ktorou sa mení smernica 2010/13/EÚ o koordinácii niektorých ustanovení upravených zákonom, iným právnym predpisom alebo správnym opatrením v členských štátoch týkajúcich sa poskytovania audiovizuálnych mediálnych služieb (smernica o audiovizuálnych mediálnych službách) s ohľadom na meniace sa podmienky na trhu,</w:t>
      </w:r>
    </w:p>
    <w:p w14:paraId="34FE704A" w14:textId="308D16E7" w:rsidR="00CA2F18" w:rsidRDefault="00CA2F18" w:rsidP="00370FBB">
      <w:pPr>
        <w:spacing w:before="240" w:after="240" w:line="240" w:lineRule="auto"/>
        <w:ind w:left="0" w:right="-1" w:firstLine="567"/>
      </w:pPr>
      <w:r>
        <w:t>SO ZRETEĽOM najmä na odôvodnenie 10 smernice (EÚ) 2018/1808, podľa ktorého „</w:t>
      </w:r>
      <w:r>
        <w:rPr>
          <w:i/>
        </w:rPr>
        <w:t xml:space="preserve">V súlade s judikatúrou Súdneho dvora Európskej únie (ďalej len „súdny dvor“) možno obmedziť slobodu poskytovať služby, ktorá sa zaručuje podľa zmluvy, v prípade závažných dôvodov týkajúcich sa všeobecného verejného záujmu, ako je napríklad dosiahnutie vysokej úrovne ochrany spotrebiteľa, za predpokladu, že takéto obmedzenia sú odôvodnené, primerané a nevyhnutné. Členský štát by preto mal mať možnosť prijať určité opatrenia na zabezpečenie dodržiavania pravidiel ochrany spotrebiteľa, ktoré nepatria do oblastí koordinovaných smernicou 2010/13/EÚ. Opatrenia, ktoré prijal </w:t>
      </w:r>
      <w:r>
        <w:rPr>
          <w:i/>
        </w:rPr>
        <w:lastRenderedPageBreak/>
        <w:t>členský štát na presadenie svojho vnútroštátneho režimu ochrany spotrebiteľa, a to aj vo vzťahu k reklame na hazardné hry, by museli byť odôvodnené, primerané sledovanému cieľu a nevyhnutné, ako sa vyžaduje podľa judikatúry súdneho dvora. Prijímajúci členský štát nesmie v žiadnom prípade prijať žiadne opatrenia, ktorými by sa na jeho území mohlo brániť retransmisii televízneho vysielania pochádzajúceho z iného členského štátu</w:t>
      </w:r>
      <w:r>
        <w:t>“.</w:t>
      </w:r>
    </w:p>
    <w:p w14:paraId="2E3811D7" w14:textId="4CE4E510" w:rsidR="005D47B3" w:rsidRPr="00677735" w:rsidRDefault="005D47B3" w:rsidP="00370FBB">
      <w:pPr>
        <w:spacing w:before="240" w:after="240" w:line="240" w:lineRule="auto"/>
        <w:ind w:left="0" w:firstLine="567"/>
        <w:rPr>
          <w:color w:val="auto"/>
        </w:rPr>
      </w:pPr>
      <w:r>
        <w:rPr>
          <w:color w:val="auto"/>
        </w:rPr>
        <w:t>SO ZRETEĽOM NA nariadenie Európskeho parlamentu a Rady (EÚ) 2022/2065 z 19. októbra 2022 o jednotnom trhu s digitálnymi službami a o zmene smernice 2000/31/ES (akt o digitálnych službách), a najmä na jeho článok 6 ods. 4, podľa ktorého „</w:t>
      </w:r>
      <w:r>
        <w:rPr>
          <w:i/>
          <w:color w:val="auto"/>
        </w:rPr>
        <w:t>tento článok nemá vplyv na možnosť justičného alebo správneho orgánu požiadať v súlade s právnym systémom členského štátu poskytovateľa služieb, aby ukončil porušovanie predpisov alebo mu zabráni</w:t>
      </w:r>
      <w:r>
        <w:rPr>
          <w:color w:val="auto"/>
        </w:rPr>
        <w:t>l“,</w:t>
      </w:r>
    </w:p>
    <w:p w14:paraId="0E4DD8C1" w14:textId="5CBE2F54" w:rsidR="001219A2" w:rsidRPr="000A6343" w:rsidRDefault="001219A2" w:rsidP="00370FBB">
      <w:pPr>
        <w:spacing w:before="240" w:after="120" w:line="240" w:lineRule="auto"/>
        <w:ind w:left="0" w:firstLine="567"/>
      </w:pPr>
      <w:r>
        <w:t>SO ZRETEĽOM NA legislatívny dekrét č. 208 z 8. novembra 2021 o „</w:t>
      </w:r>
      <w:r>
        <w:rPr>
          <w:i/>
        </w:rPr>
        <w:t>vykonávaní smernice Európskeho parlamentu a Rady (EÚ) 2018/1808 zo 14. novembra 2018, ktorou sa mení smernica 2010/13/EÚ o koordinácii niektorých ustanovení upravených zákonom, iným právnym predpisom alebo správnym opatrením v členských štátoch týkajúcich sa konsolidovaného zákona o poskytovaní audiovizuálnych mediálnych služieb s ohľadom na meniace sa podmienky na trhu</w:t>
      </w:r>
      <w:r>
        <w:t>“ (ďalej len „TUSMA“ alebo „konsolidovaný zákon“), a najmä na článok:</w:t>
      </w:r>
    </w:p>
    <w:p w14:paraId="5B811E55" w14:textId="0739D964" w:rsidR="001219A2" w:rsidRDefault="001219A2" w:rsidP="00370FBB">
      <w:pPr>
        <w:pStyle w:val="ListParagraph"/>
        <w:numPr>
          <w:ilvl w:val="0"/>
          <w:numId w:val="25"/>
        </w:numPr>
        <w:spacing w:after="120" w:line="240" w:lineRule="auto"/>
        <w:ind w:left="714" w:hanging="357"/>
      </w:pPr>
      <w:r>
        <w:t xml:space="preserve">3 ods. 1 </w:t>
      </w:r>
      <w:r>
        <w:rPr>
          <w:i/>
        </w:rPr>
        <w:t>písm. c)</w:t>
      </w:r>
      <w:r>
        <w:t>, v ktorom je „</w:t>
      </w:r>
      <w:r>
        <w:rPr>
          <w:i/>
        </w:rPr>
        <w:t>služba platformy na zdieľanie videí</w:t>
      </w:r>
      <w:r>
        <w:t>“ vymedzená ako „</w:t>
      </w:r>
      <w:r>
        <w:rPr>
          <w:i/>
        </w:rPr>
        <w:t>služba, ako ju vymedzujú články 56 a 57 Zmluvy o fungovaní Európskej únie, pričom základný účel služby alebo jej oddeliteľnej časti alebo zásadná funkcia tejto služby je poskytovanie programov, videí vytvorených používateľmi alebo programov aj videí vytvorených používateľmi širokej verejnosti, za ktoré poskytovateľ platformy na zdieľanie videí nenesie redakčnú zodpovednosť, s cieľom informovať, zabávať alebo vzdelávať prostredníctvom elektronických komunikačných sietí v zmysle článku 2 písm. a) smernice Európskeho parlamentu a Rady 2002/21/ES z 12. júla 2002, a ktorých organizáciu určuje poskytovateľ platformy na zdieľanie videí, a to aj automatickými prostriedkami alebo algoritmami, najmä prostredníctvom zobrazovania, označovania a radenia</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ods. 1 </w:t>
      </w:r>
      <w:r>
        <w:rPr>
          <w:i/>
        </w:rPr>
        <w:t xml:space="preserve">konsolidovaného zákona, </w:t>
      </w:r>
      <w:r>
        <w:t xml:space="preserve">ktorým sa stanovuje, že </w:t>
      </w:r>
      <w:r>
        <w:rPr>
          <w:i/>
        </w:rPr>
        <w:t xml:space="preserve">„1. Medzi základné zásady systému audiovizuálnych mediálnych služieb, rozhlasového vysielania a služieb platforiem na zdieľanie videí patrí záruka slobody a plurality vysielania médií, ochrana slobody prejavu každého jednotlivca vrátane slobody názoru a slobody prijímať alebo oznamovať informácie alebo myšlienky bez obmedzenia pri rešpektovaní ľudskej dôstojnosti, zásady nediskriminácie a boja proti nenávistným prejavom, objektívnosť, úplnosť, pravdivosť a nestrannosť informácií, ochrana autorských práv a práv duševného vlastníctva, otvorenosť voči rôznym politickým, sociálnym, kultúrnym a náboženským názorom a trendom a ochrana etnickej rozmanitosti a kultúrneho, umeleckého a environmentálneho dedičstva na vnútroštátnej a miestnej úrovni pri rešpektovaní slobôd a práv, </w:t>
      </w:r>
      <w:r>
        <w:rPr>
          <w:i/>
        </w:rPr>
        <w:lastRenderedPageBreak/>
        <w:t>najmä dôstojnosti osoby a ochrany osobných údajov, podpora a ochrana dobrých životných podmienok, zdravia a harmonického telesného, duševného a morálneho vývoja dieťaťa, ktoré sú zaručené ústavou, právom Európskej únie, medzinárodnými pravidlami platnými v talianskom práve a štátnymi a regionálnymi zákonmi“,</w:t>
      </w:r>
    </w:p>
    <w:p w14:paraId="38386B84" w14:textId="63F7EB9D" w:rsidR="77524313" w:rsidRDefault="77524313" w:rsidP="00370FBB">
      <w:pPr>
        <w:pStyle w:val="ListParagraph"/>
        <w:numPr>
          <w:ilvl w:val="0"/>
          <w:numId w:val="25"/>
        </w:numPr>
        <w:spacing w:after="120" w:line="240" w:lineRule="auto"/>
        <w:ind w:left="714" w:hanging="357"/>
        <w:rPr>
          <w:i/>
          <w:iCs/>
        </w:rPr>
      </w:pPr>
      <w:r>
        <w:t>9 ods. 1, podľa ktorého „</w:t>
      </w:r>
      <w:r>
        <w:rPr>
          <w:i/>
        </w:rPr>
        <w:t>úrad pri výkone úloh, ktoré mu boli zverené zákonom, zabezpečuje dodržiavanie základných ľudských práv v oblasti komunikácie, a to aj prostredníctvom audiovizuálnych alebo rozhlasových mediálnych služieb. Úrad vykonáva svoje právomoci nestranne a transparentne a v súlade s cieľmi smernice (EÚ) 2018/1808, najmä pokiaľ ide o pluralitu médií, kultúrnu a jazykovú rozmanitosť, ochranu spotrebiteľa, prístupnosť, nediskrimináciu, riadne fungovanie vnútorného trhu a podporu spravodlivej hospodárskej súťaže.</w:t>
      </w:r>
      <w:r>
        <w:t>“,</w:t>
      </w:r>
    </w:p>
    <w:p w14:paraId="46F4888F" w14:textId="09DA3482" w:rsidR="0014558F" w:rsidRDefault="001219A2" w:rsidP="00370FBB">
      <w:pPr>
        <w:pStyle w:val="ListParagraph"/>
        <w:numPr>
          <w:ilvl w:val="0"/>
          <w:numId w:val="25"/>
        </w:numPr>
        <w:spacing w:after="120" w:line="240" w:lineRule="auto"/>
        <w:ind w:left="714" w:hanging="357"/>
      </w:pPr>
      <w:r>
        <w:t>9 ods. 2, podľa ktorého „</w:t>
      </w:r>
      <w:r>
        <w:rPr>
          <w:i/>
        </w:rPr>
        <w:t>úrad v oblasti audiovizuálnych a rozhlasových mediálnych služieb a služieb platforiem na zdieľanie videí vykonáva právomoci stanovené v pravidlách tohto konsolidovaného zákona, ako aj právomoci, ktoré už boli zverené inými platnými pravidlami, aj keď nie sú zahrnuté v konsolidovanom zákone, a najmä právomoci uvedené v zákonoch č. 223 zo 6. augusta 1990, č. 481 zo 14. novembra 1995 a č. 249 z 31. júla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ods. 7, podľa ktorého „</w:t>
      </w:r>
      <w:r>
        <w:rPr>
          <w:i/>
        </w:rPr>
        <w:t>Bez toho, aby boli dotknuté články 14 až 17 legislatívneho dekrétu č. 70 z 9. apríla 2003, a bez toho, aby boli dotknuté ustanovenia predchádzajúcich odsekov, môže byť voľný pohyb programov, videí vytvorených používateľmi a audiovizuálnych komerčných oznámení šírených platformou na zdieľanie videí, ktorej dodávateľ má sídlo v inom členskom štáte, a určených talianskej verejnosti obmedzený uznesením úradu v súlade s postupom uvedeným v článku 5 ods. 2, 3 a 4 legislatívneho dekrétu č. 70 z roku</w:t>
      </w:r>
    </w:p>
    <w:p w14:paraId="053D7E3A" w14:textId="4411B169" w:rsidR="005C6706" w:rsidRDefault="005C6706" w:rsidP="00370FBB">
      <w:pPr>
        <w:pStyle w:val="ListParagraph"/>
        <w:spacing w:after="120" w:line="240" w:lineRule="auto"/>
        <w:ind w:left="720" w:firstLine="0"/>
      </w:pPr>
      <w:r>
        <w:rPr>
          <w:i/>
        </w:rPr>
        <w:t>2003 na tieto účely: a) ochrana maloletých osôb pred obsahom, ktorý môže nepriaznivo ovplyvniť ich fyzický, duševný alebo morálny vývoj v súlade s článkom 38 ods. 1, b) boj proti podnecovaniu k rasovej, sexuálnej, náboženskej alebo etnickej nenávisti a proti porušovaniu ľudskej dôstojnosti, c) ochrana spotrebiteľov vrátane investorov podľa tohto konsolidovaného zákona“,</w:t>
      </w:r>
    </w:p>
    <w:p w14:paraId="6577AE7E" w14:textId="666992C1" w:rsidR="005C6706" w:rsidRDefault="005C6706" w:rsidP="00370FBB">
      <w:pPr>
        <w:pStyle w:val="ListParagraph"/>
        <w:numPr>
          <w:ilvl w:val="0"/>
          <w:numId w:val="25"/>
        </w:numPr>
        <w:spacing w:after="240" w:line="240" w:lineRule="auto"/>
        <w:contextualSpacing/>
      </w:pPr>
      <w:r>
        <w:t>41 ods. 8, podľa ktorého „[</w:t>
      </w:r>
      <w:r>
        <w:rPr>
          <w:i/>
        </w:rPr>
        <w:t>N</w:t>
      </w:r>
      <w:r>
        <w:t>]</w:t>
      </w:r>
      <w:r>
        <w:rPr>
          <w:i/>
        </w:rPr>
        <w:t>a účely určenia, či je program, video vytvorené používateľom alebo audiovizuálne komerčné oznámenie určené talianskej verejnosti, kritériá, ako napríklad použitý jazyk, zapojenie značného počtu kontaktov na talianskom území alebo dosiahnutie príjmov v Taliansku</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SO ZRETEĽOM NA článok 21 (Nediskriminácia) Charty základných práv Európskej únie z roku 2000, a najmä na odsek 1, podľa ktorého </w:t>
      </w:r>
      <w:r>
        <w:rPr>
          <w:i/>
          <w:color w:val="auto"/>
        </w:rPr>
        <w:t>„zakazuje sa akákoľvek diskriminácia najmä z dôvodu pohlavia, rasy, farby pleti, etnického alebo sociálneho pôvodu, genetických vlastností, jazyka, náboženstva alebo viery, politického alebo iného zmýšľania, príslušnosti k národnostnej menšine, majetku, narodenia, zdravotného postihnutia, veku alebo sexuálnej orientácie</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SO ZRETEĽOM NA článok 22 (Kultúrna, náboženská a jazyková rozmanitosť) Charty základných práv Európskej únie z roku 2000, podľa ktorého „Únia rešpektuje kultúrnu, náboženskú a jazykovú rozmanitosť“,</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SO ZRETEĽOM NA článok 3 ústavy, podľa ktorého </w:t>
      </w:r>
      <w:r>
        <w:rPr>
          <w:i/>
          <w:color w:val="auto"/>
        </w:rPr>
        <w:t>„Všetci občania majú rovnakú sociálnu dôstojnosť a sú si pred zákonom rovní, bez ohľadu na pohlavie, rasu, jazyk, náboženstvo, politické názory, osobné a sociálne podmienky. Je povinnosťou republiky odstrániť prekážky ekonomickej a sociálnej povahy, ktoré účinným obmedzením slobody a rovnosti občanov bránia plnému rozvoju ľudskej osoby a účinnej účasti všetkých pracovníkov na politickej, ekonomickej a sociálnej organizácii krajiny.“</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SO ZRETEĽOM NA rámcové rozhodnutie Rady 2008/913/SVV z 28. novembra 2008 o boji proti niektorým formám a prejavom rasizmu a xenofóbie prostredníctvom trestného práva a na smernicu (EÚ) 2017/541 z 15. marca 2017 o boji proti terorizmu, ktorou sa nahrádza rámcové rozhodnutie Rady 2002/475/SVV a mení rozhodnutie Rady 2005/671/SVV,</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SO ZRETEĽOM NA všeobecné politické odporúčanie ECRI č. 15 (Európska komisia proti rasizmu a intolerancii Rady Európy) o boji proti nenávistným prejavom prijaté 8. decembra 2015, v ktorom sa štáty nabádajú, aby prijali konkrétne opatrenia na zabezpečenie boja proti všetkým formám etnickej diskriminácie a jej odstránenia v súlade s medzinárodným právom na ochranu ľudských práv,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SO ZRETEĽOM NA </w:t>
      </w:r>
      <w:r>
        <w:rPr>
          <w:color w:val="auto"/>
          <w:shd w:val="clear" w:color="auto" w:fill="FFFFFF"/>
        </w:rPr>
        <w:t>rámcové rozhodnutie Rady 2008/913/SVV z 28. novembra 2008 o boji proti niektorým formám a prejavom rasizmu a xenofóbie prostredníctvom trestného práva,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So ZRETEĽOM NA Kódex správania pre boj proti nezákonným nenávistným prejavom na internete, ktorý Európska komisia podpísala 31. mája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SO ZRETEĽOM NA oznámenie Európskej komisie COM (2017) 555 </w:t>
      </w:r>
      <w:r>
        <w:rPr>
          <w:i/>
          <w:color w:val="auto"/>
        </w:rPr>
        <w:t>„Boj proti nezákonnému obsahu na internete: Zvyšovanie zodpovednosti online platforiem“,</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SO ZRETEĽOM NA </w:t>
      </w:r>
      <w:r>
        <w:rPr>
          <w:i/>
          <w:color w:val="auto"/>
        </w:rPr>
        <w:t>„Samoregulačný kódex pre médiá a maloleté osoby“</w:t>
      </w:r>
      <w:r>
        <w:rPr>
          <w:color w:val="auto"/>
        </w:rPr>
        <w:t xml:space="preserve"> schválený Komisiou na zriadenie vysielacieho systému 5. novembra 2002 a podpísaný vysielateľmi a signatárskymi združeniami 29. novembra 2002,</w:t>
      </w:r>
    </w:p>
    <w:p w14:paraId="20F2FA83" w14:textId="56448EC7" w:rsidR="008E1E2C" w:rsidRPr="008E4345" w:rsidRDefault="466D1E27" w:rsidP="00370FBB">
      <w:pPr>
        <w:spacing w:after="240" w:line="240" w:lineRule="auto"/>
        <w:ind w:left="0" w:firstLine="567"/>
        <w:rPr>
          <w:color w:val="auto"/>
          <w:szCs w:val="24"/>
        </w:rPr>
      </w:pPr>
      <w:r>
        <w:rPr>
          <w:color w:val="auto"/>
        </w:rPr>
        <w:lastRenderedPageBreak/>
        <w:t xml:space="preserve">SO ZRETEĽOM NA uznesenie č. 165/06/CSP z 22. novembra 2006 o </w:t>
      </w:r>
      <w:r>
        <w:rPr>
          <w:i/>
          <w:color w:val="auto"/>
        </w:rPr>
        <w:t>„Adresnom akte o dodržiavaní základných ľudských práv, osobnej dôstojnosti a správnom telesnom, duševnom a morálnom vývoji maloletých v zábavných programoch“,</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SO ZRETEĽOM NA uznesenie č. 23/07/CSP z 22. februára 2007 s názvom </w:t>
      </w:r>
      <w:r>
        <w:rPr>
          <w:i/>
          <w:color w:val="auto"/>
        </w:rPr>
        <w:t>„Adresný akt o dodržiavaní základných ľudských práv a o zákaze vysielania s pornografickým scénami“,</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SO ZRETEĽOM NA uznesenie č. 51/13/CSP z 3. mája 2013, ktoré obsahuje „</w:t>
      </w:r>
      <w:r>
        <w:rPr>
          <w:i/>
          <w:color w:val="auto"/>
        </w:rPr>
        <w:t>Nariadenia o technických opatreniach, ktoré sa majú prijať s cieľom vylúčiť sledovanie a počúvanie vysielania poskytovaného poskytovateľmi audiovizuálnych mediálnych služieb na požiadanie maloletými osobami, ktoré môže vážne poškodiť ich fyzický, duševný alebo morálny vývoj podľa článku 34 legislatívneho dekrétu č. 177 z 31. júla 2005, zmeneného a doplneného najmä legislatívnym dekrétom č. 44 z 15. marca 2010, zmeneným legislatívnym dekrétom č. 120 z 28. júna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SO ZRETEĽOM NA uznesenie č. 52/13/CSP z 3. mája 2013 o „</w:t>
      </w:r>
      <w:r>
        <w:rPr>
          <w:i/>
          <w:color w:val="auto"/>
        </w:rPr>
        <w:t>Nariadeniach o kritériách klasifikácie televízneho vysielania, ktoré môže vážne poškodiť fyzický, duševný alebo morálny vývoj maloletých uvedených v článku 34 ods. 1, 5 a 11 legislatívneho dekrétu č. 177 z 31. júla 2005, zmeneného a doplneného najmä legislatívnym dekrétom č. 44 z 15. marca 2010 a legislatívnym dekrétom č. 120 z 28. júna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 xml:space="preserve">SO ZRETEĽOM NA uznesenie č. 157/19/CONS, ktorým sa prijíma </w:t>
      </w:r>
      <w:r>
        <w:rPr>
          <w:i/>
        </w:rPr>
        <w:t>„Nariadenie, ktorým sa stanovujú ustanovenia o rešpektovaní ľudskej dôstojnosti a zásade nediskriminácie a boja proti nenávistným prejavom“</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SO ZRETEĽOM NA uznesenie č. 37/23/CONS z 22. februára 2023 o „</w:t>
      </w:r>
      <w:r>
        <w:rPr>
          <w:i/>
          <w:color w:val="auto"/>
        </w:rPr>
        <w:t>Nariadení o ochrane základných ľudských práv podľa článku 30 legislatívneho dekrétu č. 208 z 8. novembra 2021 (konsolidovaný zákon o audiovizuálnych mediálnych službách)</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SO ZRETEĽOM NA uznesenie č. 22/23/CONS z 8. februára 2023 s názvom „</w:t>
      </w:r>
      <w:r>
        <w:rPr>
          <w:i/>
          <w:color w:val="auto"/>
        </w:rPr>
        <w:t>Začatie postupu a verejnej konzultácie týkajúcich sa zmeny regulačného rámca pre postupy riešenia sporov medzi používateľmi a prevádzkovateľmi elektronických komunikácií alebo poskytovateľmi audiovizuálnych mediálnych služieb na vykonávanie článku 42 ods. 9 TUSMA, pokiaľ ide o služby platformy na zdieľanie videí</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SO ZRETEĽOM NA uznesenie č. 223/12/CONS z 27. apríla 2012 o „</w:t>
      </w:r>
      <w:r>
        <w:rPr>
          <w:i/>
          <w:color w:val="auto"/>
        </w:rPr>
        <w:t>Prijatí nového nariadenia o organizácii a fungovaní Úradu pre reguláciu komunikácií</w:t>
      </w:r>
      <w:r>
        <w:rPr>
          <w:color w:val="auto"/>
        </w:rPr>
        <w:t>“, naposledy zmenené uznesením č. 434/22/CONS,</w:t>
      </w:r>
    </w:p>
    <w:p w14:paraId="1B1F9327" w14:textId="178D3D35" w:rsidR="009F0FEF" w:rsidRPr="008E4345" w:rsidRDefault="009F0FEF" w:rsidP="00370FBB">
      <w:pPr>
        <w:spacing w:after="240" w:line="240" w:lineRule="auto"/>
        <w:ind w:left="0" w:firstLine="567"/>
        <w:rPr>
          <w:color w:val="auto"/>
          <w:szCs w:val="24"/>
        </w:rPr>
      </w:pPr>
      <w:r>
        <w:rPr>
          <w:color w:val="auto"/>
        </w:rPr>
        <w:t>SO ZRETEĽOM NA uznesenie č. 107/19/CONS z 5. apríla 2019 o „</w:t>
      </w:r>
      <w:r>
        <w:rPr>
          <w:i/>
          <w:color w:val="auto"/>
        </w:rPr>
        <w:t>Nariadení o konzultačných postupoch v konaniach, ktoré patria do právomoci úradu</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lastRenderedPageBreak/>
        <w:t>SO ZRETEĽOM NA uznesenie č. 410/14/CONS z 29. júla 2014 o „</w:t>
      </w:r>
      <w:r>
        <w:rPr>
          <w:i/>
          <w:color w:val="auto"/>
        </w:rPr>
        <w:t>Procesnom poriadku o správnych pokutách a záväzkoch a verejnej konzultácii k dokumentu obsahujúcemu usmernenia o vyčíslení správnych pokút uložených Úradom pre reguláciu komunikácií“</w:t>
      </w:r>
      <w:r>
        <w:rPr>
          <w:color w:val="auto"/>
        </w:rPr>
        <w:t>, naposledy zmenené uznesením č. 437/22/CONS,</w:t>
      </w:r>
    </w:p>
    <w:p w14:paraId="467B46AE" w14:textId="49FD8DCE" w:rsidR="00882D55" w:rsidRDefault="000E068B" w:rsidP="00370FBB">
      <w:pPr>
        <w:spacing w:before="240" w:after="120" w:line="240" w:lineRule="auto"/>
        <w:ind w:left="0" w:firstLine="567"/>
      </w:pPr>
      <w:r>
        <w:t xml:space="preserve">BERÚC DO ÚVAHY nasledujúce kritériá na určenie toho, či program, videá vytvorené používateľmi alebo audiovizuálne komerčné oznámenia sú určené talianskej verejnosti: </w:t>
      </w:r>
    </w:p>
    <w:p w14:paraId="17577486" w14:textId="1125DF6D" w:rsidR="00982048" w:rsidRDefault="00982048" w:rsidP="00370FBB">
      <w:pPr>
        <w:pStyle w:val="ListParagraph"/>
        <w:numPr>
          <w:ilvl w:val="0"/>
          <w:numId w:val="25"/>
        </w:numPr>
        <w:spacing w:after="120" w:line="240" w:lineRule="auto"/>
        <w:ind w:left="714" w:hanging="357"/>
      </w:pPr>
      <w:r>
        <w:t xml:space="preserve">v článku 41 ods. 7 TUSMA sa stanovuje, že bez toho, aby boli dotknuté články 14 až 17 legislatívneho dekrétu č. 70 z 9. apríla 2003, sa voľný pohyb </w:t>
      </w:r>
      <w:bookmarkStart w:id="0" w:name="_Hlk121046021"/>
      <w:r>
        <w:t>programov, videí vytvorených používateľmi a audiovizuálnych komerčných oznámení</w:t>
      </w:r>
      <w:bookmarkEnd w:id="0"/>
      <w:r>
        <w:t xml:space="preserve"> určených talianskej verejnosti a šírených platformou na zdieľanie videí, ktorej dodávateľ má sídlo v inom členskom štáte, môže obmedziť uznesením úradu v súlade s postupom uvedeným v článku 5 ods. 2, 3 a 4 legislatívneho dekrétu č. 70 z roku 2003 na účely identifikované v </w:t>
      </w:r>
      <w:r>
        <w:rPr>
          <w:i/>
        </w:rPr>
        <w:t>písm. a)</w:t>
      </w:r>
      <w:r>
        <w:t xml:space="preserve">, </w:t>
      </w:r>
      <w:r>
        <w:rPr>
          <w:i/>
        </w:rPr>
        <w:t xml:space="preserve">b) </w:t>
      </w:r>
      <w:r>
        <w:t xml:space="preserve">a </w:t>
      </w:r>
      <w:r>
        <w:rPr>
          <w:i/>
        </w:rPr>
        <w:t xml:space="preserve">c) </w:t>
      </w:r>
      <w:r>
        <w:t>odseku 7,</w:t>
      </w:r>
    </w:p>
    <w:p w14:paraId="0BDE2A87" w14:textId="5C706D23" w:rsidR="00D21256" w:rsidRDefault="004577F3" w:rsidP="00370FBB">
      <w:pPr>
        <w:pStyle w:val="ListParagraph"/>
        <w:numPr>
          <w:ilvl w:val="0"/>
          <w:numId w:val="25"/>
        </w:numPr>
        <w:spacing w:after="120" w:line="240" w:lineRule="auto"/>
        <w:ind w:right="-1"/>
      </w:pPr>
      <w:r>
        <w:t xml:space="preserve">v nasledujúcom odseku 8 sa napríklad zdôrazňujú určité kritériá zamerané na určenie toho, či je program, video generované používateľom alebo audiovizuálne komerčné oznámenie určené talianskej verejnosti, </w:t>
      </w:r>
    </w:p>
    <w:p w14:paraId="3CC62852" w14:textId="58C56640" w:rsidR="00172B77" w:rsidRDefault="007B35E5" w:rsidP="00370FBB">
      <w:pPr>
        <w:pStyle w:val="ListParagraph"/>
        <w:numPr>
          <w:ilvl w:val="0"/>
          <w:numId w:val="25"/>
        </w:numPr>
        <w:spacing w:after="120" w:line="240" w:lineRule="auto"/>
        <w:ind w:right="-1"/>
      </w:pPr>
      <w:r>
        <w:t xml:space="preserve">určenie subjektívneho rozsahu pôsobnosti nariadenia, ktoré má úrad prijať podľa článku 41 ods. 9 na účely vymedzenia postupu prijímania opatrení obmedzujúcich voľný pohyb obsahu šíreného na platformách na zdieľanie videí so sídlom v inom členskom štáte a určeného talianskej verejnosti, znamená presné a podrobné vymedzenie týchto kritérií, </w:t>
      </w:r>
    </w:p>
    <w:p w14:paraId="6CDF755C" w14:textId="6D381F5F" w:rsidR="00A45429" w:rsidRPr="00A45429" w:rsidRDefault="00A45429" w:rsidP="00370FBB">
      <w:pPr>
        <w:pStyle w:val="ListParagraph"/>
        <w:numPr>
          <w:ilvl w:val="0"/>
          <w:numId w:val="25"/>
        </w:numPr>
        <w:spacing w:after="120" w:line="240" w:lineRule="auto"/>
        <w:ind w:right="-1"/>
        <w:rPr>
          <w:szCs w:val="24"/>
        </w:rPr>
      </w:pPr>
      <w:r>
        <w:t>v primárnych právnych predpisoch sa uvedenie kritérií na určenie subjektívneho rozsahu pôsobnosti výslovne klasifikuje ako príklad, čo je relevantné pre výkon regulačnej právomoci úradu,</w:t>
      </w:r>
    </w:p>
    <w:p w14:paraId="180C20C6" w14:textId="77777777" w:rsidR="00801C14" w:rsidRDefault="00F8120B" w:rsidP="00370FBB">
      <w:pPr>
        <w:pStyle w:val="ListParagraph"/>
        <w:numPr>
          <w:ilvl w:val="0"/>
          <w:numId w:val="25"/>
        </w:numPr>
        <w:spacing w:after="240" w:line="240" w:lineRule="auto"/>
        <w:ind w:right="-1"/>
        <w:rPr>
          <w:szCs w:val="24"/>
        </w:rPr>
      </w:pPr>
      <w:r>
        <w:t>presná definícia týchto kritérií preto predstavuje podmienku</w:t>
      </w:r>
      <w:r>
        <w:rPr>
          <w:b/>
        </w:rPr>
        <w:t xml:space="preserve"> </w:t>
      </w:r>
      <w:r>
        <w:t xml:space="preserve">prijatia pravidiel pre výkon obmedzujúcich právomocí vo vzťahu k voľnému pohybu služieb, pokiaľ ide o poskytovateľov so sídlom v inom členskom štáte, a určených talianskej verejnosti s cieľom zabezpečiť účinnú ochranu základných práv, ktoré majú podľa zákonodarcu osobitný význam pre účinnú ochranu používateľov, </w:t>
      </w:r>
    </w:p>
    <w:p w14:paraId="338C6A3B" w14:textId="6822BF27" w:rsidR="00AD44D5" w:rsidRPr="00801C14" w:rsidRDefault="00CB4C7F" w:rsidP="00370FBB">
      <w:pPr>
        <w:spacing w:after="120" w:line="240" w:lineRule="auto"/>
        <w:ind w:left="0" w:firstLine="567"/>
        <w:rPr>
          <w:szCs w:val="24"/>
        </w:rPr>
      </w:pPr>
      <w:r>
        <w:t xml:space="preserve">PO ZOHĽADNENÍ potreby presne vymedziť, do akej miery sa obsah šírený prostredníctvom služby zdieľania videí považuje za určený talianskej verejnosti, pričom sa uvedie: </w:t>
      </w:r>
    </w:p>
    <w:p w14:paraId="2DA2AAF7" w14:textId="0B4137DC" w:rsidR="005F2264" w:rsidRDefault="00F20E4F" w:rsidP="00370FBB">
      <w:pPr>
        <w:pStyle w:val="ListParagraph"/>
        <w:numPr>
          <w:ilvl w:val="0"/>
          <w:numId w:val="25"/>
        </w:numPr>
        <w:spacing w:after="120" w:line="240" w:lineRule="auto"/>
        <w:ind w:right="-1"/>
      </w:pPr>
      <w:r>
        <w:t xml:space="preserve">za akých okolností sa používa taliansky jazyk a akým spôsobom, pokiaľ ide o zdieľaný obsah, ako aj platformu, ktorá ho šíri, </w:t>
      </w:r>
    </w:p>
    <w:p w14:paraId="194A310A" w14:textId="38107EA9" w:rsidR="00515343" w:rsidRDefault="00F20E4F" w:rsidP="00370FBB">
      <w:pPr>
        <w:pStyle w:val="ListParagraph"/>
        <w:numPr>
          <w:ilvl w:val="0"/>
          <w:numId w:val="25"/>
        </w:numPr>
        <w:spacing w:after="120" w:line="240" w:lineRule="auto"/>
        <w:ind w:right="-1"/>
      </w:pPr>
      <w:r>
        <w:t xml:space="preserve">veľkosť platformy z hľadiska jedinečných mesačných talianskych návštevníkov s cieľom určiť prahovú hodnotu, ktorá rieši dvojitú potrebu na jednej strane zabezpečiť účinnú ochranu používateľov a na druhej strane zaručiť účinnosť a </w:t>
      </w:r>
      <w:r>
        <w:lastRenderedPageBreak/>
        <w:t>nákladovú efektívnosť administratívnych opatrení. Údaje, na ktorých sa opatrenie zakladá, preto musia byť údajmi tretích strán, ktoré poskytujú orgány s najvyšším zastúpením celého referenčného sektora, a to aj vzhľadom na multimediálne konvergenčné procesy, ktorých organizácia spĺňa aj zásady nestrannosti, autonómie a nezávislosti, napríklad v našom systéme počúvania záznamov sú to tie, ktoré vypracoval výbor JIC (</w:t>
      </w:r>
      <w:r>
        <w:rPr>
          <w:i/>
        </w:rPr>
        <w:t>Joint Industry Committee</w:t>
      </w:r>
      <w:r>
        <w:t xml:space="preserve">), </w:t>
      </w:r>
    </w:p>
    <w:p w14:paraId="11991BE0" w14:textId="6410D19E" w:rsidR="00C91815" w:rsidRDefault="00F20E4F" w:rsidP="00370FBB">
      <w:pPr>
        <w:pStyle w:val="ListParagraph"/>
        <w:numPr>
          <w:ilvl w:val="0"/>
          <w:numId w:val="25"/>
        </w:numPr>
        <w:spacing w:after="120" w:line="240" w:lineRule="auto"/>
        <w:ind w:right="-1"/>
      </w:pPr>
      <w:r>
        <w:t>rozsah obsahu vo vzťahu k významnému počtu používateľov, na ktorých má dosah: šírenie nezákonného obsahu je tým závažnejšie, čím väčší je počet talianskych používateľov.</w:t>
      </w:r>
      <w:r>
        <w:rPr>
          <w:color w:val="000000" w:themeColor="text1"/>
        </w:rPr>
        <w:t xml:space="preserve"> </w:t>
      </w:r>
      <w:r>
        <w:t xml:space="preserve">Prahová hodnota týkajúca sa tohto posúdenia sa môže líšiť v závislosti od subjektívneho kontextu (cieľ používateľov, na ktorý sa vzťahuje), ako aj objektívneho kontextu, v ktorom je obsah vložený, </w:t>
      </w:r>
    </w:p>
    <w:p w14:paraId="3203E8B2" w14:textId="1D1860D9" w:rsidR="00C863B2" w:rsidRDefault="00BB26E9" w:rsidP="00370FBB">
      <w:pPr>
        <w:pStyle w:val="ListParagraph"/>
        <w:numPr>
          <w:ilvl w:val="0"/>
          <w:numId w:val="25"/>
        </w:numPr>
        <w:spacing w:after="240" w:line="240" w:lineRule="auto"/>
        <w:ind w:right="-1"/>
      </w:pPr>
      <w:r>
        <w:t>dosiahnutie príjmov dodávateľom v Taliansku, aj keď sú zaznamenané vo finančných výkazoch spoločností so sídlom v zahraničí, ako príklad, že obsah je určený talianskej verejnosti,</w:t>
      </w:r>
    </w:p>
    <w:p w14:paraId="0C88B46A" w14:textId="1243BF58" w:rsidR="000559D0" w:rsidRDefault="00146BDC" w:rsidP="00370FBB">
      <w:pPr>
        <w:spacing w:after="240" w:line="240" w:lineRule="auto"/>
        <w:ind w:left="0" w:firstLine="567"/>
      </w:pPr>
      <w:r>
        <w:rPr>
          <w:color w:val="auto"/>
        </w:rPr>
        <w:t xml:space="preserve">BERÚC DO ÚVAHY, že voľný pohyb programov, videí vytvorených používateľmi a audiovizuálnych komerčných oznámení šírených platformou na zdieľanie videí, ktorej dodávateľ má sídlo v inom členskom štáte, a určených talianskej verejnosti, sa môže obmedziť </w:t>
      </w:r>
      <w:r>
        <w:t>v súlade s postupom stanoveným v článku 5 ods. 2, 3 a 4 legislatívneho dekrétu č. 70 z roku 2003 na tieto účely:</w:t>
      </w:r>
      <w:r>
        <w:rPr>
          <w:color w:val="auto"/>
        </w:rPr>
        <w:t xml:space="preserve"> </w:t>
      </w:r>
      <w:r>
        <w:t>a) ochrana maloletých osôb pred obsahom, ktorý môže nepriaznivo ovplyvniť ich fyzický, duševný alebo morálny vývoj v súlade s článkom 38 ods. 1 TUSMA, b) boj proti podnecovaniu k rasovej, sexuálnej, náboženskej alebo etnickej nenávisti, ako aj proti porušovaniu ľudskej dôstojnosti a c) ochrana spotrebiteľa vrátane investorov v súlade TUSMA,</w:t>
      </w:r>
    </w:p>
    <w:p w14:paraId="553E09D6" w14:textId="077AA72F" w:rsidR="00CF29FA" w:rsidRDefault="001E6D13" w:rsidP="00370FBB">
      <w:pPr>
        <w:spacing w:after="240" w:line="240" w:lineRule="auto"/>
        <w:ind w:left="0" w:firstLine="567"/>
      </w:pPr>
      <w:r>
        <w:t>PO ZOHĽADNENÍ najmä toho, že úrad musí pri výkone svojich povinností dodržiavať postupy uvedené v článku 5 ods. 2, 3 a 4 legislatívneho dekrétu č. 70 z roku 2003 podľa článku 41 ods. 7 TUSMA,</w:t>
      </w:r>
    </w:p>
    <w:p w14:paraId="2B79D31B" w14:textId="06337D04" w:rsidR="00DF269C" w:rsidRDefault="00CF29FA" w:rsidP="00370FBB">
      <w:pPr>
        <w:spacing w:after="240" w:line="240" w:lineRule="auto"/>
        <w:ind w:left="0" w:firstLine="567"/>
      </w:pPr>
      <w:r>
        <w:t>PO ZVÁŽENÍ, že medzi všeobecné zásady nariadenia je potrebné zahrnúť ustanovenia článku 5 ods. 2 legislatívneho dekrétu č. 70 z roku 2003, podľa ktorého opatrenia obmedzujúce voľný pohyb audiovizuálneho obsahu môžu byť prijaté len vtedy, ak sú v konkrétnom prípade a) nevyhnutné vo vzťahu k určitej službe informačnej spoločnosti poškodzujúcej ciele verejného záujmu alebo predstavujúce vážne riziko poškodenia týchto cieľov a b) primerané týmto cieľom,</w:t>
      </w:r>
    </w:p>
    <w:p w14:paraId="449B4A78" w14:textId="66DF9209" w:rsidR="00DF269C" w:rsidRDefault="006C706E" w:rsidP="00370FBB">
      <w:pPr>
        <w:spacing w:after="240" w:line="240" w:lineRule="auto"/>
        <w:ind w:left="0" w:firstLine="567"/>
      </w:pPr>
      <w:r>
        <w:t xml:space="preserve">PO ZOHĽADNENÍ, že pri vykonávaní ustanovení článku 5 ods. 3 legislatívneho dekrétu č. 71/2003 musí úrad bez toho, aby boli dotknuté súdne konania a úkony vykonané v rámci vyšetrovania trestného činu, pred prijatím opatrenia a) požiadať členský štát, v ktorom má poskytovateľ služieb zdieľania videí sídlo alebo sa predpokladá, že v ňom má sídlo, aby prijal príslušné opatrenia overením, či neboli prijaté alebo boli nedostatočné, a b) oznámiť Európskej komisii a uvedenému členskému štátu úmysel prijať takéto opatrenia, </w:t>
      </w:r>
    </w:p>
    <w:p w14:paraId="156DB742" w14:textId="4B2A5935" w:rsidR="00DF269C" w:rsidRDefault="00CB0F89" w:rsidP="00370FBB">
      <w:pPr>
        <w:spacing w:after="240" w:line="240" w:lineRule="auto"/>
        <w:ind w:left="0" w:firstLine="567"/>
      </w:pPr>
      <w:r>
        <w:lastRenderedPageBreak/>
        <w:t>PO ZOHĽADNENÍ, že pri vykonávaní ustanovení článku 5 ods. 4 legislatívneho dekrétu č. 70 z roku 2003 môže úrad v naliehavých prípadoch zasiahnuť odchýlením sa od postupu stanoveného v odseku 3 tým, že toto opatrenie čo najskôr oznámi Komisii a členskému štátu, v ktorom má poskytovateľ služieb zdieľania videí sídlo alebo sa predpokladá, že v ňom má sídlo, spolu s naliehavými záležitosťami,</w:t>
      </w:r>
    </w:p>
    <w:p w14:paraId="6CA46AF5" w14:textId="6BDE7D47" w:rsidR="00D30981" w:rsidRDefault="00D30981" w:rsidP="00370FBB">
      <w:pPr>
        <w:spacing w:after="240" w:line="240" w:lineRule="auto"/>
        <w:ind w:left="0" w:firstLine="567"/>
        <w:rPr>
          <w:szCs w:val="24"/>
        </w:rPr>
      </w:pPr>
      <w:r>
        <w:t>PO ZVÁŽENÍ v tejto súvislosti, že v nariadení je vhodné stanoviť situáciu, v ktorej sú splnené podmienky naliehavosti, ak v dôsledku činnosti pred vyšetrovaním existujú skutočnosti alebo okolnosti, ktoré by predstavovali vážnu, bezprostrednú a nenapraviteľnú ujmu na právach používateľov,</w:t>
      </w:r>
    </w:p>
    <w:p w14:paraId="251DB57A" w14:textId="4B932D5F" w:rsidR="00825CD6" w:rsidRDefault="00F503DB" w:rsidP="00370FBB">
      <w:pPr>
        <w:spacing w:after="120" w:line="240" w:lineRule="auto"/>
        <w:ind w:left="0" w:firstLine="567"/>
      </w:pPr>
      <w:r>
        <w:t xml:space="preserve">PO ZVÁŽENÍ nasledujúcich skutočností, pokiaľ ide o postup prijímania obmedzujúcich opatrení: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právne predpisy zavedené zákonodarcom v článku 41 ods. 7, 8 a 9 TUSMA súvisia s efektívnou a účinnou ochranou základných práv používateľa, ako sa podrobne uvádza v odseku 7 písm. a), b) a c): na tento účel sa preto úradu pridelila osobitná právomoc, aj keď má poskytovateľ platformy sídlo v inom členskom štáte. Túto právomoc možno uplatniť, ak sú tieto účely vážne ohrozené obsahom určeným talianskej verejnosti,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naliehavosť tohto zásahu si vyžaduje postup, ktorý spĺňa dvojakú požiadavku: na jednej strane na urýchlenie prijatia obmedzujúceho opatrenia a na druhej strane na zabezpečenie potrebných procesných záruk,</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na zabezpečenie účinnosti ochrany sa stanovuje, že každá zúčastnená osoba môže oznámiť úradu obsah, o ktorom sa predpokladá, že je v rozpore s vyššie uvedenými účelmi. Postup nahlasovania je však spojený s viacerými podmienkami, ktoré odrádzajú od nepodložených iniciatív. Úrad však môže vždy konať z úradnej moci aj s podporou tímu finančnej polície a poštovej polície,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keď sa zistí prítomnosť obsahu určeného talianskej verejnosti a či sa zdá, že je v rozpore s cieľmi, ktoré má toto pravidlo chrániť, cieľom činností pred vyšetrovaním je overiť, či boli splnené podmienky naliehavosti odôvodňujúce zásah dozorného úradu namiesto príslušného úradu v členskom štáte, v ktorom má dodávateľ sídlo. Tieto podmienky sa uplatňujú, ak v čase potrebnom na informovanie úradu druhého štátu s požiadavkou na jeho zásah hrozí nenapraviteľné ohrozenie ochrany alebo prehĺbenie spôsobenej škody,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 xml:space="preserve">načasovanie postupu po oznámení o začatí konania umožňuje poskytovateľovi platformy nielen brániť sa vo veci samej, ale aj prijať najvhodnejšie opatrenia na spontánne prispôsobenie obmedzením obsahu. Pokiaľ ide o spôsoby, akými sa obmedzenie uplatňuje, vzhľadom na to, že sledovaným cieľom je, aby obsah už nebol prístupný talianskej verejnosti, a tiež vzhľadom na neustály technologický vývoj a rôzne funkcie a technické prostriedky, ktoré majú poskytovatelia služieb k dispozícii, sa považuje za vhodné nepristupovať k podrobnej formulácii </w:t>
      </w:r>
      <w:r>
        <w:rPr>
          <w:color w:val="auto"/>
        </w:rPr>
        <w:lastRenderedPageBreak/>
        <w:t>opatrení, ktoré sa majú zaviesť na zastavenie konania a zabránenie jeho opakovaniu,</w:t>
      </w:r>
    </w:p>
    <w:p w14:paraId="69B61422" w14:textId="7659AAED" w:rsidR="00B642EC" w:rsidRDefault="004148D1" w:rsidP="00370FBB">
      <w:pPr>
        <w:spacing w:before="240" w:after="0" w:line="240" w:lineRule="auto"/>
        <w:ind w:left="0" w:right="-1" w:firstLine="567"/>
        <w:rPr>
          <w:bCs/>
        </w:rPr>
      </w:pPr>
      <w:r>
        <w:t xml:space="preserve">PO ZVÁŽENÍ, že v súlade s ustanoveniami uznesenia č. 107/19/CONS je potrebné predložiť na verejnú konzultáciu návrh nariadenia, ktorým sa vykonáva článok 41 ods. 7, 8 a 9 legislatívneho dekrétu č. 208 z 8. novembra 2021 o programoch, videách vytvorených používateľmi alebo audiovizuálnych komerčných oznámeniach určených talianskej verejnosti a šírených platformou, ktorej dodávateľ má sídlo v inom členskom štáte, s cieľom získať od všetkých zainteresovaných strán všetky najužitočnejšie informácie a prvky hodnotenia, </w:t>
      </w:r>
    </w:p>
    <w:p w14:paraId="658D9B42" w14:textId="6395161B" w:rsidR="007E543F" w:rsidRDefault="00D41051" w:rsidP="00370FBB">
      <w:pPr>
        <w:spacing w:before="240" w:after="360" w:line="240" w:lineRule="auto"/>
        <w:ind w:right="-1" w:firstLine="709"/>
      </w:pPr>
      <w:r>
        <w:t>PO VYPOČUTÍ správy predsedu,</w:t>
      </w:r>
    </w:p>
    <w:p w14:paraId="70BE3761" w14:textId="226F8AE3" w:rsidR="00B27360" w:rsidRPr="000D6914" w:rsidRDefault="00D73DDB" w:rsidP="00370FBB">
      <w:pPr>
        <w:spacing w:after="240" w:line="240" w:lineRule="auto"/>
        <w:ind w:left="0" w:firstLine="0"/>
        <w:jc w:val="center"/>
        <w:rPr>
          <w:b/>
        </w:rPr>
      </w:pPr>
      <w:r>
        <w:rPr>
          <w:b/>
          <w:sz w:val="23"/>
        </w:rPr>
        <w:t>TÝMTO NARIAĎUJE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Jediný článok</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Týmto sa začína verejná konzultácia k „</w:t>
      </w:r>
      <w:r>
        <w:rPr>
          <w:i/>
          <w:color w:val="auto"/>
        </w:rPr>
        <w:t>návrhu nariadenia, ktorým sa vykonáva článok 41 ods. 9 legislatívneho dekrétu č. 208 z 8. novembra 2021 o programoch, videách vytvorených používateľmi alebo audiovizuálnych komerčných oznámeniach určených talianskej verejnosti a šírených platformou na zdieľanie videí, ktorej dodávateľ má sídlo v inom členskom štáte</w:t>
      </w:r>
      <w:r>
        <w:rPr>
          <w:color w:val="auto"/>
        </w:rPr>
        <w:t xml:space="preserve">“, ako sa uvádza v prílohe A k tomuto uzneseniu.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Osobou zodpovednou za konanie je právnik Francesco Di Giorgi z oddelenia digitálnych služieb.</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Konzultačné postupy sú opísané v prílohe B k tomuto uzneseniu.</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Informácie a údaje relevantné pre vypracovanie posúdenia regulačného vplyvu sú uvedené v prílohe C k tomuto uzneseniu.</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Prílohy A, B a C tvoria neoddeliteľnú a podstatnú časť tohto opatrenia.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Toto opatrenie je uverejnené na webovom sídle úradu. Na účely termínov stanovených v prílohách je rozhodujúci dátum uverejnenia.</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Proti tomuto opatreniu možno podať námietku na regionálnom správnom súde v Laziu do 60 dní odo dňa jeho uverejnenia.</w:t>
      </w:r>
    </w:p>
    <w:p w14:paraId="0C26B4FD" w14:textId="3870673A" w:rsidR="00A33E41" w:rsidRDefault="6F4CE840" w:rsidP="00370FBB">
      <w:pPr>
        <w:spacing w:after="160" w:line="240" w:lineRule="auto"/>
        <w:ind w:left="0" w:firstLine="567"/>
        <w:rPr>
          <w:rFonts w:eastAsia="Calibri"/>
        </w:rPr>
      </w:pPr>
      <w:r>
        <w:t>V Ríme 16. marca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PREDSEDA</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Na potvrdenie súladu uznesenia</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lastRenderedPageBreak/>
        <w:t>GENERÁLNA TAJOMNÍČKA</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Príloha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k uzneseniu č.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NÁVRH NARIADENIA, KTORÝM SA VYKONÁVA ČLÁNOK 41 ODS. 9 LEGISLATÍVNEHO DEKRÉTU Č. 208 Z 8. NOVEMBRA 2021 O PROGRAMOCH, VIDEÁCH VYTVORENÝCH POUŽÍVATEĽMI ALEBO AUDIOVIZUÁLNYCH KOMERČNÝCH OZNÁMENIACH URČENÝCH TALIANSKEJ VEREJNOSTI A ŠÍRENÝCH PLATFORMOU NA ZDIEĽANIE VIDEÍ, KTOREJ DODÁVATEĽ MÁ SÍDLO V INOM ČLENSKOM ŠTÁTE </w:t>
      </w:r>
    </w:p>
    <w:p w14:paraId="4BF1EFDA" w14:textId="77777777" w:rsidR="00B744DC" w:rsidRPr="00B744DC" w:rsidRDefault="00B744DC" w:rsidP="00B744DC">
      <w:pPr>
        <w:spacing w:after="0" w:line="276" w:lineRule="auto"/>
        <w:ind w:left="0" w:hanging="11"/>
        <w:jc w:val="center"/>
        <w:rPr>
          <w:b/>
          <w:szCs w:val="24"/>
        </w:rPr>
      </w:pPr>
      <w:r>
        <w:rPr>
          <w:b/>
        </w:rPr>
        <w:t>ČASŤ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Článok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Vymedzenie pojmov</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Na účely tohto nariadenia sa stanovujú tieto vymedzenia pojmov: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„TUSMA“ je: legislatívny dekrét č. 208 z 8. novembra 2021 o </w:t>
      </w:r>
      <w:r>
        <w:rPr>
          <w:i/>
          <w:color w:val="auto"/>
        </w:rPr>
        <w:t>„vykonávaní smernice Európskeho parlamentu a Rady (EÚ) 2018/1808 zo 14. novembra 2018, ktorou sa mení smernica 2010/13/EÚ o koordinácii niektorých ustanovení upravených zákonom, iným právnym predpisom alebo správnym opatrením v členských štátoch týkajúcich sa konsolidovaného zákona o poskytovaní audiovizuálnych mediálnych služieb s ohľadom na meniace sa podmienky na trhu</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„legislatívny dekrét“ je: dekrét č. 70 z 9. apríla 2003 o „</w:t>
      </w:r>
      <w:r>
        <w:rPr>
          <w:i/>
          <w:color w:val="auto"/>
        </w:rPr>
        <w:t>o vykonávaní smernice 2000/31/ES o určitých právnych aspektoch služieb informačnej spoločnosti na vnútornom trhu, najmä o elektronickom obchode</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„poskytovateľ služieb“ je: poskytovateľ služieb informačnej spoločnosti </w:t>
      </w:r>
      <w:r>
        <w:t xml:space="preserve">alebo </w:t>
      </w:r>
      <w:r>
        <w:rPr>
          <w:color w:val="auto"/>
        </w:rPr>
        <w:t>fyzická alebo právnická osoba alebo neuznané združenie poskytujúce službu informačnej spoločnosti, konkrétne službu uvedenú v článku 1 ods. 1 písm. b) zákona č. 317 z 21. júna 1986 v znení legislatívneho dekrétu č. 223 z 15. decembra 2017 a následných zmien a doplnení,</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„služba platformy na zdieľanie videí“ je: služba, ako ju vymedzujú články 56 a 57 Zmluvy o fungovaní Európskej únie, pričom základný účel služby alebo jej oddeliteľnej časti alebo zásadná funkcia tejto služby je poskytovanie programov, videí vytvorených používateľmi alebo programov aj videí vytvorených používateľmi širokej verejnosti, za ktoré poskytovateľ platformy na zdieľanie videí nenesie redakčnú zodpovednosť, s cieľom informovať, zabávať alebo vzdelávať </w:t>
      </w:r>
      <w:r>
        <w:lastRenderedPageBreak/>
        <w:t>prostredníctvom elektronických komunikačných sietí v zmysle článku 2 písm. a) smernice Európskeho parlamentu a Rady 2002/21/ES z 12. júla 2002, a ktorých organizáciu určuje poskytovateľ platformy na zdieľanie videí, a to aj automatickými prostriedkami alebo algoritmami, najmä prostredníctvom zobrazovania, označovania a radenia,</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„poskytovateľ platformy na zdieľanie videí“ je: fyzická alebo právnická osoba poskytujúca službu platformy na zdieľanie videí,</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je: séria animovaných obrázkov, či už so zvukom alebo bez zvuku, okrem tzv. </w:t>
      </w:r>
      <w:r>
        <w:rPr>
          <w:i/>
          <w:color w:val="000000" w:themeColor="text1"/>
        </w:rPr>
        <w:t>gif</w:t>
      </w:r>
      <w:r>
        <w:rPr>
          <w:color w:val="000000" w:themeColor="text1"/>
        </w:rPr>
        <w:t>, ktoré tvoria jeden prvok bez ohľadu na jeho trvanie v rámci harmonogramu alebo katalógu vytvoreného poskytovateľom mediálnej služby vrátane celovečerných filmov, videoklipov, športových podujatí, situačných komédií (sitcom), dokumentárnych filmov, detských programov a pôvodnej hranej tvorby,</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„video vytvorené používateľom“ je: séria animovaných obrázkov, či už so zvukom alebo bez zvuku, ktoré tvoria jeden prvok bez ohľadu na jeho trvanie, vytvorená používateľom a nahraná na platformu na zdieľanie videí tým istým alebo iným používateľom,</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„audiovizuálne komerčné oznámenie“ je: obrázky so zvukom alebo bez zvuku určené na priamu alebo nepriamu propagáciu tovaru, služieb alebo imidžu fyzickej alebo právnickej osoby, ktorá vykonáva ekonomickú činnosť, okrem iného vrátane televíznej reklamy, sponzorstva, televíznej propagácie, televízneho nakupovania a umiestňovania produktov, ktoré sú začlenené alebo sprievodné v rámci programu alebo videa vytvoreného používateľom za odplatu alebo inú odmenu alebo na účely vlastnej propagácie,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„spotrebiteľ“ je: každá fyzická osoba konajúca na iné účely, ako je jej obchodná, podnikateľská, remeselná alebo profesionálna činnosť,</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„používateľ“ je: fyzická alebo právnická osoba, ktorá na platforme na zdieľanie videí nahráva obsah uvedený v článku 3 ods. 1 písm. g) a h) TUSMA, konkrétne fyzická osoba, ktorá využíva obsah prístupný prostredníctvom platformy na zdieľanie videí,</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„investor“: retailový klient alebo retailový investor podľa legislatívneho dekrétu č. 58 z 24. februára 1998, ktorým sa ustanovuje konsolidovaný zákon o financiách, t. j. klient alebo investor, ktorý nie je profesionálnym klientom alebo profesionálnym investorom,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„úrad“: Úrad pre reguláciu komunikácií,</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„kolektívny orgán“: rada úradu,</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„riaditeľstvo“ a „riaditeľ“ sú: Riaditeľstvo pre digitálne služby úradu a (dočasný) </w:t>
      </w:r>
      <w:r>
        <w:rPr>
          <w:i/>
          <w:color w:val="auto"/>
        </w:rPr>
        <w:t>pro-tempore</w:t>
      </w:r>
      <w:r>
        <w:rPr>
          <w:color w:val="auto"/>
        </w:rPr>
        <w:t xml:space="preserve"> riaditeľ,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„kancelária“: organizačná jednotka druhej úrovne,</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„príslušný vnútroštátny úrad“: správny orgán členského štátu, v ktorom má poskytovateľ platformy na zdieľanie videí sídlo alebo sa predpokladá, že v ňom má sídlo a ktorý je príslušný zaoberať sa okolnosťami, na ktoré sa vzťahuje toto nariadenie,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„osoba zodpovedná za konanie“ je: vedúci alebo úradník, ktorý je v súlade s pravidlami organizácie a činnosti úradu zodpovedný za vykonávanie vyšetrovacích činností a akýchkoľvek iných povinností súvisiacich s postupom uvedeným v tomto nariadení,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„elektronické komunikačné siete“ sú: siete vymedzené v článku 2 ods. 1 smernice Európskeho parlamentu a Rady (EÚ) 2018/1972 z 11. decembra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„sankčné nariadenie“ je: príloha A k uzneseniu č. 410/14/CONS o “</w:t>
      </w:r>
      <w:r>
        <w:rPr>
          <w:i/>
          <w:color w:val="auto"/>
        </w:rPr>
        <w:t>Procesnom poriadku o správnych pokutách a záväzkoch</w:t>
      </w:r>
      <w:r>
        <w:rPr>
          <w:color w:val="auto"/>
        </w:rPr>
        <w:t>“ naposledy zmenenému a doplnenému uznesením č.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„smernica o audiovizuálnych mediálnych službách“ je: smernica Európskeho parlamentu a Rady 2010/13/EÚ z 10. marca 2010 o koordinácii niektorých ustanovení upravených zákonom, iným právnym predpisom alebo správnym opatrením v členských štátoch týkajúcich sa poskytovania audiovizuálnych mediálnych služieb, v znení zmien smernice Európskeho parlamentu a Rady 2018/1808 zo 14. novembra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skupina európskych regulačných orgánov pre audiovizuálne mediálne služby zriadená rozhodnutím Európskej komisie C(2014) 462 z 3. februára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memorandum o porozumení</w:t>
      </w:r>
      <w:r>
        <w:rPr>
          <w:color w:val="auto"/>
        </w:rPr>
        <w:t>“: dokument prijatý skupinou ERGA 3. decembra 2020 s cieľom vytvoriť rámec pre spoluprácu a výmenu informácií medzi jej členmi v záujme harmonizovaného uplatňovania smernice o audiovizuálnych mediálnych službách.</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KAPITOLA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Rozsah pôsobnosti</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Článok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Všeobecné zásady</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Bez toho, aby boli dotknuté ustanovenia článku 41 ods. 1, 2, 3, 4, 5 a 6 TUSMA, toto nariadenie upravuje postup na obmedzenie voľného pohybu programov, videí vytvorených používateľmi a audiovizuálnych komerčných oznámení šírených platformou na zdieľanie videí, ktorej dodávateľ má sídlo v inom členskom štáte a ktoré sú určené talianskej verejnosti, na základe nariadenia úradu, v súlade s kritériami stanovenými v článku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Úrad prijme opatrenia uvedené v odseku 1, ak sú: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nevyhnutné vo vzťahu k účelom uvedeným v článku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a</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primerané týmto účelom.</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Článok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Subjektívne identifikačné kritériá</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S cieľom určiť, či je program, video vytvorené používateľom alebo audiovizuálne komerčné oznámenie šírené poskytovateľom so sídlom v inom členskom štáte určené talianskej verejnosti, musí byť splnené aspoň jedno z týchto kritérií:</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prevládajúce používanie talianskeho jazyka v programe, videu vytvorenom používateľom alebo audiovizuálnom komerčnom oznámení, ktoré sa má posudzovať vo vzťahu k zvuku, titulkom alebo používaniu talianskeho posunkového jazyka,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používanie talianskeho jazyka v rámci služby platformy na zdieľanie videí, ktorá sa má posúdiť vo vzťahu k prítomnosti textových prvkov v taliančine v používateľskom rozhraní, ako aj dostupnosti viacjazyčnej funkcie, ktorá zahŕňa taliansky jazyk,</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zapojenie prostredníctvom služby platformy na zdieľanie videí alebo programu, videa vytvoreného používateľom alebo komerčného oznámenia významného priemerného počtu jednotlivých mesačných používateľov v Taliansku na základe údajov poskytnutých orgánmi s najvyšším zastúpením celého referenčného sektora, a to aj vzhľadom na multimediálne konvergenčné procesy, ktorých organizácia spĺňa aj zásady nestrannosti, autonómie a nezávislosti,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dosiahnutie príjmov získaných v Taliansku zo strany poskytovateľa platformy na zdieľanie videí, aj keď sa uvádza vo finančných výkazoch spoločností so sídlom v zahraničí.</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Článok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Účel zásahu</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Podľa článku 41 ods. 7 a 8 TUSMA sa voľný pohyb programov, videí vytvorených používateľmi a audiovizuálnych komerčných oznámení šírených platformou na zdieľanie videí uvedenou v článku 2 ods. 1 môže na základe uznesenia úradu obmedziť na tieto účely:</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ochrana maloletých osôb pred obsahom, ktorý môže poškodiť ich fyzický, duševný alebo morálny vývoj v súlade s článkom 38 ods. 1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boj proti podnecovaniu k rasovej, sexuálnej, náboženskej alebo etnickej nenávisti a proti porušovaniu ľudskej dôstojnosti,</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ochrana spotrebiteľa vrátane investorov v zmysle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Na účely predchádzajúceho odseku úrad koná: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okamžite a priamo v súlade s článkom 7 ods. 4 prvou vetou, ak na konci činností pred vyšetrovaním, ako sa uvádza v článku 5, existuje naliehavá záležitosť v zmysle článku 5 ods. 4 </w:t>
      </w:r>
      <w:r>
        <w:rPr>
          <w:i/>
          <w:color w:val="auto"/>
        </w:rPr>
        <w:t>legislatívneho dekrétu</w:t>
      </w:r>
      <w:r>
        <w:rPr>
          <w:color w:val="auto"/>
        </w:rPr>
        <w:t xml:space="preserve"> týkajúca sa vzniku skutočností alebo okolností predstavujúcich vážnu, bezprostrednú a nenapraviteľnú ujmu na právach používateľov,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v súlade s postupom uvedeným v článku 10 v súlade s ustanoveniami druhej vety článku 7 ods. 4 v prípadoch, keď v zmysle predchádzajúceho písmena neexistuje naliehavá záležitosť,</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KAPITOLA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 prijímania obmedzujúcich opatrení</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Článok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Intervenčné opatrenia a činnosti pred vyšetrovaním</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Riaditeľstvo z úradnej moci alebo na základe oznámenia od strany vykoná potrebné kontroly na overenie prítomnosti obsahu určeného talianskej verejnosti, ktorý nespĺňa účely stanovené v článku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Riaditeľstvo zhromažďuje všetky potrebné prvky, a to aj prostredníctvom inšpekcií, žiadostí o informácie a dokumentov, vypočutí, vyšetrovaní na účely zistenia potrebných skutočností a správ.</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Na účely vykonávania dozornej činnosti môže riaditeľstvo využiť podporu redakčnej skupiny rozhlasového vysielania, časti osobitného tímu pre tovar a služby finančnej polície a sekcie poštovej polície a komunikácie štátnej polície v súlade s memorandami </w:t>
      </w:r>
      <w:r>
        <w:rPr>
          <w:color w:val="auto"/>
        </w:rPr>
        <w:lastRenderedPageBreak/>
        <w:t xml:space="preserve">o porozumení podpísanými s úradom.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Overovacia činnosť pred vyšetrovaním sa dokončí s výhradou osobitných a odôvodnených požiadaviek do dvanástich dní od okamihu, keď sa riaditeľstvo formálne dozvie o skutočnostiach.</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Článok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Nahlasovanie úradu</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Ktokoľvek môže úradu oznámiť šírenie programov, videí vytvorených používateľmi a audiovizuálnych komerčných oznámení šírených platformou na zdieľanie videí uvedenou v článku 2 ods. 1, ak sa domnieva, že obsah je v rozpore s účelmi uvedenými v článku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Žiadosť uvedená v odseku 1 sa zasiela tak, že sa pod hrozbou neprípustnosti použije a v plnom rozsahu vyplní vzor, ktorý je k dispozícii na webovom sídle úradu, pričom sa uvedú najmä:</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osobné údaje nahlasujúcej osoby: meno, priezvisko a bydlisko alebo názov, právny zástupca a sídlo v prípade právnických osôb,</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názov príslušného poskytovateľa platformy na zdieľanie videí,</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obsah, ktorý sa podľa tohto nariadenia považuje za nezákonný, pričom sa uvedú všetky relevantné prvky na jeho jednoznačnú identifikáciu, a ak je to možné, osoba, ktorá ho nahrala na platformu na zdieľanie videí,</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akýkoľvek ďalší funkčný prvok hodnotenia nahlasovaného správania, kópia akýchkoľvek nahlásení, ktoré už boli zaslané poskytovateľovi služieb zdieľania videí, a ich výsledok, ako aj kópia akejkoľvek korešpondencie medzi nimi,</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dôvody odôvodňujúce žiadosť a záujem, ktorý sa považuje za poškodený šírením obsahu.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Ak nahlásenie neobsahuje prvky uvedené v odseku 2, riaditeľstvo môže pri výkone svojich právomocí v každom prípade začať vyšetrovanie, ak sa na základe súhrnného preskúmania prijatej dokumentácie zdajú byť splnené podmienky na prijatie opatrenia uvedeného v článku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Konanie pred úradom sa nesmie začať, ak prebieha konanie pred súdnym orgánom v súvislosti s tým istým predmetom konania a medzi tými istými stranami.</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Prijaté nahlásenia sa môžu zoskupiť v súvislosti s predmetom, poškodeným záujmom alebo príslušnou platformou a môžu sa riešiť spoločne.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Článok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lastRenderedPageBreak/>
        <w:t>Výsledok činnosti pred vyšetrovaním</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Riaditeľstvo v lehote uvedenej v článku 5 ods. 4 zabezpečí administratívnu archiváciu žiadostí, ktoré sú: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neprípustné z dôvodu nesúladu s požiadavkami stanovenými v článku 6 ods. 2 alebo z dôvodu nedostatku podstatných informácií,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neprípustné podľa článku 6 ods. 4 alebo z dôvodu ukončenia údajného porušenia,</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neprípustné, pretože nepatria do rozsahu pôsobnosti tohto nariadenia,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zjavne neopodstatnené, pretože zjavne chýbajú skutkové a právne predpoklady, ktoré môžu predstavovať porušenie, a to aj pokiaľ ide o právomoci úradu.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Riaditeľstvo oznámi nahlasovateľovi archivácie vykonané podľa odseku 1 písm. a), b), c) a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Každé tri mesiace riaditeľstvo informuje kolektívny orgán o začatom alebo archivovanom konaní.</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Riaditeľ po získaní návrhu príslušnej kancelárie obsahujúceho presný opis skutočností a posúdenie naliehavosti v zmysle článku 4 ods. 2 písm. a), bez toho, aby boli dotknuté prípady uvedené v odseku 1, a ak sa domnieva, že takéto naliehavé záležitosti skutočne existujú, začne v lehote uvedenej v článku 5 ods. 4 konanie podľa článku 8 ods. 1. Ak sa riaditeľ nedomnieva, že existuje naliehavá záležitosť v zmysle článku 4 ods. 2 písm. a), a za predpokladu, že nenariadi podanie podľa odseku 1, riaditeľ sa v rovnakej lehote uvedenej v článku 5 ods. 4 obráti na kolektívny orgán, aby prijal následné uznesenia uvedené v článku 10 ods. 1, pričom na tento účel vypracuje osobitnú správu.</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Článok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Postup vyšetrovania pred riaditeľstvom</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t>R</w:t>
      </w:r>
      <w:r>
        <w:rPr>
          <w:color w:val="auto"/>
        </w:rPr>
        <w:t xml:space="preserve">iaditeľstvo oznámi začatie konania poskytovateľovi platformy </w:t>
      </w:r>
      <w:r>
        <w:rPr>
          <w:color w:val="000000" w:themeColor="text1"/>
        </w:rPr>
        <w:t>na zdieľanie videí na kontaktnom mieste určenom pre Taliansko, ak je uvedené, alebo v jeho sídle. Postup sa ukončí do 30 dní od oznámenia, s výnimkou prípadného pozastavenia, ktoré nepresahuje 15 dní, na vykonanie osobitných a odôvodnených hĺbkových vyšetrovaní.</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Oznámenie, ktorým sa začína konanie, obsahuje identifikáciu programu, videa vytvoreného používateľom alebo audiovizuálneho komerčného oznámenia, o ktorom sa tvrdí, že je v rozpore so záujmami a účelmi uvedenými v článku 4, zhrnutie skutočností a výsledkov vykonaných vyšetrovaní, označenie príslušnej kancelárie a osoby zodpovednej za konanie, ako aj lehotu na predloženie vyjadrení k obhajobe a na ukončenie konania, ktoré sa začína oznámením.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lastRenderedPageBreak/>
        <w:t>Tým istým oznámením uvedeným v odseku 1 riaditeľstvo informuje poskytovateľa platformy na zdieľanie videí, ktorý sa môže dobrovoľne prispôsobiť do 5 dní od oznámenia o začatí komunikácie, a to tak, že informuje riaditeľstvo, ktoré nariadi administratívne ukončenie konania po informovaní kolektívneho orgánu a pokiaľ tento orgán neurčí inak. V druhom prípade sa lehoty postupu predĺžia o 5 dní.</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 výnimkou prípadu spontánneho prispôsobenia uvedeného v odseku 3 riaditeľstvo na základe výsledku vyšetrovania postúpi dokumenty kolektívnemu orgánu, pričom predloží návrh na archiváciu alebo prijatie opatrení uvedených v článku 41 ods. 7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Ak sa nahlasovateľ v priebehu konania obráti na súdny orgán v rovnakej situácii, bezodkladne o tom informuje riaditeľstvo. V takom prípade riaditeľ zabezpečí administratívnu archiváciu.</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Článok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Záverečné opatrenia</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Kolektívny orgán ukončí konanie, ak usúdi, že podmienky stanovené v článku 2 ods. 2 nie sú splnené.</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Ak sú splnené podmienky stanovené v článku 2 ods. 2, kolektívny orgán nariadi poskytovateľovi platformy na zdieľanie videí, aby prijal všetky opatrenia vrátane odstránenia, ktoré by talianskej verejnosti bránili v prístupe k obsahu, ktorý sa považuje za obsah v rozpore s účelmi stanovenými v článku 4. Príkaz sa musí vykonať bezodkladne a v každom prípade do 3 dní od oznámenia.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Opatrenia uvedené v odseku 2 sa oznámia bezodkladne a v každom prípade najneskôr do 3 dní od oznámenia Európskej komisii a príslušnému správnemu orgánu v členskom štáte, v ktorom má dodávateľ sídlo alebo sa predpokladá, že v ňom má sídlo, spolu s naliehavými záležitosťami.</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KAPITOLA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 nahlasovania príslušnému vnútroštátnemu orgánu</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Článok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Nahlasovanie príslušnému vnútroštátnemu orgánu</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Kolektívny orgán po preskúmaní dokumentov a posúdení nahlásenia podaného podľa článku 7 ods. 4 druhej vety, pokiaľ sa nedomnieva, že nie sú splnené podmienky na podanie alebo v prípade naliehavých záležitostí na začatie konania podľa článku 8, bezodkladne postúpi dokumenty vnútroštátnemu príslušnému orgánu v členskom štáte, v ktorom má dodávateľ sídlo alebo sa predpokladá, že v ňom má sídlo, s cieľom </w:t>
      </w:r>
      <w:r>
        <w:rPr>
          <w:color w:val="auto"/>
        </w:rPr>
        <w:lastRenderedPageBreak/>
        <w:t xml:space="preserve">prijať opatrenia v rámci svojej právomoci aktiváciou príslušných postupov spolupráce medzi členskými štátmi, a to aj použitím príslušných informácií poskytnutých v </w:t>
      </w:r>
      <w:r>
        <w:rPr>
          <w:i/>
          <w:color w:val="auto"/>
        </w:rPr>
        <w:t>memorande o porozumení.</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Ak od príslušného vnútroštátneho orgánu nebolo prijaté oznámenie do 7 dní od zaslania dokumentov uvedených v odseku 1 alebo v rámci inej lehoty stanovenej v príslušných postupoch spolupráce, riaditeľstvo informuje kolektívny orgán a nariadi začatie konania v súlade s článkom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V prípade, že príslušný vnútroštátny orgán zaslal prijaté opatrenie v lehote uvedenej v odseku 2, riaditeľstvo posúdi jeho primeranosť a vypracuje osobitnú správu, ktorú zašle kolektívnemu orgánu do siedmich dní. Správa uvedená v predchádzajúcej vete obsahuje návrh na posúdenie</w:t>
      </w:r>
      <w:r>
        <w:rPr>
          <w:rFonts w:asciiTheme="minorHAnsi" w:hAnsiTheme="minorHAnsi"/>
          <w:color w:val="auto"/>
          <w:sz w:val="22"/>
        </w:rPr>
        <w:t xml:space="preserve"> </w:t>
      </w:r>
      <w:r>
        <w:rPr>
          <w:color w:val="auto"/>
        </w:rPr>
        <w:t xml:space="preserve">o primeranosti opatrenia prijatého príslušným vnútroštátnym orgánom na ochranu záujmov používateľov alebo na začatie konania v súlade s článkom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Kolektívny orgán po preskúmaní správy a posúdení návrhu uvedeného v odseku 3, ak len nepotvrdzuje prijatie opatrenia príslušným vnútroštátnym orgánom, nariadi začatie konania, ktorého konečný úkon, ak pozostáva z príkazu v zmysle článku 9 ods. 2 nariadenia, sa pred prijatím oznámi Európskej komisii a príslušnému vnútroštátnemu orgánu.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ČASŤ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Záverečné ustanovenia</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Článok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Lehoty</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Pri výpočte lehôt uvedených v tomto nariadení sa zohľadňujú len pracovné dni.</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Článok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Pravidlá odkazovania</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Na všetko, čo nie je výslovne uvedené v týchto nariadeniach, sa uplatňuje nariadenie o sankciách.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Článok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Doložka o preskúmaní</w:t>
      </w:r>
    </w:p>
    <w:p w14:paraId="0FF2692B" w14:textId="2A4752D9" w:rsidR="00B744DC" w:rsidRDefault="00B744DC" w:rsidP="00337343">
      <w:pPr>
        <w:spacing w:after="160" w:line="259" w:lineRule="auto"/>
        <w:ind w:left="0" w:firstLine="0"/>
        <w:rPr>
          <w:b/>
          <w:color w:val="auto"/>
          <w:szCs w:val="24"/>
        </w:rPr>
      </w:pPr>
      <w:r>
        <w:rPr>
          <w:color w:val="auto"/>
        </w:rPr>
        <w:t>1. Úrad má po vypočutí príslušných zainteresovaných strán právo preskúmať toto nariadenie na základe skúseností získaných z jeho vykonávania a vzhľadom na technologické inovácie a vývoj trhu.</w:t>
      </w: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Príloha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k uzneseniu č.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KONZULTAČNÉ POSTUPY</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Úrad má v úmysle prostredníctvom verejnej konzultácie zhromažďovať pripomienky a informácie o </w:t>
      </w:r>
      <w:r>
        <w:rPr>
          <w:i/>
          <w:color w:val="auto"/>
        </w:rPr>
        <w:t>„návrhu nariadenia, ktorým sa vykonáva článok 41 ods. 9 legislatívneho dekrétu č. 208 z 8. novembra 2021 o programoch, videách vytvorených používateľmi alebo audiovizuálnych komerčných oznámeniach určených talianskej verejnosti a šírených platformou na zdieľanie videí, ktorej dodávateľ má sídlo v inom členskom štáte</w:t>
      </w:r>
      <w:r>
        <w:t>“</w:t>
      </w:r>
      <w:r>
        <w:rPr>
          <w:color w:val="auto"/>
        </w:rPr>
        <w:t xml:space="preserve"> (pozri prílohu A k uzneseniu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Všetky zainteresované strany sú vyzvané, aby svoje príspevky do konzultácie zaslali v rámci povinnej lehoty </w:t>
      </w:r>
      <w:r>
        <w:rPr>
          <w:b/>
          <w:color w:val="auto"/>
        </w:rPr>
        <w:t xml:space="preserve">tridsať (30) dní </w:t>
      </w:r>
      <w:r>
        <w:rPr>
          <w:color w:val="auto"/>
        </w:rPr>
        <w:t xml:space="preserve">od uverejnenia uznesenia 76/23/CONS na </w:t>
      </w:r>
      <w:r>
        <w:rPr>
          <w:i/>
          <w:color w:val="auto"/>
        </w:rPr>
        <w:t xml:space="preserve">webovom sídle </w:t>
      </w:r>
      <w:r>
        <w:rPr>
          <w:color w:val="auto"/>
        </w:rPr>
        <w:t xml:space="preserve">úradu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Zmeny nariadenia sa môžu navrhnúť vo forme zmeny článkov so stručným odôvodnením aspektov záujmu reagujúceho subjektu spolu s akýmikoľvek ďalšími prvkami užitočnými pre konzultáciu.</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Príspevky k verejnej konzultácii by sa mali zaslať overeným e-mailom na adresu </w:t>
      </w:r>
      <w:hyperlink r:id="rId12">
        <w:r>
          <w:rPr>
            <w:color w:val="0563C1"/>
            <w:u w:val="single"/>
          </w:rPr>
          <w:t xml:space="preserve">agcom@cert.agcom.it </w:t>
        </w:r>
      </w:hyperlink>
      <w:r>
        <w:rPr>
          <w:color w:val="auto"/>
        </w:rPr>
        <w:t xml:space="preserve"> do pozornosti Francesca Di Giorgi alebo doporučeným listom s potvrdením o prevzatí, kuriérom alebo doporučeným listom do vlastných rúk s predmetom </w:t>
      </w:r>
      <w:r>
        <w:rPr>
          <w:i/>
          <w:color w:val="auto"/>
        </w:rPr>
        <w:t>„Meno zúčastnenej osoby - Verejná konzultácia uvedená v uznesení 76/23/CONS</w:t>
      </w:r>
      <w:r>
        <w:rPr>
          <w:color w:val="auto"/>
        </w:rPr>
        <w:t xml:space="preserve">“ na túto adresu: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Úrad pre reguláciu komunikácií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Riaditeľstvo pre digitálne služby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do pozornosti osoby zodpovednej za konanie </w:t>
      </w:r>
    </w:p>
    <w:p w14:paraId="2DA92BEE" w14:textId="77777777" w:rsidR="006500C1" w:rsidRPr="008C361D" w:rsidRDefault="006500C1" w:rsidP="006500C1">
      <w:pPr>
        <w:spacing w:after="0" w:line="276" w:lineRule="auto"/>
        <w:ind w:left="0" w:hanging="11"/>
        <w:rPr>
          <w:i/>
          <w:iCs/>
          <w:color w:val="auto"/>
          <w:szCs w:val="24"/>
        </w:rPr>
      </w:pPr>
      <w:r>
        <w:rPr>
          <w:i/>
          <w:color w:val="auto"/>
        </w:rPr>
        <w:t>Pán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Rím</w:t>
      </w:r>
    </w:p>
    <w:p w14:paraId="1852BA6A" w14:textId="77777777" w:rsidR="006500C1" w:rsidRPr="006500C1" w:rsidRDefault="006500C1" w:rsidP="006500C1">
      <w:pPr>
        <w:spacing w:after="240" w:line="276" w:lineRule="auto"/>
        <w:ind w:left="0" w:hanging="11"/>
        <w:rPr>
          <w:color w:val="auto"/>
          <w:szCs w:val="24"/>
        </w:rPr>
      </w:pPr>
      <w:r>
        <w:rPr>
          <w:color w:val="auto"/>
        </w:rPr>
        <w:t xml:space="preserve">Zainteresované strany môžu osobitnou žiadosťou požiadať o zverejnenie svojich pripomienok počas vypočutia na základe predchádzajúceho písomného dokumentu. Uvedená žiadosť musí byť úradu doručená zaslaním na vyššie uvedené adresy, ako aj na </w:t>
      </w:r>
      <w:r>
        <w:rPr>
          <w:color w:val="auto"/>
        </w:rPr>
        <w:lastRenderedPageBreak/>
        <w:t>e-mailovú adresu</w:t>
      </w:r>
      <w:r>
        <w:t xml:space="preserve"> </w:t>
      </w:r>
      <w:hyperlink r:id="rId13" w:history="1">
        <w:r>
          <w:rPr>
            <w:color w:val="0563C1"/>
            <w:u w:val="single"/>
          </w:rPr>
          <w:t>segreteria.dsdi@agcom.it</w:t>
        </w:r>
      </w:hyperlink>
      <w:r>
        <w:rPr>
          <w:color w:val="auto"/>
        </w:rPr>
        <w:t xml:space="preserve">, a to v lehote </w:t>
      </w:r>
      <w:r>
        <w:rPr>
          <w:b/>
          <w:color w:val="auto"/>
        </w:rPr>
        <w:t xml:space="preserve">tridsať (30) dní </w:t>
      </w:r>
      <w:r>
        <w:rPr>
          <w:color w:val="auto"/>
        </w:rPr>
        <w:t xml:space="preserve">od uverejnenia uznesenia 76/23/CONS na </w:t>
      </w:r>
      <w:r>
        <w:rPr>
          <w:i/>
          <w:color w:val="auto"/>
        </w:rPr>
        <w:t>webovom sídle</w:t>
      </w:r>
      <w:r>
        <w:rPr>
          <w:color w:val="auto"/>
        </w:rPr>
        <w:t xml:space="preserve"> úradu. V tej istej žiadosti o zaslanie akejkoľvek následnej komunikácie sa musí uviesť kontaktná osoba, telefónny kontakt a </w:t>
      </w:r>
      <w:r>
        <w:rPr>
          <w:i/>
          <w:color w:val="auto"/>
        </w:rPr>
        <w:t>e-mail</w:t>
      </w:r>
      <w:r>
        <w:rPr>
          <w:color w:val="auto"/>
        </w:rPr>
        <w:t>.</w:t>
      </w:r>
    </w:p>
    <w:p w14:paraId="38C62D3B" w14:textId="77777777" w:rsidR="006500C1" w:rsidRPr="006500C1" w:rsidRDefault="006500C1" w:rsidP="006500C1">
      <w:pPr>
        <w:spacing w:after="240" w:line="276" w:lineRule="auto"/>
        <w:ind w:left="0" w:hanging="11"/>
        <w:rPr>
          <w:color w:val="auto"/>
          <w:szCs w:val="24"/>
        </w:rPr>
      </w:pPr>
      <w:r>
        <w:rPr>
          <w:color w:val="auto"/>
        </w:rPr>
        <w:t xml:space="preserve">Účastníci konzultácie, ktorí chcú odstrániť prístup k niektorým dokumentačným prvkom zaslaným spolu s pripomienkami, musia k poskytnutej dokumentácii pripojiť vyhlásenie uvedené v článku 16 nariadenia o prístupe schváleného uznesením č. 383/17/CONS, ktoré obsahuje uvedenie dokumentov alebo častí dokumentov, ktoré sa majú odstrániť z prístupu, a osobitné dôvody dôvernosti alebo utajenia, vo vzťahu ku každej časti dokumentu, ktoré odôvodňujú žiadosť.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Oznámenia poskytnuté účastníkmi konzultácie nepredstavujú žiadny nárok, podmienku ani povinnosť vo vzťahu k akýmkoľvek následným rozhodnutiam úradu. </w:t>
      </w:r>
    </w:p>
    <w:p w14:paraId="1D33F215" w14:textId="77777777" w:rsidR="006500C1" w:rsidRPr="006500C1" w:rsidRDefault="006500C1" w:rsidP="006500C1">
      <w:pPr>
        <w:spacing w:after="360" w:line="276" w:lineRule="auto"/>
        <w:ind w:left="0" w:hanging="11"/>
        <w:rPr>
          <w:color w:val="auto"/>
          <w:szCs w:val="24"/>
        </w:rPr>
      </w:pPr>
      <w:r>
        <w:rPr>
          <w:color w:val="auto"/>
        </w:rPr>
        <w:t>Úrad si vyhradzuje právo uverejniť na svojom webovom sídle www.agcom.it pripomienky a dokumenty prijaté aj v neanonymnej forme, berúc do úvahy uvedený stupeň prístupnosti.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Príloha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k uzneseniu č.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UPLATŇOVANIE POSÚDENIA REGULAČNÉHO VPLYVU PODĽA UZNESENIA Č.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Podľa uznesenia 125/16/CONS má úrad v úmysle uplatniť posúdenie regulačného vplyvu na nariadenie uvedené v prílohe A. Vzhľadom na usmernenia k posúdeniu regulačného vplyvu prijaté v uznesení č. 211/21/CONS sa vykonáva najmä zjednodušené posúdenie regulačného vplyvu, analýza sa zameria na posúdenie možností zásahu, ktoré sú v tomto prípade v podstate ako možnosti vykonávania, pričom na odôvodnenie opatrenia ponechá preskúmanie ostatných prvkov posúdenia regulačného vplyvu: analýzu kontextu, definíciu problému a identifikáciu príjemcov.</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Malo by sa zvážiť, že prijatie nariadenia uvedeného v prílohe A je ustanovené v legislatívnom dekréte č. 208/2021, v ktorom sa v článku 41 ods. 9 stanovuje, že </w:t>
      </w:r>
      <w:r>
        <w:rPr>
          <w:i/>
          <w:color w:val="auto"/>
        </w:rPr>
        <w:t>„Postup prijímania opatrení uvedených v odseku 7 určí úrad vlastným nariadením.“</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V tejto súvislosti pravidlo zabezpečuje dozornému úradu obmedzenú voľnosť pri výbere možností makrozásahov, keďže nie je možné určiť možnosť nezasahovania, a takisto sa v ňom uvádza zoznam minimálnych kritérií, ktoré sa majú zvážiť, aby sa obsah mohol hodnotiť tak, že je určený talianskej verejnosti.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Okrem toho novosť a potenciálna zložitosť uplatňovania ustanovení nariadenia dosť sťažujú vykonanie posúdenia </w:t>
      </w:r>
      <w:r>
        <w:rPr>
          <w:i/>
          <w:color w:val="auto"/>
        </w:rPr>
        <w:t>ex-ante</w:t>
      </w:r>
      <w:r>
        <w:rPr>
          <w:color w:val="auto"/>
        </w:rPr>
        <w:t xml:space="preserve"> aj s očakávanými vplyvmi. V dôsledku toho má úrad v úmysle po prijatí nariadenia predložiť plán monitorovania pokroku zameraný na získanie dodatočných informácií pri uplatňovaní.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Právny rámec</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Legislatívny dekrét č. 208 z 8. novembra 2021 a najmä článok 41 ods. 7, 8 a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Dôvody zásahu</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Podľa uznesenia č. 125/16/CONS má úrad v úmysle uplatniť posúdenie regulačného vplyvu na nariadenie uvedené v prílohe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 xml:space="preserve">Toto posúdenie sa vzhľadom na usmernenia k posudzovaniu regulačného vplyvu prijaté v uznesení č. 211/21/CONS vykonáva v zjednodušenej forme, keďže prijatie </w:t>
      </w:r>
      <w:r>
        <w:rPr>
          <w:color w:val="auto"/>
        </w:rPr>
        <w:lastRenderedPageBreak/>
        <w:t>nariadenia je stanovené v článku 41 ods. 9 legislatívneho dekrétu č. 208/2021 v rozsahu, v akom stanovuje, že úrad prostredníctvom osobitného nariadenia stanovuje postup prijímania opatrení na obmedzenie voľného pohybu programov, videí vytvorených používateľmi a audiovizuálnych komerčných oznámení šírených platformou na zdieľanie videí, ktorej poskytovateľ má sídlo v inom členskom štáte, a určených talianskej verejnosti.</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Pravidlo preto úradu zabezpečuje obmedzenú voľnosť pri výbere makromožností pre zásah, pretože nemožno určiť možnosť nezasahovania.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Oblasť zásahu</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Priami príjemcovia povinností: poskytovatelia platforiem na zdieľanie videí so sídlom v inom členskom štáte, ktorých obsah je určený talianskej verejnosti</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Nepriami príjemcovia: úrady, používatelia služieb platformy na zdieľanie videí, združenia na ochranu základných práv uvedené v článku 41 ods. 7 písm. a), b) a c) legislatívneho dekrétu č.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Ciele a ukazovatele:</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Po prvé, ochrana maloletých osôb, ochrana dôstojnosti osoby, boj proti nenávistným prejavom, ochrana spotrebiteľov.</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Vymedzenie kritérií, na základe ktorých sa predpokladá, že obsah je určený talianskej verejnosti.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Určenie naliehavých záležitostí, v ktorých môže úrad prijať opatrenia na obmedzenie voľného pohybu programov, videí vytvorených používateľmi a audiovizuálnych komerčných oznámení šírených platformou na zdieľanie videí, ktorej dodávateľ má sídlo v inom členskom štáte, a určených talianskej verejnosti</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Vymedzenie alternatívnych možností</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možnosť nula: žiadne regulačné opatrenie,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možnosť 1: vykonávanie článku 41 ods. 7, 8 a 9 legislatívneho dekrétu č. 208/2021 a vymedzenie postupu obmedzenia obehu programov, videí vytvorených používateľmi a audiovizuálnych komerčných oznámení šírených platformou na zdieľanie videí, ktorej dodávateľ má sídlo v inom členskom štáte, a určených talianskej verejnosti na účely ochrany maloletých osôb, boja proti nenávistným prejavom a ochrany spotrebiteľov.</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Identifikácia uprednostňovanej možnosti a odôvodnenie výberu</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Možnosti regulačného zásahu sú obmedzené primárnymi právnymi predpismi a možnosť nula nie je uskutočniteľná.</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lastRenderedPageBreak/>
        <w:t xml:space="preserve">Regulačná činnosť je v tomto prípade stanovená v primárnych právnych predpisoch a úrad upravuje postup prijímania opatrení na obmedzenie obehu programov, videí vytvorených používateľmi a audiovizuálnych komerčných oznámení, v ktorých sa špecifikujú objektívne a subjektívne oblasti uplatňovania primárnych právnych predpisov.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Regulačné opatrenie sa preto prijíma na vykonanie článku 41 ods. 7, 8 a 9 legislatívneho dekrétu č.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106D6026"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834F" w14:textId="77777777" w:rsidR="00D16B3C" w:rsidRDefault="00D16B3C" w:rsidP="00300D52">
      <w:pPr>
        <w:spacing w:after="0" w:line="240" w:lineRule="auto"/>
      </w:pPr>
      <w:r>
        <w:separator/>
      </w:r>
    </w:p>
  </w:endnote>
  <w:endnote w:type="continuationSeparator" w:id="0">
    <w:p w14:paraId="3E1B3C27" w14:textId="77777777" w:rsidR="00D16B3C" w:rsidRDefault="00D16B3C" w:rsidP="00300D52">
      <w:pPr>
        <w:spacing w:after="0" w:line="240" w:lineRule="auto"/>
      </w:pPr>
      <w:r>
        <w:continuationSeparator/>
      </w:r>
    </w:p>
  </w:endnote>
  <w:endnote w:type="continuationNotice" w:id="1">
    <w:p w14:paraId="576561C1" w14:textId="77777777" w:rsidR="00D16B3C" w:rsidRDefault="00D16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2FE" w14:textId="77777777" w:rsidR="00D16B3C" w:rsidRDefault="00D16B3C" w:rsidP="00300D52">
      <w:pPr>
        <w:spacing w:after="0" w:line="240" w:lineRule="auto"/>
      </w:pPr>
      <w:r>
        <w:separator/>
      </w:r>
    </w:p>
  </w:footnote>
  <w:footnote w:type="continuationSeparator" w:id="0">
    <w:p w14:paraId="2BCD51A5" w14:textId="77777777" w:rsidR="00D16B3C" w:rsidRDefault="00D16B3C" w:rsidP="00300D52">
      <w:pPr>
        <w:spacing w:after="0" w:line="240" w:lineRule="auto"/>
      </w:pPr>
      <w:r>
        <w:continuationSeparator/>
      </w:r>
    </w:p>
  </w:footnote>
  <w:footnote w:type="continuationNotice" w:id="1">
    <w:p w14:paraId="7051F09B" w14:textId="77777777" w:rsidR="00D16B3C" w:rsidRDefault="00D16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ÚRAD PRE </w:t>
                          </w:r>
                          <w:r>
                            <w:rPr>
                              <w:rFonts w:ascii="Arial" w:hAnsi="Arial"/>
                              <w:color w:val="auto"/>
                              <w:shd w:val="clear" w:color="auto" w:fill="FFFFFF"/>
                            </w:rPr>
                            <w:t>REGULÁCIU KOMUNIKÁCIÍ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ÚRAD PRE </w:t>
                    </w:r>
                    <w:r>
                      <w:rPr>
                        <w:color w:val="auto"/>
                        <w:shd w:val="clear" w:color="auto" w:fill="FFFFFF"/>
                        <w:rFonts w:ascii="Arial" w:hAnsi="Arial"/>
                      </w:rPr>
                      <w:t xml:space="preserve">REGULÁCIU KOMUNIKÁCIÍ</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ÚRAD </w:t>
                          </w:r>
                          <w:r>
                            <w:rPr>
                              <w:rStyle w:val="Emphasis"/>
                              <w:rFonts w:ascii="Arial" w:hAnsi="Arial"/>
                              <w:i w:val="0"/>
                              <w:color w:val="auto"/>
                              <w:shd w:val="clear" w:color="auto" w:fill="FFFFFF"/>
                            </w:rPr>
                            <w:t xml:space="preserve">PRE </w:t>
                          </w:r>
                          <w:r>
                            <w:rPr>
                              <w:rFonts w:ascii="Arial" w:hAnsi="Arial"/>
                              <w:color w:val="auto"/>
                              <w:shd w:val="clear" w:color="auto" w:fill="FFFFFF"/>
                            </w:rPr>
                            <w:t>REGULÁCIU KOMUNIKÁCIÍ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ÚRAD PRE </w:t>
                    </w:r>
                    <w:r>
                      <w:rPr>
                        <w:color w:val="auto"/>
                        <w:shd w:val="clear" w:color="auto" w:fill="FFFFFF"/>
                        <w:rFonts w:ascii="Arial" w:hAnsi="Arial"/>
                      </w:rPr>
                      <w:t xml:space="preserve">REGULÁCIU KOMUNIKÁCIÍ</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1BB"/>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B3C"/>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7150</Words>
  <Characters>40756</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