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94686" w:rsidRPr="00EA2F1F" w14:paraId="45F1E2DD" w14:textId="77777777" w:rsidTr="00294686">
        <w:tc>
          <w:tcPr>
            <w:tcW w:w="5000" w:type="pct"/>
          </w:tcPr>
          <w:p w14:paraId="36CBDD34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Projeto</w:t>
            </w:r>
          </w:p>
        </w:tc>
      </w:tr>
      <w:tr w:rsidR="00294686" w:rsidRPr="00EA2F1F" w14:paraId="0C888ADB" w14:textId="77777777" w:rsidTr="00294686">
        <w:tc>
          <w:tcPr>
            <w:tcW w:w="5000" w:type="pct"/>
          </w:tcPr>
          <w:p w14:paraId="6CEE498D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O Reino da Bélgica</w:t>
            </w:r>
          </w:p>
        </w:tc>
      </w:tr>
      <w:tr w:rsidR="00294686" w:rsidRPr="00CE2EE1" w14:paraId="4F47C327" w14:textId="77777777" w:rsidTr="00294686">
        <w:tc>
          <w:tcPr>
            <w:tcW w:w="5000" w:type="pct"/>
          </w:tcPr>
          <w:p w14:paraId="571B5990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Saúde Pública, Segurança da Cadeia Alimentar e Serviço Público Federal do Meio Ambiente</w:t>
            </w:r>
          </w:p>
        </w:tc>
      </w:tr>
      <w:tr w:rsidR="00294686" w:rsidRPr="00A34EBF" w14:paraId="202F835D" w14:textId="77777777" w:rsidTr="00294686">
        <w:tc>
          <w:tcPr>
            <w:tcW w:w="5000" w:type="pct"/>
          </w:tcPr>
          <w:p w14:paraId="6D59917E" w14:textId="0647BA30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Decreto Real que altera o Decreto Real de 27 de maio de 2014 relativo à colocação no mercado de substâncias fabricadas com nanopartículas</w:t>
            </w:r>
          </w:p>
        </w:tc>
      </w:tr>
      <w:tr w:rsidR="00294686" w:rsidRPr="00EA2F1F" w14:paraId="2FA7C70E" w14:textId="77777777" w:rsidTr="00294686">
        <w:tc>
          <w:tcPr>
            <w:tcW w:w="5000" w:type="pct"/>
          </w:tcPr>
          <w:p w14:paraId="019E441D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PHILIPPE, Rei dos belgas,</w:t>
            </w:r>
          </w:p>
        </w:tc>
      </w:tr>
      <w:tr w:rsidR="00294686" w:rsidRPr="00CE2EE1" w14:paraId="70AE02E7" w14:textId="77777777" w:rsidTr="00294686">
        <w:tc>
          <w:tcPr>
            <w:tcW w:w="5000" w:type="pct"/>
          </w:tcPr>
          <w:p w14:paraId="68647373" w14:textId="540FBC30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A todos os presentes e aos que estão por vir, Saudações. </w:t>
            </w:r>
          </w:p>
        </w:tc>
      </w:tr>
      <w:tr w:rsidR="00294686" w:rsidRPr="00CE2EE1" w14:paraId="317EF22C" w14:textId="77777777" w:rsidTr="00294686">
        <w:tc>
          <w:tcPr>
            <w:tcW w:w="5000" w:type="pct"/>
          </w:tcPr>
          <w:p w14:paraId="78A6C921" w14:textId="280EA4E8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Tendo em conta a Lei de 21 de dezembro de 1998 relativa às normas relativas aos produtos para a promoção de padrões de produção e consumo sustentáveis e a proteção do ambiente, da saúde e dos trabalhadores, Artigo 5.º, n.º 1, parágrafo 1, ponto 2, com a redação que lhe foi dada pelas leis de 27 de dezembro de 2004 e de 27 de julho de 2011;</w:t>
            </w:r>
          </w:p>
        </w:tc>
      </w:tr>
      <w:tr w:rsidR="00294686" w:rsidRPr="00CE2EE1" w14:paraId="1F96B804" w14:textId="77777777" w:rsidTr="00294686">
        <w:tc>
          <w:tcPr>
            <w:tcW w:w="5000" w:type="pct"/>
          </w:tcPr>
          <w:p w14:paraId="0E16E688" w14:textId="3A358715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Tendo em conta o Decreto Real, de 27 de maio de 2014, relativo à colocação no mercado de substâncias fabricadas com nanopartículas, com a redação que lhe foi dada pelo Decreto Real de 22 de dezembro de 2017;</w:t>
            </w:r>
          </w:p>
        </w:tc>
      </w:tr>
      <w:tr w:rsidR="00294686" w:rsidRPr="00E91981" w14:paraId="734CBDD8" w14:textId="77777777" w:rsidTr="00294686">
        <w:tc>
          <w:tcPr>
            <w:tcW w:w="5000" w:type="pct"/>
          </w:tcPr>
          <w:p w14:paraId="423B2D7C" w14:textId="0C4047C9" w:rsidR="00294686" w:rsidRPr="00E91981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Tendo em conta a participação dos governos regionais na preparação da presente Portaria, no âmbito da Conferência Interministerial sobre o Ambiente (CIE), realizada em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2AE9B9F0" w14:textId="77777777" w:rsidTr="00294686">
        <w:tc>
          <w:tcPr>
            <w:tcW w:w="5000" w:type="pct"/>
          </w:tcPr>
          <w:p w14:paraId="31B29422" w14:textId="23CCBC14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Tendo em conta o parecer do Conselho Nacional do Trabalho, emitido em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6C699EEC" w14:textId="77777777" w:rsidTr="00294686">
        <w:tc>
          <w:tcPr>
            <w:tcW w:w="5000" w:type="pct"/>
          </w:tcPr>
          <w:p w14:paraId="36AB8066" w14:textId="77777777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Tendo em conta o parecer do Conselho Económico Central, emitido em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4B759732" w14:textId="77777777" w:rsidTr="00294686">
        <w:tc>
          <w:tcPr>
            <w:tcW w:w="5000" w:type="pct"/>
          </w:tcPr>
          <w:p w14:paraId="1F4F978C" w14:textId="77777777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Tendo em conta o parecer do Conselho Federal para o Desenvolvimento Sustentável, emitido em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3ECC0FF1" w14:textId="77777777" w:rsidTr="00294686">
        <w:tc>
          <w:tcPr>
            <w:tcW w:w="5000" w:type="pct"/>
          </w:tcPr>
          <w:p w14:paraId="318E652C" w14:textId="445C850C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Tendo em conta o parecer do Conselho Superior de Saúde, emitido em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6428CE9F" w14:textId="77777777" w:rsidTr="00294686">
        <w:tc>
          <w:tcPr>
            <w:tcW w:w="5000" w:type="pct"/>
          </w:tcPr>
          <w:p w14:paraId="66EE6F18" w14:textId="53AEFC60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Tendo em conta o parecer do Conselho dos Consumidores, emitido em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7C092C0B" w14:textId="77777777" w:rsidTr="00294686">
        <w:tc>
          <w:tcPr>
            <w:tcW w:w="5000" w:type="pct"/>
          </w:tcPr>
          <w:p w14:paraId="1B147CEC" w14:textId="4D1CB7C3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Tendo em conta o parecer do Conselho Superior para a Prevenção e Proteção no Trabalho, emitido em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175E58F0" w14:textId="77777777" w:rsidTr="00294686">
        <w:tc>
          <w:tcPr>
            <w:tcW w:w="5000" w:type="pct"/>
          </w:tcPr>
          <w:p w14:paraId="1B4A95B7" w14:textId="49FA3B2F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Considerando a notificação do Conselho de Ministros, comunicada no contexto da adoção do Decreto Real, de 27 de maio de 2014, relativo à colocação no mercado de substâncias fabricadas com nanopartículas, segundo o qual seria adequada a definição de prioridades para as categorias de artigos a registar;</w:t>
            </w:r>
          </w:p>
        </w:tc>
      </w:tr>
      <w:tr w:rsidR="00294686" w:rsidRPr="002F6BBE" w14:paraId="08AFD9A7" w14:textId="77777777" w:rsidTr="00294686">
        <w:tc>
          <w:tcPr>
            <w:tcW w:w="5000" w:type="pct"/>
          </w:tcPr>
          <w:p w14:paraId="01C8A007" w14:textId="7F547F91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Tendo em conta o estudo realizado pela Universidade de Namur em 2022, na sequência do pedido do Conselho de Ministros para a avaliação dos artigos, que salientou o bom funcionamento e a utilidade do Decreto Real de 27 de maio de 2014 relativo à colocação no mercado de substâncias fabricadas com nanopartículas e a necessidade de completar a rastreabilidade dos nanomateriais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colocados no mercado na Bélgica através da aplicação da secção relativa aos artigos, dando prioridade a determinadas categorias de artigos para os quais a exposição humana é mais intensa ou problemática; </w:t>
            </w:r>
          </w:p>
        </w:tc>
      </w:tr>
      <w:tr w:rsidR="00294686" w:rsidRPr="002F6BBE" w14:paraId="096002D3" w14:textId="77777777" w:rsidTr="00294686">
        <w:tc>
          <w:tcPr>
            <w:tcW w:w="5000" w:type="pct"/>
          </w:tcPr>
          <w:p w14:paraId="4DE29AF8" w14:textId="5FBD223C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Tendo em conta a pandemia de COVID-19, a utilização generalizada de máscaras faciais por consumidores não profissionais e os vários estudos da Sciensano sobre produtos químicos que suscitam preocupação nas máscaras faciais, é essencial visar esta nova utilização e as exposições que esta implica; </w:t>
            </w:r>
          </w:p>
        </w:tc>
      </w:tr>
      <w:tr w:rsidR="00294686" w:rsidRPr="002F6BBE" w14:paraId="11612CB0" w14:textId="77777777" w:rsidTr="00294686">
        <w:tc>
          <w:tcPr>
            <w:tcW w:w="5000" w:type="pct"/>
          </w:tcPr>
          <w:p w14:paraId="133C7500" w14:textId="15C253CE" w:rsidR="00294686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Tendo em conta o parecer da Inspeção das Finanças, emitido em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3D3FB7EE" w14:textId="77777777" w:rsidTr="00294686">
        <w:tc>
          <w:tcPr>
            <w:tcW w:w="5000" w:type="pct"/>
          </w:tcPr>
          <w:p w14:paraId="63AB49EB" w14:textId="6B61583D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Tendo em conta o acordo do Ministro do Orçamento, emitido em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586C55E6" w14:textId="77777777" w:rsidTr="00294686">
        <w:tc>
          <w:tcPr>
            <w:tcW w:w="5000" w:type="pct"/>
          </w:tcPr>
          <w:p w14:paraId="56B77E12" w14:textId="1A03BEC8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Tendo em conta o parecer </w:t>
            </w:r>
            <w:r>
              <w:rPr>
                <w:rFonts w:ascii="Times New Roman" w:hAnsi="Times New Roman"/>
                <w:sz w:val="24"/>
                <w:highlight w:val="yellow"/>
              </w:rPr>
              <w:t>XXX</w:t>
            </w:r>
            <w:r>
              <w:rPr>
                <w:rFonts w:ascii="Times New Roman" w:hAnsi="Times New Roman"/>
                <w:sz w:val="24"/>
              </w:rPr>
              <w:t xml:space="preserve"> do Conselho de Estado, emitido em </w:t>
            </w:r>
            <w:r>
              <w:rPr>
                <w:rFonts w:ascii="Times New Roman" w:hAnsi="Times New Roman"/>
                <w:sz w:val="24"/>
                <w:highlight w:val="yellow"/>
              </w:rPr>
              <w:t>XXX</w:t>
            </w:r>
            <w:r>
              <w:rPr>
                <w:rFonts w:ascii="Times New Roman" w:hAnsi="Times New Roman"/>
                <w:sz w:val="24"/>
              </w:rPr>
              <w:t>, nos termos do Artigo 84.º, n.º 1, parágrafo 1, ponto 2, da Lei do Conselho de Estado, consolidado em 12 de janeiro de 1973;</w:t>
            </w:r>
          </w:p>
        </w:tc>
      </w:tr>
      <w:tr w:rsidR="00294686" w:rsidRPr="00CE2EE1" w14:paraId="3D9C5906" w14:textId="77777777" w:rsidTr="00294686">
        <w:tc>
          <w:tcPr>
            <w:tcW w:w="5000" w:type="pct"/>
          </w:tcPr>
          <w:p w14:paraId="55FF48E5" w14:textId="75CDC8E1" w:rsidR="00294686" w:rsidRPr="00EA2F1F" w:rsidRDefault="00294686" w:rsidP="0029468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Sob proposta do Ministro da Economia e do Trabalho, do Ministro da Saúde e do Ministro do Ambiente e do parecer dos Ministros que deliberaram em Conselho,</w:t>
            </w:r>
          </w:p>
        </w:tc>
      </w:tr>
      <w:tr w:rsidR="00294686" w:rsidRPr="00CE2EE1" w14:paraId="028A2AFB" w14:textId="77777777" w:rsidTr="00294686">
        <w:tc>
          <w:tcPr>
            <w:tcW w:w="5000" w:type="pct"/>
          </w:tcPr>
          <w:p w14:paraId="2FD7BD69" w14:textId="77777777" w:rsidR="00294686" w:rsidRPr="00EA2F1F" w:rsidRDefault="00294686" w:rsidP="00294686">
            <w:pPr>
              <w:tabs>
                <w:tab w:val="left" w:pos="0"/>
                <w:tab w:val="center" w:pos="2076"/>
              </w:tabs>
              <w:suppressAutoHyphens/>
              <w:spacing w:after="24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Decretámos e pelo presente decretamos: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294686" w:rsidRPr="00CE2EE1" w14:paraId="2D31C761" w14:textId="77777777" w:rsidTr="00294686">
        <w:tc>
          <w:tcPr>
            <w:tcW w:w="5000" w:type="pct"/>
          </w:tcPr>
          <w:p w14:paraId="010F55B3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Artigo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1.º</w:t>
            </w:r>
            <w:r>
              <w:rPr>
                <w:rFonts w:ascii="Times New Roman" w:hAnsi="Times New Roman"/>
                <w:sz w:val="24"/>
              </w:rPr>
              <w:t xml:space="preserve"> No Artigo 1.º do Decreto Real de 27 de maio de 2014 relativo à colocação no mercado de substâncias fabricadas com nanopartículas, são introduzidas as seguintes alterações:</w:t>
            </w:r>
          </w:p>
          <w:p w14:paraId="59AEA88D" w14:textId="55405D0B" w:rsidR="00294686" w:rsidRPr="00632B50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Os n.ºs 1 e 8 são revogados;</w:t>
            </w:r>
          </w:p>
          <w:p w14:paraId="70EF4C07" w14:textId="75F3E9E2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 O n.º 9, inserido pelo Decreto Real de 22 de dezembro de 2017, é revogado;</w:t>
            </w:r>
          </w:p>
          <w:p w14:paraId="4B739BEE" w14:textId="2DFE92BD" w:rsidR="00294686" w:rsidRPr="00BF05E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 O n.º 4 passa a ter a seguinte redação: «(4) Produtos alimentares referidos no Artigo 1.º, n.º 1, da Lei de 24 de janeiro de 1977 relativa à proteção da saúde dos consumidores no que respeita aos produtos alimentares e a outros produtos;».</w:t>
            </w:r>
          </w:p>
        </w:tc>
      </w:tr>
      <w:tr w:rsidR="00294686" w:rsidRPr="00CE2EE1" w14:paraId="6387C221" w14:textId="77777777" w:rsidTr="00294686">
        <w:tc>
          <w:tcPr>
            <w:tcW w:w="5000" w:type="pct"/>
          </w:tcPr>
          <w:p w14:paraId="2C0DA936" w14:textId="41506CEC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Artigo 2.º </w:t>
            </w:r>
            <w:r>
              <w:rPr>
                <w:rFonts w:ascii="Times New Roman" w:hAnsi="Times New Roman"/>
                <w:sz w:val="24"/>
              </w:rPr>
              <w:t xml:space="preserve">No Artigo 2.º da mesma Portaria, o parágrafo 1 é completado pelos pontos 26, 27 e 28, com a seguinte redação: </w:t>
            </w:r>
          </w:p>
          <w:p w14:paraId="785FFED4" w14:textId="567B194E" w:rsidR="00294686" w:rsidRPr="00BC1FAA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«(26) produto cosmético: qualquer substância ou mistura destinada a ser colocada em contacto com as partes superficiais do corpo humano (epiderme, sistemas capilares e capilares, unhas, lábios e genitálias externas) ou com os dentes e as mucosas orais, tendo em vista, exclusiva ou principalmente, limpá-los, perfumá-los, modificar a sua aparência, protegê-los, mantê-los em bom estado ou corrigir os cheiros corporais;</w:t>
            </w:r>
          </w:p>
          <w:p w14:paraId="08362045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N.º 27 Produto biocida: </w:t>
            </w:r>
          </w:p>
          <w:p w14:paraId="2879ECE2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qualquer substância ou mistura, na forma em que é entregue ao utilizador, constituída por uma ou mais substâncias ativas, que a contenha ou a produza, que se destine a destruir, repelir ou tornar inofensivos organismos prejudiciais, impedir a sua ação ou combatê-los de qualquer outra forma, exceto por simples ação física ou mecânica, </w:t>
            </w:r>
          </w:p>
          <w:p w14:paraId="5806B8C4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qualquer substância ou mistura gerada por substâncias ou misturas que não sejam elas próprias abrangidas pelo âmbito de aplicação do primeiro travessão, destinada a ser utilizada para destruir, repelir ou tornar inofensivas organismos prejudiciais, impedir a sua ação ou combatê-los de qualquer outra forma através de uma ação que não seja a mera ação física ou mecânica. </w:t>
            </w:r>
          </w:p>
          <w:p w14:paraId="42411C17" w14:textId="59DB959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Um artigo tratado com uma função essencialmente biocida é considerado um produto biocida; </w:t>
            </w:r>
          </w:p>
          <w:p w14:paraId="35AAC4AD" w14:textId="3E2223F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N.º 28 Materiais e objetos destinados a entrar em contacto com produtos alimentares: materiais e objetos, incluindo materiais e objetos ativos e inteligentes destinados a entrar em contacto com produtos alimentares que, enquanto produto acabado:</w:t>
            </w:r>
          </w:p>
          <w:p w14:paraId="7347F5D0" w14:textId="49C61E9F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destinam-se a entrar em contacto com produtos alimentares;</w:t>
            </w:r>
          </w:p>
          <w:p w14:paraId="2AAE2C04" w14:textId="7777777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ou</w:t>
            </w:r>
          </w:p>
          <w:p w14:paraId="5B2123BA" w14:textId="47631930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já estejam em contacto com produtos alimentares e se destinem a esse fim,</w:t>
            </w:r>
          </w:p>
          <w:p w14:paraId="2164834B" w14:textId="7777777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ou</w:t>
            </w:r>
          </w:p>
          <w:p w14:paraId="36E0A787" w14:textId="7BACC25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que possam razoavelmente esperar-se que entrem em contacto com os produtos alimentares ou transfiram os seus constituintes para produtos alimentares em condições normais ou previsíveis da sua utilização.».</w:t>
            </w:r>
          </w:p>
        </w:tc>
      </w:tr>
      <w:tr w:rsidR="00294686" w:rsidRPr="00CE2EE1" w14:paraId="108FD4E2" w14:textId="77777777" w:rsidTr="00294686">
        <w:tc>
          <w:tcPr>
            <w:tcW w:w="5000" w:type="pct"/>
          </w:tcPr>
          <w:p w14:paraId="1BCD58B0" w14:textId="14CEA8C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Artigo 3.º </w:t>
            </w:r>
            <w:r>
              <w:rPr>
                <w:rFonts w:ascii="Times New Roman" w:hAnsi="Times New Roman"/>
                <w:sz w:val="24"/>
              </w:rPr>
              <w:t xml:space="preserve">No Capítulo 3 da mesma Portaria, são inseridos os Artigos 10.ºa a 10.ºc, com a seguinte redação: </w:t>
            </w:r>
          </w:p>
          <w:p w14:paraId="2FD01DEC" w14:textId="09330499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“ Artigo 10.ºa As disposições do presente Capítulo aplicam-se às seguintes categorias de artigos: </w:t>
            </w:r>
          </w:p>
          <w:p w14:paraId="5E18B33C" w14:textId="046AE1CB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(1) Artigos têxteis;</w:t>
            </w:r>
          </w:p>
          <w:p w14:paraId="74A0F017" w14:textId="3F5E5186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(2) Artigos de cuidados pessoais e produtos cosméticos;</w:t>
            </w:r>
          </w:p>
          <w:p w14:paraId="5D27A6C1" w14:textId="2CCCBD67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(3) Artigo Artigos destinados a bebés e crianças; </w:t>
            </w:r>
          </w:p>
          <w:p w14:paraId="55351274" w14:textId="550BAD3E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(4) Filtros, equipamento de cozinha, materiais e objetos destinados a entrar em contacto com produtos alimentares;</w:t>
            </w:r>
          </w:p>
          <w:p w14:paraId="0DA8674E" w14:textId="0F74F695" w:rsidR="00294686" w:rsidRPr="00CE2EE1" w:rsidRDefault="00294686" w:rsidP="00294686">
            <w:pPr>
              <w:tabs>
                <w:tab w:val="center" w:pos="2076"/>
              </w:tabs>
              <w:suppressAutoHyphens/>
              <w:spacing w:after="240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(5) Máscaras faciais.</w:t>
            </w:r>
          </w:p>
        </w:tc>
      </w:tr>
      <w:tr w:rsidR="00294686" w:rsidRPr="00CE2EE1" w14:paraId="46EAF310" w14:textId="77777777" w:rsidTr="00294686">
        <w:tc>
          <w:tcPr>
            <w:tcW w:w="5000" w:type="pct"/>
          </w:tcPr>
          <w:p w14:paraId="7EC803C5" w14:textId="6AB6B33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Artigo 10.ºb. Na aceção do presente Capítulo, entende-se por artigos têxteis: </w:t>
            </w:r>
          </w:p>
          <w:p w14:paraId="143A12BA" w14:textId="0D0E9ECA" w:rsidR="00294686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Vestuário;</w:t>
            </w:r>
          </w:p>
          <w:p w14:paraId="12B062EF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2CF783F8" w14:textId="77777777" w:rsidR="00294686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Calçado;</w:t>
            </w:r>
          </w:p>
          <w:p w14:paraId="2E8E83A2" w14:textId="77777777" w:rsidR="00294686" w:rsidRPr="00487405" w:rsidRDefault="00294686" w:rsidP="003662DE">
            <w:pPr>
              <w:pStyle w:val="ListParagraph"/>
              <w:ind w:left="176" w:hanging="142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44508921" w14:textId="481BC89F" w:rsidR="00294686" w:rsidRPr="00487405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Artigos de desporto, isto é, vestuário de desporto e outros têxteis desportivos;</w:t>
            </w:r>
          </w:p>
          <w:p w14:paraId="3F33E121" w14:textId="77777777" w:rsidR="00294686" w:rsidRPr="00487405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23A9DF5F" w14:textId="43D6DFAF" w:rsidR="00294686" w:rsidRPr="006D0067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Os têxteis, com exceção do vestuário que, em condições normais ou razoavelmente previsíveis de utilização, entram em contacto com a pele humana numa medida semelhante à do vestuário. </w:t>
            </w:r>
          </w:p>
        </w:tc>
      </w:tr>
      <w:tr w:rsidR="00294686" w:rsidRPr="00CE2EE1" w14:paraId="4E669E53" w14:textId="77777777" w:rsidTr="00294686">
        <w:tc>
          <w:tcPr>
            <w:tcW w:w="5000" w:type="pct"/>
          </w:tcPr>
          <w:p w14:paraId="4E5D319D" w14:textId="28451C0B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Artigo 10.ºc. Para efeitos da aplicação do presente Capítulo, os seguintes produtos são tratados do seguinte modo:</w:t>
            </w:r>
          </w:p>
          <w:p w14:paraId="59A145C3" w14:textId="4E36429B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(1) Artigos de higiene pessoal e produtos cosméticos: </w:t>
            </w:r>
          </w:p>
          <w:p w14:paraId="1AFE4087" w14:textId="77777777" w:rsidR="0029468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Acessórios de cabeleireiro e maquilhagem;</w:t>
            </w:r>
          </w:p>
          <w:p w14:paraId="26FE4A18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046D4666" w14:textId="48932493" w:rsidR="0029468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Pequenos aparelhos utilizados para o corpo, dentes e cabelos;</w:t>
            </w:r>
          </w:p>
          <w:p w14:paraId="6F327C10" w14:textId="77777777" w:rsidR="00294686" w:rsidRPr="00882956" w:rsidRDefault="00294686" w:rsidP="003662DE">
            <w:pPr>
              <w:pStyle w:val="ListParagraph"/>
              <w:ind w:left="176" w:hanging="142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7ECE56D0" w14:textId="77777777" w:rsidR="00294686" w:rsidRPr="00D0209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Produtos cosméticos. </w:t>
            </w:r>
          </w:p>
          <w:p w14:paraId="4CE56412" w14:textId="0A9E7545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(2) Artigos destinados a bebés e crianças:</w:t>
            </w:r>
          </w:p>
          <w:p w14:paraId="173CDFC8" w14:textId="77777777" w:rsidR="00294686" w:rsidRDefault="00294686" w:rsidP="003662DE">
            <w:pPr>
              <w:pStyle w:val="ListParagraph"/>
              <w:numPr>
                <w:ilvl w:val="0"/>
                <w:numId w:val="7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Artigos de puericultura;</w:t>
            </w:r>
          </w:p>
          <w:p w14:paraId="1561BBF3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617406E8" w14:textId="77777777" w:rsidR="00294686" w:rsidRPr="006D0067" w:rsidRDefault="00294686" w:rsidP="003662DE">
            <w:pPr>
              <w:pStyle w:val="ListParagraph"/>
              <w:numPr>
                <w:ilvl w:val="0"/>
                <w:numId w:val="7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Brinquedos.</w:t>
            </w:r>
          </w:p>
          <w:p w14:paraId="3B39E3E0" w14:textId="34B1FB54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(3) Filtros, equipamento de cozinha, materiais e objetos destinados a entrar em contacto com produtos alimentares:</w:t>
            </w:r>
          </w:p>
          <w:p w14:paraId="36E7C9F0" w14:textId="77777777" w:rsidR="00294686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Filtros de água;</w:t>
            </w:r>
          </w:p>
          <w:p w14:paraId="392EB719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509F9DD6" w14:textId="7A6581F0" w:rsidR="00294686" w:rsidRPr="007A3A14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Style w:val="CommentReference"/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Filtros para exaustores;</w:t>
            </w:r>
          </w:p>
          <w:p w14:paraId="16770D03" w14:textId="77777777" w:rsidR="00294686" w:rsidRDefault="00294686" w:rsidP="003662DE">
            <w:pPr>
              <w:pStyle w:val="ListParagraph"/>
              <w:ind w:left="176" w:hanging="142"/>
              <w:rPr>
                <w:rStyle w:val="CommentReference"/>
              </w:rPr>
            </w:pPr>
          </w:p>
          <w:p w14:paraId="6CD2C07B" w14:textId="1BA52FD2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Utensílios de cozinha;</w:t>
            </w:r>
          </w:p>
          <w:p w14:paraId="6C2F1D0D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667A6AFD" w14:textId="77777777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Artigos elétricos e aparelhos de cozinha;</w:t>
            </w:r>
          </w:p>
          <w:p w14:paraId="01676214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762A3789" w14:textId="2EEE8940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Embalagem de alimentos e itens de preservação de alimentos.</w:t>
            </w:r>
          </w:p>
          <w:p w14:paraId="4CA16B4C" w14:textId="7621C52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(4) Máscaras faciais </w:t>
            </w:r>
          </w:p>
          <w:p w14:paraId="2CAB9B03" w14:textId="6E166E2F" w:rsidR="00294686" w:rsidRPr="00C308B1" w:rsidRDefault="00294686" w:rsidP="003662DE">
            <w:pPr>
              <w:pStyle w:val="ListParagraph"/>
              <w:numPr>
                <w:ilvl w:val="0"/>
                <w:numId w:val="9"/>
              </w:numPr>
              <w:tabs>
                <w:tab w:val="center" w:pos="2076"/>
              </w:tabs>
              <w:suppressAutoHyphens/>
              <w:spacing w:after="240"/>
              <w:ind w:left="176" w:hanging="14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Dispositivos aplicados no nariz e na boca, tecidos ou não-tecidos, utilizados para filtrar o ar exalado ou inalado.».</w:t>
            </w:r>
          </w:p>
        </w:tc>
      </w:tr>
      <w:tr w:rsidR="00294686" w:rsidRPr="00CE2EE1" w14:paraId="385F63DD" w14:textId="77777777" w:rsidTr="00294686">
        <w:tc>
          <w:tcPr>
            <w:tcW w:w="5000" w:type="pct"/>
          </w:tcPr>
          <w:p w14:paraId="71537D80" w14:textId="078F12A5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Artigo 4.º </w:t>
            </w:r>
            <w:r>
              <w:rPr>
                <w:rFonts w:ascii="Times New Roman" w:hAnsi="Times New Roman"/>
                <w:sz w:val="24"/>
              </w:rPr>
              <w:t>No Artigo 11.º da mesma Portaria, o n.º 2 do n.º 1 passa a ter a seguinte redação:</w:t>
            </w:r>
          </w:p>
          <w:p w14:paraId="5226DFAA" w14:textId="0659EFFF" w:rsidR="00294686" w:rsidRPr="001A57FA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«2. Uma quantidade superior a 100 gramas de, pelo menos, uma dessas substâncias fabricadas com nanopartículas ou uma quantidade de, pelo menos, mil unidades do artigo ou objeto complexo devem ser colocadas no mercado durante o ano civil em que a notificação é efetuada;». </w:t>
            </w:r>
          </w:p>
        </w:tc>
      </w:tr>
      <w:tr w:rsidR="00294686" w:rsidRPr="00CE2EE1" w14:paraId="20890BA3" w14:textId="77777777" w:rsidTr="00294686">
        <w:tc>
          <w:tcPr>
            <w:tcW w:w="5000" w:type="pct"/>
          </w:tcPr>
          <w:p w14:paraId="12DB7F1E" w14:textId="0150AABB" w:rsidR="00294686" w:rsidRPr="00DA3331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Artigo 5.º </w:t>
            </w:r>
            <w:r>
              <w:rPr>
                <w:rFonts w:ascii="Times New Roman" w:hAnsi="Times New Roman"/>
                <w:sz w:val="24"/>
              </w:rPr>
              <w:t>No Artigo 24.º da mesma Portaria, o parágrafo 3 do n.º 1 passa a ter a seguinte redação:</w:t>
            </w:r>
          </w:p>
          <w:p w14:paraId="6EC89856" w14:textId="5157EE62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“ Os Artigos 10.ºa a 17.º entram em vigor em 1 de janeiro 2025.». </w:t>
            </w:r>
          </w:p>
        </w:tc>
      </w:tr>
      <w:tr w:rsidR="00294686" w:rsidRPr="00CE2EE1" w14:paraId="77F3F118" w14:textId="77777777" w:rsidTr="00294686">
        <w:tc>
          <w:tcPr>
            <w:tcW w:w="5000" w:type="pct"/>
          </w:tcPr>
          <w:p w14:paraId="33F2780A" w14:textId="4A5736FA" w:rsidR="00294686" w:rsidRPr="00EA2F1F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Artigo 6.º </w:t>
            </w:r>
            <w:r>
              <w:rPr>
                <w:rFonts w:ascii="Times New Roman" w:hAnsi="Times New Roman"/>
                <w:sz w:val="24"/>
              </w:rPr>
              <w:tab/>
              <w:t>O Ministro da Economia, o Ministro do Trabalho, o Ministro da Saúde Pública e o Ministro do Ambiente são responsáveis pela execução da presente portaria.</w:t>
            </w:r>
          </w:p>
        </w:tc>
      </w:tr>
      <w:tr w:rsidR="00294686" w:rsidRPr="00C211F3" w14:paraId="64D7C9D1" w14:textId="77777777" w:rsidTr="00294686">
        <w:tc>
          <w:tcPr>
            <w:tcW w:w="5000" w:type="pct"/>
          </w:tcPr>
          <w:p w14:paraId="47C4C7E4" w14:textId="77777777" w:rsidR="00294686" w:rsidRDefault="00294686" w:rsidP="00754CD4">
            <w:pPr>
              <w:keepNext/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Dado a                                , em </w:t>
            </w:r>
          </w:p>
          <w:p w14:paraId="1101707E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203391C7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42C327F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BF623CD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C8A687F" w14:textId="383A9F18" w:rsidR="004B2B0E" w:rsidRPr="00CB1253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211F3" w14:paraId="78C15043" w14:textId="77777777" w:rsidTr="00294686">
        <w:tc>
          <w:tcPr>
            <w:tcW w:w="5000" w:type="pct"/>
          </w:tcPr>
          <w:p w14:paraId="1A9C53F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Pelo Rei,</w:t>
            </w:r>
          </w:p>
          <w:p w14:paraId="665F8013" w14:textId="290E09D7" w:rsidR="00294686" w:rsidRPr="00C211F3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nl-BE"/>
              </w:rPr>
            </w:pPr>
          </w:p>
        </w:tc>
      </w:tr>
      <w:tr w:rsidR="00294686" w:rsidRPr="00CE2EE1" w14:paraId="21D88696" w14:textId="77777777" w:rsidTr="00294686">
        <w:tc>
          <w:tcPr>
            <w:tcW w:w="5000" w:type="pct"/>
          </w:tcPr>
          <w:p w14:paraId="6FA51933" w14:textId="532B900E" w:rsidR="00294686" w:rsidRPr="00EA2F1F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Vice-Primeiro-Ministro e Ministro da Economia e do Trabalho,</w:t>
            </w:r>
          </w:p>
          <w:p w14:paraId="2BC4A533" w14:textId="77777777" w:rsidR="00294686" w:rsidRPr="00EA2F1F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202701E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968FF72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F50F975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F269D90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7778E9A" w14:textId="77777777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Pierre-Yves DERMAGNE</w:t>
            </w:r>
          </w:p>
          <w:p w14:paraId="2293F987" w14:textId="625B2EFD" w:rsidR="004B2B0E" w:rsidRPr="00EA2F1F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E2EE1" w14:paraId="5A9A34BC" w14:textId="77777777" w:rsidTr="00294686">
        <w:tc>
          <w:tcPr>
            <w:tcW w:w="5000" w:type="pct"/>
          </w:tcPr>
          <w:p w14:paraId="30B0F233" w14:textId="7B537494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 ministro da Saúde Pública,</w:t>
            </w:r>
          </w:p>
          <w:p w14:paraId="0F48569D" w14:textId="15C3BD5B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114419C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52F6E78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7ADDC97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15D5E04B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2B6B9F05" w14:textId="77777777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Frank VANDENBROUCKE</w:t>
            </w:r>
          </w:p>
          <w:p w14:paraId="7D5FADC4" w14:textId="14A4EAF1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E2EE1" w14:paraId="0292C8A6" w14:textId="77777777" w:rsidTr="00294686">
        <w:tc>
          <w:tcPr>
            <w:tcW w:w="5000" w:type="pct"/>
          </w:tcPr>
          <w:p w14:paraId="13F47562" w14:textId="49425655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 Ministra do Ambiente,</w:t>
            </w:r>
          </w:p>
          <w:p w14:paraId="2447F2FD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741AB3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AC8EB55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02B48884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FED6D9B" w14:textId="2BD0C223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48F3BE5E" w14:textId="10F6CE47" w:rsidR="001C2212" w:rsidRPr="00EA2F1F" w:rsidRDefault="009C19F7" w:rsidP="004B2B0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Zakia KHATTABI</w:t>
      </w:r>
    </w:p>
    <w:sectPr w:rsidR="001C2212" w:rsidRPr="00EA2F1F" w:rsidSect="008E0509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A5BB" w14:textId="77777777" w:rsidR="00CE1824" w:rsidRDefault="00CE1824" w:rsidP="005F68DC">
      <w:pPr>
        <w:spacing w:after="0" w:line="240" w:lineRule="auto"/>
      </w:pPr>
      <w:r>
        <w:separator/>
      </w:r>
    </w:p>
  </w:endnote>
  <w:endnote w:type="continuationSeparator" w:id="0">
    <w:p w14:paraId="25037B7F" w14:textId="77777777" w:rsidR="00CE1824" w:rsidRDefault="00CE1824" w:rsidP="005F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478628"/>
      <w:docPartObj>
        <w:docPartGallery w:val="Page Numbers (Bottom of Page)"/>
        <w:docPartUnique/>
      </w:docPartObj>
    </w:sdtPr>
    <w:sdtEndPr/>
    <w:sdtContent>
      <w:p w14:paraId="6DD08E80" w14:textId="77777777" w:rsidR="005F68DC" w:rsidRDefault="005F68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4B" w:rsidRPr="000F174B">
          <w:t>3</w:t>
        </w:r>
        <w:r>
          <w:fldChar w:fldCharType="end"/>
        </w:r>
      </w:p>
    </w:sdtContent>
  </w:sdt>
  <w:p w14:paraId="74F7ACCC" w14:textId="77777777" w:rsidR="005F68DC" w:rsidRDefault="005F6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CB91" w14:textId="77777777" w:rsidR="00CE1824" w:rsidRDefault="00CE1824" w:rsidP="005F68DC">
      <w:pPr>
        <w:spacing w:after="0" w:line="240" w:lineRule="auto"/>
      </w:pPr>
      <w:r>
        <w:separator/>
      </w:r>
    </w:p>
  </w:footnote>
  <w:footnote w:type="continuationSeparator" w:id="0">
    <w:p w14:paraId="08E8A6C3" w14:textId="77777777" w:rsidR="00CE1824" w:rsidRDefault="00CE1824" w:rsidP="005F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FA1"/>
    <w:multiLevelType w:val="hybridMultilevel"/>
    <w:tmpl w:val="B32C4598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18A077CE"/>
    <w:multiLevelType w:val="hybridMultilevel"/>
    <w:tmpl w:val="DCC88DD4"/>
    <w:lvl w:ilvl="0" w:tplc="B13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E1A"/>
    <w:multiLevelType w:val="hybridMultilevel"/>
    <w:tmpl w:val="2F842016"/>
    <w:lvl w:ilvl="0" w:tplc="BDCE2DEC"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2FE51929"/>
    <w:multiLevelType w:val="hybridMultilevel"/>
    <w:tmpl w:val="E488E608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32D55C5B"/>
    <w:multiLevelType w:val="hybridMultilevel"/>
    <w:tmpl w:val="11FC4F8E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35E00162"/>
    <w:multiLevelType w:val="hybridMultilevel"/>
    <w:tmpl w:val="C0C4A1AC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53BE57F2"/>
    <w:multiLevelType w:val="hybridMultilevel"/>
    <w:tmpl w:val="8E56EB72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66EB0302"/>
    <w:multiLevelType w:val="hybridMultilevel"/>
    <w:tmpl w:val="6CB4C2DA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" w15:restartNumberingAfterBreak="0">
    <w:nsid w:val="70AE25FD"/>
    <w:multiLevelType w:val="hybridMultilevel"/>
    <w:tmpl w:val="CC183FFE"/>
    <w:lvl w:ilvl="0" w:tplc="648E06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64832">
    <w:abstractNumId w:val="6"/>
  </w:num>
  <w:num w:numId="2" w16cid:durableId="1067344211">
    <w:abstractNumId w:val="1"/>
  </w:num>
  <w:num w:numId="3" w16cid:durableId="2145002940">
    <w:abstractNumId w:val="8"/>
  </w:num>
  <w:num w:numId="4" w16cid:durableId="294143871">
    <w:abstractNumId w:val="2"/>
  </w:num>
  <w:num w:numId="5" w16cid:durableId="231934786">
    <w:abstractNumId w:val="5"/>
  </w:num>
  <w:num w:numId="6" w16cid:durableId="2005358213">
    <w:abstractNumId w:val="4"/>
  </w:num>
  <w:num w:numId="7" w16cid:durableId="1976638562">
    <w:abstractNumId w:val="3"/>
  </w:num>
  <w:num w:numId="8" w16cid:durableId="40715801">
    <w:abstractNumId w:val="0"/>
  </w:num>
  <w:num w:numId="9" w16cid:durableId="1049494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53"/>
    <w:rsid w:val="000211A2"/>
    <w:rsid w:val="000211EC"/>
    <w:rsid w:val="00023F61"/>
    <w:rsid w:val="00025993"/>
    <w:rsid w:val="000263EE"/>
    <w:rsid w:val="00026529"/>
    <w:rsid w:val="00034B70"/>
    <w:rsid w:val="0004671A"/>
    <w:rsid w:val="00090310"/>
    <w:rsid w:val="000923B2"/>
    <w:rsid w:val="000A76E9"/>
    <w:rsid w:val="000B1D60"/>
    <w:rsid w:val="000B37C2"/>
    <w:rsid w:val="000F174B"/>
    <w:rsid w:val="000F2568"/>
    <w:rsid w:val="0010355A"/>
    <w:rsid w:val="00126AA1"/>
    <w:rsid w:val="0013267B"/>
    <w:rsid w:val="00150BA4"/>
    <w:rsid w:val="00153943"/>
    <w:rsid w:val="0016661B"/>
    <w:rsid w:val="0016766D"/>
    <w:rsid w:val="001A57FA"/>
    <w:rsid w:val="001B0F47"/>
    <w:rsid w:val="001C2212"/>
    <w:rsid w:val="001D23BC"/>
    <w:rsid w:val="001E257F"/>
    <w:rsid w:val="001E35FF"/>
    <w:rsid w:val="00211551"/>
    <w:rsid w:val="0022539E"/>
    <w:rsid w:val="00272E75"/>
    <w:rsid w:val="00276DFB"/>
    <w:rsid w:val="0028190C"/>
    <w:rsid w:val="00294686"/>
    <w:rsid w:val="002B2253"/>
    <w:rsid w:val="002B52ED"/>
    <w:rsid w:val="002D27EB"/>
    <w:rsid w:val="002F6BBE"/>
    <w:rsid w:val="00300E82"/>
    <w:rsid w:val="0031749F"/>
    <w:rsid w:val="0034001E"/>
    <w:rsid w:val="00340540"/>
    <w:rsid w:val="00343584"/>
    <w:rsid w:val="00357794"/>
    <w:rsid w:val="00363E95"/>
    <w:rsid w:val="003662DE"/>
    <w:rsid w:val="00371195"/>
    <w:rsid w:val="003816C9"/>
    <w:rsid w:val="003818BE"/>
    <w:rsid w:val="00390B90"/>
    <w:rsid w:val="003A0E1A"/>
    <w:rsid w:val="003A18A7"/>
    <w:rsid w:val="003B63F3"/>
    <w:rsid w:val="003E6386"/>
    <w:rsid w:val="003F4A55"/>
    <w:rsid w:val="00466656"/>
    <w:rsid w:val="00470ABA"/>
    <w:rsid w:val="00482878"/>
    <w:rsid w:val="00487405"/>
    <w:rsid w:val="00490637"/>
    <w:rsid w:val="0049575A"/>
    <w:rsid w:val="004A2ECE"/>
    <w:rsid w:val="004B23DF"/>
    <w:rsid w:val="004B2B0E"/>
    <w:rsid w:val="004B6322"/>
    <w:rsid w:val="004B6BB5"/>
    <w:rsid w:val="004D205E"/>
    <w:rsid w:val="004F7C5C"/>
    <w:rsid w:val="00511A87"/>
    <w:rsid w:val="00523653"/>
    <w:rsid w:val="00527006"/>
    <w:rsid w:val="005333F7"/>
    <w:rsid w:val="00535844"/>
    <w:rsid w:val="005379EA"/>
    <w:rsid w:val="00575730"/>
    <w:rsid w:val="00580B16"/>
    <w:rsid w:val="0058496F"/>
    <w:rsid w:val="00587372"/>
    <w:rsid w:val="00595B72"/>
    <w:rsid w:val="005A5A74"/>
    <w:rsid w:val="005B2D82"/>
    <w:rsid w:val="005B6B52"/>
    <w:rsid w:val="005C128E"/>
    <w:rsid w:val="005C6B2F"/>
    <w:rsid w:val="005D252F"/>
    <w:rsid w:val="005F68DC"/>
    <w:rsid w:val="005F764C"/>
    <w:rsid w:val="00610948"/>
    <w:rsid w:val="006114A4"/>
    <w:rsid w:val="00615557"/>
    <w:rsid w:val="00632B50"/>
    <w:rsid w:val="00633548"/>
    <w:rsid w:val="006346EE"/>
    <w:rsid w:val="00650EFE"/>
    <w:rsid w:val="006731A1"/>
    <w:rsid w:val="00674A60"/>
    <w:rsid w:val="00694901"/>
    <w:rsid w:val="006B554A"/>
    <w:rsid w:val="006D0067"/>
    <w:rsid w:val="006E4A66"/>
    <w:rsid w:val="006E5BE2"/>
    <w:rsid w:val="006F3CD7"/>
    <w:rsid w:val="0071750A"/>
    <w:rsid w:val="00722367"/>
    <w:rsid w:val="0074543B"/>
    <w:rsid w:val="0075244F"/>
    <w:rsid w:val="007540EF"/>
    <w:rsid w:val="00754CD4"/>
    <w:rsid w:val="00771CA2"/>
    <w:rsid w:val="007727EE"/>
    <w:rsid w:val="0077503A"/>
    <w:rsid w:val="0079713A"/>
    <w:rsid w:val="007A3A14"/>
    <w:rsid w:val="007A44F4"/>
    <w:rsid w:val="007A6B41"/>
    <w:rsid w:val="007C090E"/>
    <w:rsid w:val="007D6EC0"/>
    <w:rsid w:val="007E597E"/>
    <w:rsid w:val="007E74EF"/>
    <w:rsid w:val="008054E7"/>
    <w:rsid w:val="00813DED"/>
    <w:rsid w:val="00823A48"/>
    <w:rsid w:val="00836B12"/>
    <w:rsid w:val="00837658"/>
    <w:rsid w:val="00841A87"/>
    <w:rsid w:val="00852EF2"/>
    <w:rsid w:val="00882956"/>
    <w:rsid w:val="008A3254"/>
    <w:rsid w:val="008A75E6"/>
    <w:rsid w:val="008B2D40"/>
    <w:rsid w:val="008C7B84"/>
    <w:rsid w:val="008D06B4"/>
    <w:rsid w:val="008D2227"/>
    <w:rsid w:val="008E0509"/>
    <w:rsid w:val="008E3B5D"/>
    <w:rsid w:val="008F220A"/>
    <w:rsid w:val="008F2935"/>
    <w:rsid w:val="0091222E"/>
    <w:rsid w:val="00912D88"/>
    <w:rsid w:val="009627EA"/>
    <w:rsid w:val="00983263"/>
    <w:rsid w:val="00992C8E"/>
    <w:rsid w:val="009A0398"/>
    <w:rsid w:val="009C167A"/>
    <w:rsid w:val="009C19F7"/>
    <w:rsid w:val="009C56F7"/>
    <w:rsid w:val="009C7539"/>
    <w:rsid w:val="00A06B38"/>
    <w:rsid w:val="00A16CF1"/>
    <w:rsid w:val="00A2062D"/>
    <w:rsid w:val="00A34EBF"/>
    <w:rsid w:val="00A35872"/>
    <w:rsid w:val="00A44F8E"/>
    <w:rsid w:val="00A50F18"/>
    <w:rsid w:val="00A56101"/>
    <w:rsid w:val="00A608A7"/>
    <w:rsid w:val="00A744E1"/>
    <w:rsid w:val="00AA1E52"/>
    <w:rsid w:val="00AA220A"/>
    <w:rsid w:val="00AB39F4"/>
    <w:rsid w:val="00AB59BC"/>
    <w:rsid w:val="00AC773E"/>
    <w:rsid w:val="00AD2AFB"/>
    <w:rsid w:val="00AD37DE"/>
    <w:rsid w:val="00AE49F5"/>
    <w:rsid w:val="00AE4A9E"/>
    <w:rsid w:val="00B9044C"/>
    <w:rsid w:val="00BA28FE"/>
    <w:rsid w:val="00BA2C9D"/>
    <w:rsid w:val="00BA3F9B"/>
    <w:rsid w:val="00BC1FAA"/>
    <w:rsid w:val="00BD7CC3"/>
    <w:rsid w:val="00BE0D92"/>
    <w:rsid w:val="00BF05E5"/>
    <w:rsid w:val="00C018D4"/>
    <w:rsid w:val="00C14DC3"/>
    <w:rsid w:val="00C211F3"/>
    <w:rsid w:val="00C308B1"/>
    <w:rsid w:val="00C4124A"/>
    <w:rsid w:val="00C60541"/>
    <w:rsid w:val="00CA3F6D"/>
    <w:rsid w:val="00CA42E0"/>
    <w:rsid w:val="00CB1253"/>
    <w:rsid w:val="00CB5FF4"/>
    <w:rsid w:val="00CC70AE"/>
    <w:rsid w:val="00CD1F3E"/>
    <w:rsid w:val="00CD561B"/>
    <w:rsid w:val="00CE1824"/>
    <w:rsid w:val="00CE2EE1"/>
    <w:rsid w:val="00D02096"/>
    <w:rsid w:val="00D3281A"/>
    <w:rsid w:val="00D410D3"/>
    <w:rsid w:val="00D5196F"/>
    <w:rsid w:val="00D53884"/>
    <w:rsid w:val="00D5516B"/>
    <w:rsid w:val="00DA3331"/>
    <w:rsid w:val="00DE1982"/>
    <w:rsid w:val="00DE3D64"/>
    <w:rsid w:val="00DF41B8"/>
    <w:rsid w:val="00E04302"/>
    <w:rsid w:val="00E202C3"/>
    <w:rsid w:val="00E30CE3"/>
    <w:rsid w:val="00E351E1"/>
    <w:rsid w:val="00E4507B"/>
    <w:rsid w:val="00E51BC5"/>
    <w:rsid w:val="00E52527"/>
    <w:rsid w:val="00E676FC"/>
    <w:rsid w:val="00E67B9D"/>
    <w:rsid w:val="00E91981"/>
    <w:rsid w:val="00E978A5"/>
    <w:rsid w:val="00EA2F1F"/>
    <w:rsid w:val="00EB15E2"/>
    <w:rsid w:val="00EC40EA"/>
    <w:rsid w:val="00EC6E61"/>
    <w:rsid w:val="00EC767C"/>
    <w:rsid w:val="00EC7F3B"/>
    <w:rsid w:val="00ED0C30"/>
    <w:rsid w:val="00ED2C98"/>
    <w:rsid w:val="00EE4C09"/>
    <w:rsid w:val="00F077B1"/>
    <w:rsid w:val="00F13A0B"/>
    <w:rsid w:val="00F1473A"/>
    <w:rsid w:val="00F370A5"/>
    <w:rsid w:val="00F46A58"/>
    <w:rsid w:val="00F503FF"/>
    <w:rsid w:val="00F5652B"/>
    <w:rsid w:val="00F60212"/>
    <w:rsid w:val="00F64468"/>
    <w:rsid w:val="00F73332"/>
    <w:rsid w:val="00F87BA7"/>
    <w:rsid w:val="00F90A2A"/>
    <w:rsid w:val="00F96316"/>
    <w:rsid w:val="00F9664A"/>
    <w:rsid w:val="00F96675"/>
    <w:rsid w:val="00FB331B"/>
    <w:rsid w:val="00F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B7B5"/>
  <w15:docId w15:val="{CA300383-5B6F-4C79-A173-DB56446D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rsid w:val="00A44F8E"/>
    <w:pPr>
      <w:tabs>
        <w:tab w:val="center" w:pos="2076"/>
      </w:tabs>
      <w:suppressAutoHyphens/>
      <w:spacing w:after="0" w:line="240" w:lineRule="atLeast"/>
      <w:ind w:firstLine="527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44F8E"/>
    <w:rPr>
      <w:rFonts w:ascii="Times New Roman" w:eastAsia="Times New Roman" w:hAnsi="Times New Roman" w:cs="Times New Roman"/>
      <w:spacing w:val="-3"/>
      <w:sz w:val="24"/>
      <w:szCs w:val="24"/>
      <w:lang w:val="pt-PT" w:eastAsia="fr-FR"/>
    </w:rPr>
  </w:style>
  <w:style w:type="paragraph" w:styleId="BodyTextIndent">
    <w:name w:val="Body Text Indent"/>
    <w:basedOn w:val="Normal"/>
    <w:link w:val="BodyTextIndentChar"/>
    <w:semiHidden/>
    <w:rsid w:val="00A44F8E"/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spacing w:after="0" w:line="240" w:lineRule="atLeas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A44F8E"/>
    <w:rPr>
      <w:rFonts w:ascii="Times New Roman" w:eastAsia="Times New Roman" w:hAnsi="Times New Roman" w:cs="Times New Roman"/>
      <w:sz w:val="24"/>
      <w:szCs w:val="24"/>
      <w:lang w:val="pt-PT" w:eastAsia="fr-FR"/>
    </w:rPr>
  </w:style>
  <w:style w:type="paragraph" w:styleId="Header">
    <w:name w:val="header"/>
    <w:basedOn w:val="Normal"/>
    <w:link w:val="HeaderChar"/>
    <w:uiPriority w:val="99"/>
    <w:unhideWhenUsed/>
    <w:rsid w:val="005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DC"/>
  </w:style>
  <w:style w:type="paragraph" w:styleId="Footer">
    <w:name w:val="footer"/>
    <w:basedOn w:val="Normal"/>
    <w:link w:val="FooterChar"/>
    <w:uiPriority w:val="99"/>
    <w:unhideWhenUsed/>
    <w:rsid w:val="005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DC"/>
  </w:style>
  <w:style w:type="paragraph" w:styleId="BalloonText">
    <w:name w:val="Balloon Text"/>
    <w:basedOn w:val="Normal"/>
    <w:link w:val="BalloonTextChar"/>
    <w:uiPriority w:val="99"/>
    <w:semiHidden/>
    <w:unhideWhenUsed/>
    <w:rsid w:val="00AB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6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B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B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B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20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B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B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C7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8058-1792-4164-AE7F-490A03E4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health.fgov.be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 Gwennaelle</dc:creator>
  <cp:lastModifiedBy>Liana Brili</cp:lastModifiedBy>
  <cp:revision>3</cp:revision>
  <cp:lastPrinted>2022-11-24T15:17:00Z</cp:lastPrinted>
  <dcterms:created xsi:type="dcterms:W3CDTF">2023-02-20T10:16:00Z</dcterms:created>
  <dcterms:modified xsi:type="dcterms:W3CDTF">2023-02-28T07:55:00Z</dcterms:modified>
</cp:coreProperties>
</file>