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S E A D U S,</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MILLEGA MUUDETAKSE TUBAKA JA SELLEGA SEOTUD TOODETE KASUTAMISE PIIRAMISE SEADUST</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Tubaka ja sellega seotud toodete kasutamise piiramist käsitleva seaduse (ELT RS, nr 9/17 ja 29/17) artiklis 1 asendatakse sõnad „</w:t>
      </w:r>
      <w:hyperlink r:id="rId4" w:tgtFrame="_blank" w:tooltip="to EUR-Lex" w:history="1">
        <w:r>
          <w:rPr>
            <w:rFonts w:ascii="Arial" w:hAnsi="Arial"/>
            <w:color w:val="0000EE"/>
            <w:sz w:val="21"/>
            <w:u w:val="single" w:color="0000EE"/>
          </w:rPr>
          <w:t>komisjoni 10. oktoobri 2014. aasta delegeeritud direktiiv 2014/109/EL</w:t>
        </w:r>
      </w:hyperlink>
      <w:r>
        <w:rPr>
          <w:rFonts w:ascii="Arial" w:hAnsi="Arial"/>
          <w:sz w:val="21"/>
        </w:rPr>
        <w:t xml:space="preserve">, millega muudetakse </w:t>
      </w:r>
      <w:hyperlink r:id="rId5" w:tgtFrame="_blank" w:tooltip="to EUR-Lex" w:history="1">
        <w:r>
          <w:rPr>
            <w:rFonts w:ascii="Arial" w:hAnsi="Arial"/>
            <w:color w:val="0000EE"/>
            <w:sz w:val="21"/>
            <w:u w:val="single" w:color="0000EE"/>
          </w:rPr>
          <w:t>Euroopa Parlamendi ja nõukogu direktiivi 2014/40/EL II lisa</w:t>
        </w:r>
      </w:hyperlink>
      <w:r>
        <w:rPr>
          <w:rFonts w:ascii="Arial" w:hAnsi="Arial"/>
          <w:sz w:val="21"/>
        </w:rPr>
        <w:t xml:space="preserve"> tubakatoodetel kasutamiseks ette nähtud pilthoiatuste kogu kehtestamisega (ELT L 360, 17. 12. 2014, lk 22)“ sõnadega „</w:t>
      </w:r>
      <w:hyperlink r:id="rId6" w:tgtFrame="_blank" w:tooltip="to EUR-Lex" w:history="1">
        <w:r>
          <w:rPr>
            <w:rFonts w:ascii="Arial" w:hAnsi="Arial"/>
            <w:color w:val="0000EE"/>
            <w:sz w:val="21"/>
            <w:u w:val="single" w:color="0000EE"/>
          </w:rPr>
          <w:t>komisjoni 29. juuni 2022. aasta delegeeritud direktiiv (EL) 2022/2100</w:t>
        </w:r>
      </w:hyperlink>
      <w:r>
        <w:rPr>
          <w:rFonts w:ascii="Arial" w:hAnsi="Arial"/>
          <w:sz w:val="21"/>
        </w:rPr>
        <w:t xml:space="preserve">, millega muudetakse </w:t>
      </w:r>
      <w:hyperlink r:id="rId7" w:tgtFrame="_blank" w:tooltip="to EUR-Lex" w:history="1">
        <w:r>
          <w:rPr>
            <w:rFonts w:ascii="Arial" w:hAnsi="Arial"/>
            <w:color w:val="0000EE"/>
            <w:sz w:val="21"/>
            <w:u w:val="single" w:color="0000EE"/>
          </w:rPr>
          <w:t>Euroopa Parlamendi ja nõukogu direktiivi 2014/40/EL</w:t>
        </w:r>
      </w:hyperlink>
      <w:r>
        <w:rPr>
          <w:rFonts w:ascii="Arial" w:hAnsi="Arial"/>
          <w:sz w:val="21"/>
        </w:rPr>
        <w:t xml:space="preserve"> seoses teatavate erandite tühistamisega kuumutatud tubakatoodete puhul (ELT L 283, 3. 11. 2022, lk 4)“.</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2</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Artikli 3 punkti 12 muudetakse järgmiselt.</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Elektrooniline sigaret on toode, mida saab kasutada nikotiini sisaldava auru manustamiseks läbi huuliku või selle toote mis tahes komponent, sealhulgas padrun, paak ja ilma padruni või paagita seade. Elektroonilised sigaretid võivad olla ühekordselt kasutatavad või korduvtäidetavad, kasutades täiteanumat ja -paaki, või neid võib uuesti täita ühekordselt kasutatava padruniga.“ Elektroonilist sigaretti käsitatakse ka elektroonilise sigaretina, kui see täidetakse uuesti nikotiinivaba täiteanuma ja -paagiga või täidetakse uuesti nikotiinivaba ühekordselt kasutatava täitega nikotiinivaba auru sissehingamiseks.“</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Punkti 12 järele lisatakse uus punkt 12.a järgmises sõnastuses:</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„12.a Nikotiinivaba elektrooniline sigaret on ühekordselt kasutatav toode, mis sisaldab nikotiinivaba vedelikuga paaki ja mida kasutatakse aurude sissehingamiseks, mis ei sisalda nikotiini, läbi suuotsaku või selle mis tahes koostisosa.“</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17 jäetakse välja.</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Punkti 19 järele lisatakse uus punkt 19.a järgmises sõnastuses:</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„19.a. Uudne nikotiinitoode on toode, mis ei kuulu järgmistesse tootekategooriatesse, mis sisaldavad nikotiini, kuid ei sisalda tubakat: elektroonilised sigaretid, täitepakendid ja registreeritud nikotiiniasendustooted.“</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Punkti 22 järele lisatakse uus punkt 22.a järgmises sõnastuses:</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„22.a. Kuumutatud tubakatoode on uudne tubakatoode, mida kuumutatakse nikotiini ja muid kemikaale sisaldava eralduva aine tekitamiseks, mida seejärel kasutaja(d) sisse hingab/hingavad ja mis sõltuvalt toote omadustest on suitsuvaba tubakatoode või suitsetatav tubakatoode.“</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Punkti 23 järele lisatakse uus punkt 23.a järgmises sõnastuses:</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„23.a Nikotiinivaba täiteanum on mahuti, mis sisaldab nikotiinivaba vedelikku, mida saab kasutada elektroonilise sigareti uuesti täitmiseks.“.</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Punkti 25 muudetakse järgmiselt.</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Seotud tooted </w:t>
      </w:r>
      <w:hyperlink r:id="rId8" w:tgtFrame="_blank" w:tooltip="to EUR-Lex" w:history="1">
        <w:r>
          <w:rPr>
            <w:rFonts w:ascii="Arial" w:hAnsi="Arial"/>
            <w:color w:val="0000EE"/>
            <w:sz w:val="21"/>
            <w:u w:val="single" w:color="0000EE"/>
          </w:rPr>
          <w:t>direktiivi 2014/40/EL</w:t>
        </w:r>
      </w:hyperlink>
      <w:r>
        <w:rPr>
          <w:rFonts w:ascii="Arial" w:hAnsi="Arial"/>
          <w:sz w:val="21"/>
        </w:rPr>
        <w:t xml:space="preserve"> alusel on elektroonilised sigaretid ja täitepakendid ning taimsed suitsetatavad tooted. Vastavalt käesolevale seadusele on seotud tooted ka nikotiinivabad elektroonilised sigaretid ja nikotiinivabad täitepakendid, kuumutatud taimsed tooted, uudsed tubakatooted ja uudsed nikotiinitooted. Käesoleva seaduse kohaselt on seotud tooted ka käesoleva paragrahvi esimeses lauses ja eelmises lauses nimetatud seotud toodete kasutamiseks vajalikud tarvikud või seadmed, ilma milleta ei saa seotud tooteid kasutada.“</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Punkti 40 muudetakse järgmiselt.</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Isevalmistatavate sigarettide tubakas on tubakas, mida tarbijad või jaemüügiettevõtted saavad kasutada sigarettide valmistamiseks.“</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Punkti 50 järele lisatakse uus punkt 50.a järgmises sõnastuses:</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„50.a Kuumutatud taimne toode on taimedel, maitsetaimedel või puuviljadel põhinev toode, mis ei sisalda tubakat ja mille kasutamise ajal toimub kuumenemine.“</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3</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Artikli 11 punkti 1 muudetakse järgmiselt.</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Keelatud on turule lasta sigarette, isevalmistatavate sigarettide tubakat ja kuumutatud tubakatooteid, millel on eristav maitse või lõhn.“</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4</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Artikli 12 punkti 2 muudetakse järgmiselt.</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Keelatud on lasta turule sigarette, isevalmistatavate sigarettide tubakat ja kuumutatavaid tubakatooteid, mis sisaldavad lõhna- ja maitseühendeid mis tahes komponendis, nagu filtrid, paber, pakendid ja kapslid, või millel on tehnilised omadused, mis võimaldavad muuta tubakatoote lõhna, maitset või suitsu intensiivsust. Filtrid, paber ja kapslid ei tohi sisaldada tubakat ega nikotiini.“</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5</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Artiklisse 13 lisatakse lõike 6 järele uus lõige 7:</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Tarbijatele suunatud tubakatoodete tarbijapakendite ja välispakendite kujutised peavad vastama käesoleva seaduse II peatüki 2. jaotise (Märgistamine ja pakendamine) sätetele“.</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6</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Artikli 14 lõike 1 sissejuhatavat lauset muudetakse järgmiselt. Suitsetatavate tubakatoodete, sealhulgas kuumutatavate tubakatoodete iga tarbija- ja välispakend peab kandma järgmist üldhoiatust:“.</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Lõike 2 sissejuhatavat lauset muudetakse järgmiselt. Suitsetatavate tubakatoodete, sealhulgas kuumutatavate suitsetamiseks mõeldud tubakatoodete iga tarbija- ja välispakend peab kandma järgmist üldhoiatust:“.</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Lõike 3 esimest lauset muudetakse järgmiselt. „Sigarette sisaldavate tarbijapakendite puhul, kuumutatavate tubakatoodetega tarbijapakendite puhul, suitsetatavate tubakatoodete puhul ja isevalmistatavate sigarettide tubakaga ruudukujuliste tarbijapakendite puhul esitatakse üldhoiatus tarbijapakendi ühe külje allservas ja teabesõnum teise külje allosas.“</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7</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Artikli 15 lõike 1 esimest lauset muudetakse järgmiselt. „Suitsetatavate tubakatoodete, sealhulgas kuumutatavate tubakatoodete iga tarbija- ja välispakend peab kandma tervisealast üldhoiatust:“.</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8</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Artikli 22 lõiget 9 muudetakse järgmiselt.</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Tubakatoodetega kauplemisega seotud majandusüksus ei tohi registreeritud andmeid muuta ega kustutada.“</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9</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Artikli 25 lõike 2 esimeses lauses jäetaks välja sõna „lõige“ järel olev koma ja sõnad „kui NLZOH peab seda muutunud tingimuste tõttu vajalikuks“.</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Lõike 2 järele lisatakse uus lõige 3, mis on sõnastatud järgmiselt.</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NLZOH nõuab tootjatelt ja importijatelt tasu käesoleva artikli kohaselt esitatud andmete vastuvõtmise, säilitamise, käitlemise ja analüüsimise eest.“</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Olemasolevat lõiget 3, millest saab lõige 4, muudetakse järgmiselt.</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Minister määrab kindlaks teavitamise vormi ja viisi ning käesolevas artiklis osutatud lõivude suuruse.“</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10</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Artikli 26 lõike 3 kolmanda lause sissejuhatavat lauset muudetakse järgmiselt. „Elektroonilised sigaretid, nikotiinivabad elektroonilised sigaretid, täitepakendid ja nikotiinivabad täitepakendid peavad vastama järgmistele tingimustele:“.</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muudetakse punkti 1 järgmiselt:</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Nikotiini sisaldav või mittesisaldav vedelik lastakse turule spetsiaalsetes täitepakendites mahuga kuni 10 ml, ühekordselt kasutatavates elektroonilistes sigarettides, nikotiinivabades elektroonilistes sigarettides või nikotiiniga või nikotiinivabades ühekordselt kasutatavates padrunites, kui padruni või mahuti maht ei ületa 2 ml;“;</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muudetakse punkti 3 järgmiselt:</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nikotiini sisaldav või mittesisaldav vedelik ei tohi sisaldada käesoleva seaduse artikli 12 lõikes 1 nimetatud lisaaineid;“;</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muudetakse punkti 4 järgmiselt:</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nikotiini sisaldava või mittesisaldava vedeliku tootmisel tuleb kasutada ainult puhtaid koostisosi. Vedelikus esinevad ained, välja arvatud käesoleva artikli lõike 2 punktis 2 nimetatud koostisosad, üksnes jälgitavates kogustes, kui sellised jälgkogused on tootmise ajal tehnilisest seisukohast vältimatud;“;</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Punkti 7 muudetakse järgmiselt:</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neid ei tohi kasutada lapsed, need peavad olema kaitstud rikkumise, purunemise ja lekke eest ning neil peab olema mehhanism, mis tagab täitmise ilma lekketa;“.</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Punkti 7 järele lisatakse uus punkt 8, mis on sõnastatud järgmiselt:</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nikotiini sisaldav või nikotiinivaba vedelik ei tohi sisaldada muid lõhna- ja maitseaineid peale tubaka maitse või lõhna.“.</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Lõike 5 sissejuhatavat lauset muudetakse järgmiselt: „Elektrooniliste sigarettide, nikotiinivabade elektrooniliste sigarettide, täitepakendite ja nikotiinivabade täitepakendite pakendid ja välispakendid:“.</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Punkti 2 muudetakse järgmiselt:</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olenemata eelmisest punktist ei sisalda need käesoleva seaduse artiklis 17 nimetatud elemente ega omadusi, välja arvatud lõike 1 esimeses taandes, mis käsitleb teavet nikotiinisisalduse ja tubaka maitse või lõhna kohta, ning, välja arvatud nikotiinivabade elektrooniliste sigarettide ja nikotiinivabade täitepakendite puhul, esitatakse järgmine terviseohu hoiatus, mis vastab käesoleva seaduse artikli 16 lõigete 2 ja 3 nõuetele: „See toode sisaldab nikotiini, mis on äärmiselt kergesti sõltuvust tekitav aine. Selle kasutamine ei ole mittesuitsetajatele soovitatav.“;</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Lõike 8 lõppu lisatakse järgmised sõnad: „NLZOH ja Sloveenia Vabariigi Terviseinspektsioon teevad taotluse korral kogu käesoleva artikli kohaselt saadud teabe kättesaadavaks Euroopa Komisjonile ja teistele ELi liikmesriikidele, tagades ärisaladuste ja muu konfidentsiaalse teabe konfidentsiaalsuse.“.</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Lõike 14 järele lisatakse uus lõige 15 järgmises sõnastuses:</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Sätted, mis käsitlevad lõikes 1 osutatud ametliku teate esitamist, lõikes 2 osutatud sisu, lõikes 4 osutatud andmete kasutusjuhendite lisamist, lõikes 6 osutatud andmete esitamist, lõikes 7 osutatud turu arengu jälgimist, internetis avaldamist, andmete üldsusele kättesaadavaks tegemist ja lõikes 8 osutatud teabe esitamist, lõikes 9 osutatud andmekogumissüsteemi loomine ja haldamine ning kogutud andmete edastamine, lõikes 10 osutatud meetmete võtmine ja ametiasutuste teavitamine, lõikes 11 osutatud täiendavate andmete edastamine, lõikes 12 osutatud teavitamine, lõikes 13 osutatud õigus nõuda tasu ning käesoleva artikli lõikes 14 osutatud üksikasjalikumate tingimuste kindlaksmääramine, kehtivad ka nikotiinivabade elektrooniliste sigarettide ja nikotiinivabade täitepakendite suhtes.“</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11</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Artikli 28 pealkirja muudetakse järgmiselt: „(taimsete suitsetatavate ja kuumutatud taimsete toodete koostisosadest teatamine)“.</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Lõiget 1 muudetakse järgmiselt:</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Suitsetamiseks ettenähtud taimsete toodete ja kuumutatud taimsete toodete tootjad ja importijad esitavad NLZOH-le loetelu kõigist nende toodete valmistamisel kasutatud koostisosadest ja nende kogustest eraldi iga tootemargi ja iga tüübi kohta. Ametlik teade esitatakse elektrooniliselt kuus kuud enne uue või muudetud taimse suitsetamistoote või kuumutatud taimse toote kavandatavat turule laskmist. Suitsetatavate taimsete toodete ja taimsete kuumutatud toodete tootjad või importijad teatavad NLZOH-le, kui toote koostist muudetakse nii, et see mõjutab käesoleva artikli kohaselt esitatud andmeid.“</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Lõike 2 järele lisatakse järgmine uus lõige 3 järgmises sõnastuses:</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NLZOH nõuab tootjatelt ja importijatelt tasu käesoleva artikli kohaselt esitatud andmete vastuvõtmise, säilitamise, käitlemise ja avaldamise eest.“</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Olemasolevat lõiget 3, millest saab lõige 4, muudetakse järgmiselt.</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Minister kehtestab üksikasjalikumad tingimused suitsetatavate taimsete toodete ja kuumutatud taimsete toodete koostisosadest ja käesolevas artiklis osutatud lõivude suurusest teatamise kohta.“</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12</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peatüki pealkirja muudetakse järgmiselt. „V. REKLAAM, MÜÜGIEDENDUS, SPONSORLUS, MÜÜK JA IMPORT“.</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13</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Artikli 30 pealkirja muudetakse järgmiselt: „(müügi ja omandamise keeld)“;</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Lõike 6 järele lisatakse uued lõiked 7 ja 8, mis on sõnastatud järgmiselt:</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„(7) Üksikisik ei tohi müüa ega turule viia tubakat, tubakatooteid ega nendega seotud tooteid. </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Üksikisik ei tohi omandada tubakat, tubakatooteid ega nendega seotud tooteid, kui see on vastuolus käesoleva artikliga.“</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14</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Artikli 30 järele lisatakse uus artikkel 30.a järgmises sõnastuses:</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30.a</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(Impordikeeld)</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Käesoleva seaduse artikli 11 lõikes 1, artikli 12 lõigetes 1, 2 ja 3 ning artiklis 24 osutatud toodete import on keelatud.</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Isik ei tohi importida tubakat, tubakatooteid ega nendega seotud tooteid, välja arvatud tooteid, mis on vabastatud imporditollimaksu tasumisest reisija saadetiste või isikliku pagasi puhul vastavalt määrusele, millega reguleeritakse tollimaksuvabastuse süsteemi ELis.“.</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15</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VII peatüki pealkirja muudetakse järgmiselt. „VII. SUITSETAMISKEELD“.</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16</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Artikli 39 lõike 3 kolmanda taande lõpus asendatakse semikoolon punktiga ja neljas taane jäetakse välja.</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Lõige 4 jäetakse välja.</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Lõikest 5 saab lõige 4.</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17</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Artikkel 40 jäetakse välja.</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18</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Artikli 41 sõnastust muudetakse järgmiselt.</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Järelevalvet käesoleva seaduse rakendamise üle teostavad Sloveenia Vabariigi Terviseinspektsioon, Sloveenia Vabariigi Tööinspektsioon, Sloveenia Vabariigi Turuinspektsioon, Sloveenia Vabariigi Finantsamet ning politsei- ja linnavalvurid.</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Sloveenia Vabariigi Terviseinspektsioon teostab järelevalvet järgmise üle:</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käesoleva seaduse artiklis 7 osutatud sigarettide tõrva-, nikotiini- ja süsinikmonooksiidi heide;</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käesoleva seaduse artiklis 11 osutatud eristava maitse või lõhnaga tubakatoodete turuleviimise keeld;</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käesoleva seaduse artiklis 12 osutatud lisaaineid sisaldavate tubakatoodete turuleviimise keeld;</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tootjate ja importijate teavitamine tubakatoodete ja nendega seotud toodete koostisosadest ja eralduvatest ainetest vastavalt käesoleva seaduse artiklitele 9, 10, 25, artikli 26 lõigetele 1, 2 ja 6 ning artiklile 28;</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kohustused, mida peavad täitma käesoleva seaduse artikli 26 lõigetes 9, 10 ja 11 osutatud elektrooniliste sigarettide, nikotiinita elektrooniliste sigarettide, täitepakendite ja nikotiinita täitepakendite tootjad, importijad ja turustajad, ning tingimused, mida peavad täitma käesoleva seaduse artikli 26 lõikes 3 osutatud elektroonilised sigaretid, nikotiinita elektroonilised sigaretid, täitepakendid ja nikotiinita täitepakendid;</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tubaka, tubakatoodete ja seonduvate toodete, välja arvatud närimistubaka ja ninatubaka suitsetamise või kasutamise keelamine käesoleva seaduse artiklis 39 osutatud avalikes kohtades;</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7. isikud, kes ei pea kinni tubaka, tubakatoodete ja seonduvate toodete, välja arvatud närimistubaka ja ninatubaka suitsetamise või kasutamise keelust käesoleva seaduse artiklis 39 osutatud avalikes kohtades.</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Sloveenia Vabariigi Terviseinspektsioon, tuginedes enda või NLZOH järeldustele, mille kohaselt tubakat, tubakatooteid ja nendega seotud tooteid toodetakse, müüakse või viiakse turule vastuolus käesoleva seaduse artiklitega 7, 8, 11, 12 ja 26, keelab oma otsusega nende toodete tootmise ja müügi ning annab korralduse need tootmisest ja müügist kõrvaldada.</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Sloveenia Vabariigi Terviseinspektsioon, tuginedes NLZOH järeldustele, et teatava tubaka, tubakatoodete ja nendega seotud toodete tootemargi ja tüübi puhul ei täida nende tootjad ja importijad kohustust teatada käesoleva seaduse artiklites 9, 10, 25, 26 ja 28 osutatud toodetest või neist teavitada, keelab otsusega nende toodete müügi ja annab korralduse nende müügilt kõrvaldamiseks.</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NLZOH võib Sloveenia Vabariigi Terviseinspektsiooni või Sloveenia Vabariigi finantsameti taotlusel teha tubaka, tubakatoodete ja nendega seonduvate toodete laboratoorseid uuringuid. Juriidilised ja füüsilised isikud, kes viivad turule tubakat, tubakatooteid ja nendega seotud tooteid, peavad tegema sellise toote näidise pädevale inspektorile (edaspidi „inspektor“) tasuta kättesaadavaks. Kui laborikatsete käigus tuvastatakse, et kontrollimenetluse käigus võetud proov ei vasta käesolevas seaduses sätestatule, kannab laboriuuringu kulud juriidiline või füüsiline isik, kellelt proov võeti.</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Sloveenia Vabariigi Tööinspektsioon teostab järelevalvet järgmise üle:</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tubaka, tubakatoodete ja seonduvate toodete, välja arvatud närimistubaka ja ninatubaka suitsetamise või kasutamise keelamine käesoleva seaduse artiklis 39 osutatud töökohtades;</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isikud, kes ei pea kinni tubaka, tubakatoodete ja seonduvate toodete, välja arvatud närimistubaka ja ninatubaka suitsetamise või kasutamise keelust käesoleva seaduse artiklis 39 osutatud töökohtades.</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Sloveenia Vabariigi turuinspektsioon teostab järelevalvet järgmiste majandusüksuste üle seoses järgmisega:</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tingimused, millele peavad vastama käesoleva seaduse artiklites 13–20 nimetatud tubakas ja tubakatooted;</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käesoleva seaduse artiklis 24 osutatud suukaudseks kasutamiseks mõeldud tubaka turuleviimise keeld;</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tingimused, millele peavad vastama käesoleva seaduse artikli 26 lõigetes 4 ja 5 nimetatud elektroonilised sigaretid, nikotiinita elektroonilised sigaretid, täitepakendid ja nikotiinita täitepakendid;</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tingimused, millele peavad vastama käesoleva seaduse artiklis 27 osutatud taimsed suitsetamistooted;</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käesoleva seaduse artiklis 29 osutatud tubaka, tubakatoodete ja nendega seotud toodete sponsorluse ja reklaami keeld;</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käesoleva seaduse artiklites 30 ja 31 osutatud müügikeeld;</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7. tubaka, tubakatoodete ja nendega seotud toodete müük ilma käesoleva seaduse artiklis 32 osutatud loata ning loa nähtavus käesoleva seaduse artikli 34 lõikes 3 osutatud äriruumides.</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Sloveenia Vabariigi Finantsamet teostab järelevalvet järgmise üle:</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käesoleva seaduse artiklites 22 ja 23 sätestatud tingimused, millele tubakas ja tubakatooted peavad vastama;</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tingimused, millele peavad vastama käesoleva seaduse artikli 26 lõikes 3 nimetatud elektroonilised sigaretid, nikotiinita elektroonilised sigaretid, täitepakendid ja nikotiinita täitepakendid, kui neid imporditakse kolmandatest riikidest Sloveenia Vabariigi Terviseinspektsiooni toetusel;</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isikud, kes müüvad, viivad turule või omandavad tubakat, tubakatooteid või nendega seonduvaid tooteid vastuolus käesoleva seaduse artikli 30 lõigetega 7 ja 8;</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käesoleva seaduse artiklis 30.a osutatud impordikeeld;</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tubaka, tubakatoodete ja nendega seotud toodete müük ilma käesoleva seaduse artiklis 32 osutatud loata.</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Kui Sloveenia Vabariigi turuinspektsioon otsustab, et tubakat ja tubakatooteid toodetakse, müüakse või viiakse turule vastuolus käesoleva seaduse artiklitega 13–20 või müüakse ilma käesoleva seaduse artiklis 32 nimetatud loata, teeb see otsuse nende tootmise, müügi või turuleviimise keelamise kohta ning annab korralduse need tootmisest või müügist kõrvaldada.</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(10) Kui Sloveenia Vabariigi finantsamet otsustab, et tubakat, tubakatooteid ja seotud tubakatooteid müüakse ilma käesoleva seaduse artiklis 32 osutatud loata, teeb see otsuse nende müümise keelamise kohta ja annab korralduse need tootmisest või müügist kõrvaldada.</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Sloveenia Vabariigi Terviseinspektsioon võtab käesoleva seaduse artikli 26 lõikes 12 osutatud teate alusel inimeste tervise kaitseks vastu asjakohased ajutised meetmed, mis hõlmavad konkreetse toote müügikeeldu või turult kõrvaldamist.</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(12) Kui pädev kontrolliasutus teeb kindlaks, et tubakat või sellega seotud tooteid toodetakse, müüakse või viiakse turule vastuolus käesoleva seaduse artiklitega 26 ja 27 või ilma käesoleva seaduse artiklis 32 nimetatud loata, teeb see otsuse, millega keelatakse nende toodete müük, turuleviimine või tootmine, ning annab korralduse need tooted tootmisest või müügilt kõrvaldada.</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Kui Sloveenia Vabariigi Turuinspektsioon otsustab, et tubakat, tubakatooteid või seonduvaid tubakatooteid spondeeritakse või reklaamitakse vastuolus käesoleva seaduse artikliga 29, keelatakse selline sponsorlus või reklaam otsuse alusel. Otsuse jõustamiseks annab see korralduse reklaamimaterjali viivitamatuks eemaldamiseks majandusüksuse kulul.</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Pädev inspektor võib teha koostööd alla 18-aastase isikuga käesoleva seaduse artikli 30 lõikes 1 nimetatud tubaka, tubakatoodete ja tubakaga seotud toodete müügikeelu üle järelevalve teostamisel alla 18-aastastele isikutele. Alaealiste osalemiseks tuleb saada nende vanemate või eestkostjate eelnev kirjalik nõusolek.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Politsei ja linnavalvurid kontrollivad suitsetamiskeeldu kõikides sõidukites, kus viibivad alla 18-aastased isikud, nagu on osutatud käesoleva seaduse artikli 39 lõikes 1.“</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Artikkel 19</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Artikli 42 punkti 1 muudetakse järgmiselt.</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Juriidilisele isikule määratakse õigusrikkumise eest trahv 4000 kuni 33 000 eurot:</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kui see toodab, müüb või viib turule sigarette, mis sisaldavad rohkem tõrva, nikotiini ja süsinikmonooksiidi kui on määratletud käesoleva seaduse artiklis 7;</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kui see müüb või laseb turule tubakatooteid, mille puhul ei ole täidetud kohustust teatada nende toodete koostisosadest ja eralduvatest ainetest (artiklid 9 ja 10);</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kui see toodab, viib turule või müüb tubakatooteid, millel on iseloomulik maitse või lõhn (artikkel 11) või käesoleva seaduse artikli 12 lõigetes 1 ja 3 osutatud lisaained, või kui ta toodab, müüb või viib turule tubakatooteid, mis sisaldavad oma koostisosades aromaatseid aineid (artikli 12 lõige 2);</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kui see viib turule või müüb tubakatooteid ja suitsuvabasid tubakatooteid, mis ei vasta märgistamise, pakendamise, üldhoiatuste, informatiivsete sõnumite ja terviseohu ühendhoiatuste tingimustele (artiklid 13, 14, 15 ja 16);</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kui see viib turule või müüb tubakatooteid, mille märgistus või välispakend on vastuolus käesoleva seaduse artikliga 17;</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kui see viib turule või müüb pakke ja välispakendeid sigarettidega, mille välimus ja sisu on vastuolus käesoleva seaduse artikliga 18;</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kui see viib turule või müüb pakke ja välispakendeid isevalmistatavate sigarettide tubakaga, mille välimus ja sisu on vastuolus käesoleva seaduse artikliga 19;</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kui see viib turule või müüb sigarette, mille välimus on vastuolus käesoleva seaduse artikliga 20;</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kui see ei tee kordumatut tunnust hõlpsasti kättesaadavaks (artikli 22 lõige 4);</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10. kui see ei registreeri kõigi tarbijapakendite ja vaheliikumiste kandeid ning tema valdusest pärit tarbijapakendite lõplikku kogust viisil, mis võimaldab kõiki tarbijapakendeid selgelt ja üheselt identifitseerida ja jälgida (artikli 22 lõige 5);</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kui see ei pea arvestust kõigi lõpetatud tehingute kohta (artikli 22 lõige 6);</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kui see ei esita tubakatoodetega kauplemises osalevaid majandusüksusi tootjast viimase majandusüksuseni enne esmamüüki müügikohas, sealhulgas importijaid, ladusid ja transpordiettevõtjaid, tubakatoodete registreerimisseadmeid või kui pakutavad seadmed ei võimalda elektroonilist lugemist ning kõigi tarbijapakendite ühemõttelist identifitseerimist ja jälgimist (artikli 22 lõige 7);</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kui see muudab või kustutab salvestatud andmeid (artikli 22 lõige 9);</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14. kui see laseb turule või müüb ilma identifitseerimismärgi või turvaelemendita tubakatooteid, kui identifitseerimismärk ei ole täielik või kui turvaelement ei vasta nõutavatele tehnilistele standarditele (artikli 22 lõiked 1, 2 ja 3 ning artikkel 23);</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kui see viib turule või müüb suukaudseks kasutamiseks mõeldud tubakat (artikkel 24);</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16. kui see müüb või viib turule uudseid tubakatooteid vastuolus käesoleva seaduse artikliga 25;</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17. kui see toodab, müüb või viib turule elektroonilisi sigarette, nikotiinita elektroonilisi sigarette, täitepakendeid või nikotiinita täitepakendeid vastuolus käesoleva seaduse artikli 26 lõigetega 3, 4, 5 ja 10;</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18. kui see toodab, müüb või viib turule elektroonilisi sigarette, nikotiinita elektroonilisi sigarette, täitepakendeid või nikotiinita täitepakendeid vastuolus käesoleva seaduse artikli 26 lõigetega 1, 2, 6 ja 11;</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kui see viib turule või müüb taimset suitsetatavat toodet vastuolus käesoleva seaduse artikliga 27;</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kui see ei teata taimsete suitsetatavate toodete ja kuumutatud taimsete toodete koostisosadest vastavalt käesoleva seaduse artiklile 28;</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kui see annetab või sponsoreerib üritust, tegevust või üksikisikut ning otseselt või kaudselt reklaamib ja edendab tubakatooteid ja nendega seotud tooteid (artikkel 29);</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kui see esitleb või kasutab tubakat, tubakatooteid ja tubakaga seotud tooteid televisioonis ja seoses avaliku esinemisega (artikli 29 lõige 7);</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kui see müüb tubakat, tubakatooteid või tubakatoodetega seonduvaid tooteid alla 18-aastastele isikutele või kui see ei avalda müügikeeldu nähtavas kohas või müüb tubakat, tubakatooteid või tubakatoodetega seonduvaid tooteid alla 18-aastasele isikule (artikli 30 lõiked 1 ja 2);</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24. kui see müüb või viib turule tubakat, tubakatooteid või tubakatoodetega seonduvaid tooteid vastuolus käesoleva seaduse artikli 30 lõikega 3;</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25. kui see müüb või viib turule tubakat, tubakatooteid või tubakatoodetega seonduvaid tooteid, kasutamata tootja originaalpakendit (artikli 30 lõige 4);</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26. kui see viib turule tubakat, tubakatooteid või tubakatoodetega seonduvaid tooteid või tegeleb nende piiriülese kaugmüügiga interneti, telekommunikatsiooni või muu areneva tehnoloogia kaudu (artikli 30 lõige 5);</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27. kui see toodab või viib turule alla 18-aastastele isikutele mõeldud maiustusi, suupisteid, mänguasju või muid tubakatoodete kujul valmistatud tooteid või tegeleb nende piiriülese kaugmüügiga (artikli 30 lõige 6);</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kui see impordib käesoleva seaduse artikli 11 lõikes 1, artikli 12 lõigetes 1, 2 ja 3 ning artiklis 24 nimetatud tooteid;</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kui selle äriruumides puudub nähtavalt esitletud luba müüa tubakat, tubakatooteid ja tubakatoodetega seotud tooteid (artikli 34 lõige 3);</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30. kui see ei taga suitsetamiskeelu või tubaka, tubakatoodete ja tubakatoodetega seonduvate toodete, välja arvatud närimistubaka ja ninatubaka kasutamise keelu järgimist suletud avalikes ja tööruumides ning ruumides, mida käesoleva seaduse alusel ei peeta kinniseks, kui need on osa kasvatus- või haridustegevusega tegelevale rajatisele kuuluvast funktsionaalsest maast (artikkel 39).“.</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Lõikeid 4, 5 ja 6 muudetakse järgmiselt.</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 xml:space="preserve">„(4) Käesoleva artikli lõike 1 punktides 1, 3 </w:t>
      </w:r>
      <w:hyperlink r:id="rId9" w:tgtFrame="_blank" w:tooltip="to EUR-Lex" w:history="1">
        <w:r>
          <w:rPr>
            <w:rFonts w:ascii="Arial" w:hAnsi="Arial"/>
            <w:color w:val="0000EE"/>
            <w:sz w:val="21"/>
            <w:u w:val="single" w:color="0000EE"/>
          </w:rPr>
          <w:t>–15, 17, 19</w:t>
        </w:r>
      </w:hyperlink>
      <w:r>
        <w:rPr>
          <w:rFonts w:ascii="Arial" w:hAnsi="Arial"/>
          <w:sz w:val="21"/>
        </w:rPr>
        <w:t>, 25 ja 28 osutatud süütegude eest määratakse lisaks peamisele karistusele õigusrikkumise esemeks oleva tubaka, tubakatoodete või tubakatoodetega seonduvate toodete konfiskeerimine ja nende esemete konfiskeerimine, millega õigusrikkumine on toime pandud. Lisakaristust kohaldatakse ka juhul, kui tubakas, tubakatooted või tubakatoodetega seotud tooted ei ole õigusrikkuja omandis või juriidilise isiku valduses. Eseme konfiskeerimisest võib loobuda, kui õigusrikkuja tõendab tubaka, tubakatoodete või tubakatoodetega seonduvate toodete seaduslikku päritolu või kui süüteo eseme konfiskeerimise kõrvalkaristuse määramine oleks selgelt ebaproportsionaalne teo raskuse ja süüteo tagajärgedega.</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Juriidilise isiku, füüsilisest isikust ettevõtja või iseseisvalt ilma loata tubakat, tubakatooteid või tubakatoodetega seonduvaid tooteid müüva isiku vastutavale isikule määratakse rahatrahv 50 000 eurot (artikkel 32).</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Juriidilise isiku vastutava isiku, füüsilisest isikust ettevõtja vastutava isiku või iseseisva isiku ilma loata tubakat, tubakatooteid või tubakatoodetega seonduvaid tooteid müüva isiku vastutavale isikule määratakse rahatrahv 5000 eurot (artikkel 32).</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20</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Artikli 43 punkti 1 muudetakse järgmiselt.</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Füüsilisele isikule määratakse õigusrikkumise eest trahv 125 kuni 5000 eurot:</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kui ta omandab tubakat, tubakatooteid või tubakatoodetega seonduvaid tooteid vastuolus käesoleva seaduse artikliga 30;</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kui ta impordib tooteid, mis on vastuolus käesoleva seaduse artikli 30.a lõigetega 1 või 2;</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kui ta suitsetab või kasutab tubakat, tubakatooteid või tubakatoodetega seonduvaid tooteid avalikes või töökohtades, kus see on keelatud (artikkel 39).</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Lõike 2 järele lisatakse uued lõiked 3 ja 4, mis on sõnastatud järgmiselt.</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Füüsilisele isikule määratakse õigusrikkumise eest trahv 3000 kuni 5000 eurot:</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kui ta pakub reklaami eesmärgil tubakat, tubakatooteid ja tubakaga seonduvaid tooteid tasuta avalikus kohas või avalikes ruumides, mis on vastuolus käesoleva seaduse artikli 29 lõikega 3;</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kui ta müüb või viib turule tubakat, tubakatooteid või tubakaga seonduvaid tooteid vastuolus käesoleva seaduse artikli 30 lõikega 7.</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Käesoleva artikli esimese lõigu esimeses ja teises taandes nimetatud süütegude ning eelmise lõike esimeses ja teises taandes nimetatud süütegude puhul kohaldatakse lisaks peamisele sanktsioonile süüteo esemeks oleva tubaka, tubakatoodete või tubakatoodetega seonduvate toodete konfiskeerimist ja esemete konfiskeerimist, millega õigusrikkumine on toime pandud. Lisakaristust kohaldatakse ka juhul, kui tubakas, tubakatooted või tubakatoodetega seonduvad tooted ei ole õigusrikkuja omandis või valduses. Eseme konfiskeerimisest võib loobuda, kui õigusrikkuja tõendab tubaka, tubakatoodete või tubakatoodetega seonduvate toodete seaduslikku päritolu või kui süüteo eseme konfiskeerimise kõrvalkaristuse määramine oleks selgelt ebaproportsionaalne teo raskuse ja süüteo tagajärgedega.“.</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Artikkel 21</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Artikli 43 järele lisatakse uus artikkel 43.a, mis on sõnastatud järgmiselt.</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43.a</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(Trahvi määramine kiirendatud väärteomenetluses)</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Käesolevas seaduses nimetatud süütegude eest võib kiirmenetluses määrata rahatrahvi summas, mis on suurem kui käesoleva seadusega määratud minimaalne ettenähtud rahatrahv.</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ÜLEMINEKU- JA LÕPPSÄTTED</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22</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(Tegevuste ühtlustamine)</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Elektroonilisi sigarette, nikotiinita elektroonilisi sigarette, täitepakendeid ja lõhna- ja maitseainetega nikotiinita täitepakendeid võib turule viia kuni 12 kuu jooksul pärast käesoleva seaduse jõustumist.</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23</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(Menetluste lõpuleviimine)</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Enne käesoleva seaduse jõustumist algatatud kontrolli- ja väärteomenetlused viiakse lõpule vastavalt seni kehtivatele eeskirjadele.</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24</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(Täiendavad õigusaktid)</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Minister annab seaduse muudetud § 25 lõikes 4 ja muudetud § 28 lõikes 4 nimetatud määrused välja kolme kuu jooksul pärast käesoleva seaduse jõustumist.</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Minister viib seaduse artikli 26 lõikes 14 nimetatud sätted kooskõlla seaduse lõike 3 uue punktiga 8 ja artikli 26 lõikega 15 kolme kuu jooksul alates käesoleva seaduse jõustumisest.</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Artikkel 25</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(Kehtivate eeskirjade kehtivuse lõppemine ja kohaldamisaja pikendamine)</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Tubaka ja sellega seotud toodete kasutamise piiramist käsitleva seaduse (Sloveenia Vabariigi ametlik väljaanne nr 9/17 ja 29/17) artikli 3 punkti 17, lõike 3 neljanda taande ja artikli 39 lõike 4, artikli 40 lõike 2 punktide 8 ja 9, lõike 6 punktide 3 ja 4 ning artikli 41 lõike 14, artikli 42 lõike 1 punkti 30 ja artikli 43 lõike 1 kolmanda taande sätteid kohaldatakse suitsetamisruumide suhtes kuni 31. detsembrini 2025.</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Alates käesoleva seaduse jõustumise kuupäevast ei kohaldata enam eeskirju tingimuste kohta, millele peab vastama suitsetamisruum (Sloveenia Vabariigi ametlik väljaanne nr 52/17), mida võib kasutada kuni 31. detsembrini 2025.</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Artikkel 26</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(Jõustumine ja kohaldamine)</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Käesolev redaktsioon jõustub viieteistkümnendal päeval pärast selle avaldamist Sloveenia Vabariigi Teatajas ja seda kohaldatakse alates kolmekümnendast päevast pärast selle jõustumist.</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Tubaka ja sellega seotud toodete kasutamise piiramise seadust (Sloveenia Vabariigi ametlik väljaanne, nr 9/17 ja 29/17) kohaldatakse kuni käesoleva seaduse jõustumiseni.</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Nr 543-03/23-3/29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Ljubljana, 28. märts 2024. a</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EPA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t>Sloveenia Vabariigi</w:t>
      </w:r>
      <w:r>
        <w:rPr>
          <w:rFonts w:ascii="Arial" w:hAnsi="Arial"/>
          <w:sz w:val="21"/>
        </w:rPr>
        <w:br/>
        <w:t>Rahvuskogu aseesimees</w:t>
      </w:r>
      <w:r>
        <w:rPr>
          <w:rFonts w:ascii="Arial" w:hAnsi="Arial"/>
          <w:sz w:val="21"/>
        </w:rPr>
        <w:br/>
        <w:t>Danijel Krivec</w:t>
      </w:r>
      <w:r>
        <w:rPr>
          <w:rFonts w:ascii="Arial" w:hAnsi="Arial"/>
          <w:sz w:val="21"/>
        </w:rPr>
        <w:br/>
        <w:t>Aseesimees</w:t>
      </w:r>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D9A"/>
    <w:rsid w:val="002B4A80"/>
    <w:rsid w:val="006303F7"/>
    <w:rsid w:val="00A167A6"/>
    <w:rsid w:val="00A77B3E"/>
    <w:rsid w:val="00CA2A55"/>
    <w:rsid w:val="00EE59E8"/>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2014/4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_del/2022/2100/oj" TargetMode="External"/><Relationship Id="rId11" Type="http://schemas.openxmlformats.org/officeDocument/2006/relationships/theme" Target="theme/theme1.xml"/><Relationship Id="rId5" Type="http://schemas.openxmlformats.org/officeDocument/2006/relationships/hyperlink" Target="http://data.europa.eu/eli/dir/2014/40/anx_2/oj" TargetMode="External"/><Relationship Id="rId10" Type="http://schemas.openxmlformats.org/officeDocument/2006/relationships/fontTable" Target="fontTable.xml"/><Relationship Id="rId4" Type="http://schemas.openxmlformats.org/officeDocument/2006/relationships/hyperlink" Target="http://data.europa.eu/eli/dir_del/2014/109/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3936</Words>
  <Characters>27239</Characters>
  <Application>Microsoft Office Word</Application>
  <DocSecurity>0</DocSecurity>
  <Lines>453</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2024-08-14T11:52:00Z</dcterms:created>
  <dcterms:modified xsi:type="dcterms:W3CDTF">2024-08-14T11:52:00Z</dcterms:modified>
</cp:coreProperties>
</file>